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46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pacing w:val="7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关于英吉沙县农村生活垃圾处理收费标准的通知（2026年修订·征求意见稿）</w:t>
      </w:r>
    </w:p>
    <w:p w14:paraId="5ADDE53F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</w:p>
    <w:p w14:paraId="0FEDE23F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pacing w:val="7"/>
          <w:kern w:val="0"/>
          <w:sz w:val="32"/>
          <w:szCs w:val="32"/>
          <w:lang w:val="en-US" w:eastAsia="zh-CN" w:bidi="ar"/>
        </w:rPr>
        <w:t>各乡（镇）人民政府、企事业单位、广大群体及个体工商户：</w:t>
      </w:r>
    </w:p>
    <w:p w14:paraId="0B23CF8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为健全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英吉沙县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农村生活垃圾处理收费管理制度，提升生活垃圾处置水平，持续改善农村生态环境，扎实推进生态文明建设，依据《中华人民共和国价格法》《政府制定价格行为规则》《政府制定价格成本监审办法》《新疆维吾尔自治区定价目录》等法律法规及政策文件，县发展改革委完成全县农村生活垃圾处理成本测算与成本监审工作。结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英吉沙县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实际，前期拟定《英吉沙县农村生活垃圾处理费调价方案》，严格依法开展民意调查、集体审议、座谈论证、书面征求意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见、合法性审查、价格听证、社会风险评估等法定程序，原收费标准经县2025年第12次常务会议审议通过。现将有关事项通知如下：</w:t>
      </w:r>
    </w:p>
    <w:p w14:paraId="2C497C9E">
      <w:pPr>
        <w:pStyle w:val="5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68" w:firstLineChars="200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一、农村生活垃圾处理费的收取范围及对象</w:t>
      </w:r>
    </w:p>
    <w:p w14:paraId="785A63E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农村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生活垃圾是指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农村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人口在日常生活中产生或为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农村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日常生活提供服务的活动产生的固体废物，以及法律、行政法规规定，视为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农村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生活垃圾的固体废物（不包括建筑垃圾、渣土、工业固体废物和危险废物）。</w:t>
      </w:r>
    </w:p>
    <w:p w14:paraId="6AF4E8B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英吉沙县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农村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规划区范围内的所有产生生活垃圾的国家机关、企事业单位、个体经营者、社会团体、批发市场、工业品市场、集贸市场、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农村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居民和暂住人口等均应按规定缴纳生活垃圾处理费。</w:t>
      </w:r>
    </w:p>
    <w:p w14:paraId="49CCADB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68" w:firstLineChars="200"/>
        <w:jc w:val="both"/>
        <w:textAlignment w:val="auto"/>
        <w:rPr>
          <w:rStyle w:val="8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二、生活垃圾处理费收费标准</w:t>
      </w:r>
    </w:p>
    <w:p w14:paraId="604E4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（1）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居民用户：</w:t>
      </w:r>
    </w:p>
    <w:p w14:paraId="17220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Calibri" w:hAnsi="Calibri" w:eastAsia="方正仿宋_GBK" w:cs="Calibri"/>
          <w:b/>
          <w:bCs/>
          <w:color w:val="auto"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户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征收垃圾处理费。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5元/户/月；</w:t>
      </w:r>
    </w:p>
    <w:p w14:paraId="6178B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Calibri" w:hAnsi="Calibri" w:eastAsia="方正仿宋_GBK" w:cs="Calibri"/>
          <w:b/>
          <w:bCs/>
          <w:color w:val="auto"/>
          <w:sz w:val="32"/>
          <w:szCs w:val="32"/>
          <w:lang w:val="en-US" w:eastAsia="zh-CN"/>
        </w:rPr>
        <w:t>②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征收垃圾处理费。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1元/人/月；</w:t>
      </w:r>
    </w:p>
    <w:p w14:paraId="67699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各乡镇按实际情况确定收费方式，于每年1月5日前向县发展改革委备案垃圾处理收费采取的收费模式并公示。经备案、公示后，无特殊情况一年内不得更改收费模式。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各行政村暂住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居民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按实际居住时间参照常住人口收费标准按月收取。</w:t>
      </w:r>
    </w:p>
    <w:p w14:paraId="38EAC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spacing w:val="-2"/>
          <w:kern w:val="2"/>
          <w:sz w:val="32"/>
          <w:szCs w:val="32"/>
          <w:lang w:val="en-US" w:eastAsia="zh-CN" w:bidi="ar-SA"/>
        </w:rPr>
        <w:t>（2）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机关事业单位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驻乡机构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事业单位、社会团体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/人/月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收取，由单位交纳。</w:t>
      </w:r>
    </w:p>
    <w:p w14:paraId="505C3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spacing w:val="-2"/>
          <w:kern w:val="2"/>
          <w:sz w:val="32"/>
          <w:szCs w:val="32"/>
          <w:lang w:val="en-US" w:eastAsia="zh-CN" w:bidi="ar-SA"/>
        </w:rPr>
        <w:t>（3）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餐饮业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（含各类单位食堂）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、茶吧、酒吧：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按营业面积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/平方/月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计收。</w:t>
      </w:r>
    </w:p>
    <w:p w14:paraId="73D48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2"/>
          <w:kern w:val="2"/>
          <w:sz w:val="32"/>
          <w:szCs w:val="32"/>
          <w:lang w:val="en-US" w:eastAsia="zh-CN" w:bidi="ar-SA"/>
        </w:rPr>
        <w:t>（4）</w:t>
      </w:r>
      <w:r>
        <w:rPr>
          <w:rFonts w:hint="default" w:ascii="Times New Roman" w:hAnsi="Times New Roman" w:eastAsia="方正仿宋_GBK" w:cs="Times New Roman"/>
          <w:b/>
          <w:bCs/>
          <w:spacing w:val="-2"/>
          <w:kern w:val="2"/>
          <w:sz w:val="32"/>
          <w:szCs w:val="32"/>
          <w:lang w:val="en-US" w:eastAsia="zh-CN" w:bidi="ar-SA"/>
        </w:rPr>
        <w:t>非餐饮</w:t>
      </w:r>
      <w:r>
        <w:rPr>
          <w:rFonts w:hint="default" w:ascii="Times New Roman" w:hAnsi="Times New Roman" w:eastAsia="方正仿宋_GBK" w:cs="Times New Roman"/>
          <w:b/>
          <w:bCs/>
          <w:spacing w:val="-2"/>
          <w:kern w:val="2"/>
          <w:sz w:val="32"/>
          <w:szCs w:val="32"/>
          <w:lang w:val="zh-CN" w:eastAsia="zh-CN" w:bidi="ar-SA"/>
        </w:rPr>
        <w:t>工商业</w:t>
      </w:r>
    </w:p>
    <w:p w14:paraId="3888F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zh-CN" w:eastAsia="zh-CN" w:bidi="ar-SA"/>
        </w:rPr>
        <w:t>工商业（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一类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zh-CN" w:eastAsia="zh-CN" w:bidi="ar-SA"/>
        </w:rPr>
        <w:t>）用户：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主要指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零售批发、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美容美发、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修理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加工、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广告喷绘、销售服务等经营场所面积较小的商户，为合理负担、引导商户减少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垃圾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产出，经综合考虑，拟定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元/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平方米/月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收费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。</w:t>
      </w:r>
    </w:p>
    <w:p w14:paraId="1D195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zh-CN" w:eastAsia="zh-CN" w:bidi="ar-SA"/>
        </w:rPr>
        <w:t>工商业（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二类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zh-CN" w:eastAsia="zh-CN" w:bidi="ar-SA"/>
        </w:rPr>
        <w:t>）用户：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主要指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大型超市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商场（城）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文化娱乐场所等经营场所面积较大的商户，因经营面积较大，单位面积垃圾量较小，经综合考虑，拟定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元/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平方米/月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收费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。</w:t>
      </w:r>
    </w:p>
    <w:p w14:paraId="07339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1.经营面积1000平方以下（含），按经营场所的四分之一面积征收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。</w:t>
      </w:r>
    </w:p>
    <w:p w14:paraId="100314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2.经营面积100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平方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（不含）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至3000平方（含），按经营场所的五分之一面积征收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。</w:t>
      </w:r>
    </w:p>
    <w:p w14:paraId="4F460E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3.经营面积3000平方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（不含）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以上，按经营场所的六分之一面积征收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zh-CN" w:eastAsia="zh-CN" w:bidi="ar-SA"/>
        </w:rPr>
        <w:t>。</w:t>
      </w:r>
    </w:p>
    <w:p w14:paraId="49A41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spacing w:val="-2"/>
          <w:kern w:val="2"/>
          <w:sz w:val="32"/>
          <w:szCs w:val="32"/>
          <w:lang w:val="en-US" w:eastAsia="zh-CN" w:bidi="ar-SA"/>
        </w:rPr>
        <w:t>（5）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农贸、集贸市场（含早市、摊位、亭、床）及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夜市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占道经营者征收垃圾处理费：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按摊位计收，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餐饮类临时摊位1元/摊/天；非餐饮类临时摊位0.5元/摊/天；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（每个摊位按1.5平方米为一个单位，不足1.5平方米按1.5平方米计算，超过1.5平方米的按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倍计算）。</w:t>
      </w:r>
    </w:p>
    <w:p w14:paraId="553BD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spacing w:val="-2"/>
          <w:kern w:val="2"/>
          <w:sz w:val="32"/>
          <w:szCs w:val="32"/>
          <w:lang w:val="en-US" w:eastAsia="zh-CN" w:bidi="ar-SA"/>
        </w:rPr>
        <w:t>（6）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客运站征收垃圾处理费：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按候车室使用面积每月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0.5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平方米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/月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收取。</w:t>
      </w:r>
    </w:p>
    <w:p w14:paraId="0F97C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spacing w:val="-2"/>
          <w:kern w:val="2"/>
          <w:sz w:val="32"/>
          <w:szCs w:val="32"/>
          <w:lang w:val="en-US" w:eastAsia="zh-CN" w:bidi="ar-SA"/>
        </w:rPr>
        <w:t>（7）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工业企业以及上述未涉及的单位：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按从业人数（不含离退休人员）1元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/人/月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收取，由企业负担。</w:t>
      </w:r>
    </w:p>
    <w:p w14:paraId="402D8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）单位自清自运至垃圾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处理点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12.25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元/吨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收取垃圾运输费，37.7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元/吨收取垃圾处理费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。建筑垃圾（单位、居民改扩建装修所产生的弃土、弃料及其它废弃物）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元/车次。建筑工程类的建筑垃圾处理费收费标准按程序申报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乡镇人民政府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协商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制定。</w:t>
      </w:r>
    </w:p>
    <w:p w14:paraId="42A8FD6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68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三、减免政策</w:t>
      </w:r>
    </w:p>
    <w:p w14:paraId="2D9E3F0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对正在享受最低生活保障和国家抚恤的城市居民家庭及社会福利院、敬老院减半收取垃圾处理费；</w:t>
      </w:r>
    </w:p>
    <w:p w14:paraId="25ABC53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义务教育阶段学校、幼儿园在校（园）生、医院（卫生院）患者人数不计入单位人数；</w:t>
      </w:r>
    </w:p>
    <w:p w14:paraId="40F7864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在本地困难企业由主管部门认定后减半收取垃圾处理费。</w:t>
      </w:r>
    </w:p>
    <w:p w14:paraId="0FC7557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68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四、相关要求</w:t>
      </w:r>
    </w:p>
    <w:p w14:paraId="05098B8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乡镇人民政府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要做好宣传解释工作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乡镇垃圾清运公司要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提升服务水平和服务质量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‌满足人民群众对美好生活的向往。</w:t>
      </w:r>
    </w:p>
    <w:p w14:paraId="79001344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县发展和改革委员会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加强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垃圾处理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价格成本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监审，及时将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垃圾处理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价格成本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监审情况汇报县人民政府。</w:t>
      </w:r>
    </w:p>
    <w:p w14:paraId="52A5AFF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68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五、执行时间</w:t>
      </w:r>
    </w:p>
    <w:p w14:paraId="2A3C1C2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该收费标准自公布之日起30日后实施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，有效期限为五年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。执行期间，如遇国家、自治区、地区政策调整，从其规定。</w:t>
      </w:r>
    </w:p>
    <w:p w14:paraId="38EBE98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六</w:t>
      </w: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本方案由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英吉沙县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发展和改革委员会同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英吉沙县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住房和城乡建设局负责解释。原《关于调整英吉沙县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农村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生活垃圾处理收费标准的通知》（英发改字〔2025〕34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号）同时废止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。</w:t>
      </w:r>
    </w:p>
    <w:p w14:paraId="56139035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45F1E2C2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368A8E58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英吉沙县发展和改革委员会</w:t>
      </w:r>
    </w:p>
    <w:p w14:paraId="222B337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2026年6月18日</w:t>
      </w:r>
    </w:p>
    <w:p w14:paraId="6B97C721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</w:pPr>
    </w:p>
    <w:p w14:paraId="3C9BA0CC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E8B0AD5-A6F8-4A3A-942E-CF6955AC13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066426A-AC6A-4363-AB2C-BDBCF4A0623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048D2C3-EC2F-4167-87BC-29AC0FEBEE3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B0D0C0A-4E0E-4F64-9FAE-178ACFD876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D77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983C0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983C0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058E8"/>
    <w:rsid w:val="0A927645"/>
    <w:rsid w:val="0C3152C1"/>
    <w:rsid w:val="0E582669"/>
    <w:rsid w:val="16816E45"/>
    <w:rsid w:val="28123DA1"/>
    <w:rsid w:val="2BE058E8"/>
    <w:rsid w:val="2EBD19D6"/>
    <w:rsid w:val="30E953D6"/>
    <w:rsid w:val="3252569B"/>
    <w:rsid w:val="367A3428"/>
    <w:rsid w:val="3F6C179B"/>
    <w:rsid w:val="514B674C"/>
    <w:rsid w:val="51B65C9D"/>
    <w:rsid w:val="5F5E4851"/>
    <w:rsid w:val="5FC96661"/>
    <w:rsid w:val="68E26B51"/>
    <w:rsid w:val="70757521"/>
    <w:rsid w:val="71452E9D"/>
    <w:rsid w:val="72DC35D3"/>
    <w:rsid w:val="7678672F"/>
    <w:rsid w:val="7DC9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jc w:val="center"/>
      <w:outlineLvl w:val="0"/>
    </w:pPr>
    <w:rPr>
      <w:rFonts w:eastAsia="方正小标宋简体"/>
      <w:b/>
      <w:bCs/>
      <w:kern w:val="44"/>
      <w:sz w:val="40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1749</Words>
  <Characters>1812</Characters>
  <Lines>0</Lines>
  <Paragraphs>0</Paragraphs>
  <TotalTime>0</TotalTime>
  <ScaleCrop>false</ScaleCrop>
  <LinksUpToDate>false</LinksUpToDate>
  <CharactersWithSpaces>1814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2025-08-25T10:29:00Z</dcterms:created>
  <dc:creator>Su我姓苏</dc:creator>
  <cp:lastModifiedBy>NURAHMAT</cp:lastModifiedBy>
  <cp:lastPrinted>2026-06-29T07:56:00Z</cp:lastPrinted>
  <dcterms:modified xsi:type="dcterms:W3CDTF">2026-06-30T04:07:28Z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4A5564C76EDA4F58B146D26091493FBF_13</vt:lpwstr>
  </property>
  <property fmtid="{D5CDD505-2E9C-101B-9397-08002B2CF9AE}" pid="4" name="KSOTemplateDocerSaveRecord">
    <vt:lpwstr>eyJoZGlkIjoiMmZhYjkyOWQ5YzFiZjgzN2UzYzI3NzNjMTgzMjQzNGMiLCJ1c2VySWQiOiIzODIzMDk1MTIifQ==</vt:lpwstr>
  </property>
</Properties>
</file>