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15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关于英吉沙县城镇生活垃圾处理收费标准的通知（2026年修订·征求意见稿）</w:t>
      </w:r>
    </w:p>
    <w:p w14:paraId="71ACEE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</w:p>
    <w:p w14:paraId="64819FB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全县各单位、个人民团体、广大群众及个体工商户：</w:t>
      </w:r>
    </w:p>
    <w:p w14:paraId="3EFE237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68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为完善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英吉沙县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城镇生活垃圾处理收费管理，提高生活垃圾处理质量，改善生态环境，促进生态文明建设，根据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《中华人民共和国价格法》《政府制定价格行为准则》《政府制定价格成本监审办法》及《新疆维吾尔自治区定价目录》《关于创新和完善促进绿色发展价格机制的意见》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等有关法律法规和政策规定，县发展改革委按照相关法定程序，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英吉沙县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发展改革委对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英吉沙县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城镇垃圾处理成本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进行了测算，在成本监审基础上，结合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英吉沙县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实际，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制定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《关于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英吉沙县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城镇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生活垃圾处理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调价方案》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严格依法开展民意调查、集体审议、座谈论证、书面征求意见、合法性审查、价格听证、社会风险评估等法定程序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原收费标准经县2025年第12次常务会议审议通过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。现将有关事项通知如下：</w:t>
      </w:r>
    </w:p>
    <w:p w14:paraId="4CCE9D5D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exact"/>
        <w:ind w:left="0" w:firstLine="668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一、城镇生活垃圾处理费的收取范围及对象</w:t>
      </w:r>
    </w:p>
    <w:p w14:paraId="2E393C5F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城镇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生活垃圾是指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城镇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人口在日常生活中产生或为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城镇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日常生活提供服务的活动产生的固体废物，以及法律、行政法规规定，视为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城镇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生活垃圾的固体废物（不包括建筑垃圾、渣土、工业固体废物和危险废物）。</w:t>
      </w:r>
    </w:p>
    <w:p w14:paraId="49A8D0A8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英吉沙县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城镇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规划区范围内的所有产生生活垃圾的国家机关、企事业单位、个体经营者、社会团体、批发市场、工业品市场、集贸市场、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城镇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居民和暂住人口等均应按规定缴纳生活垃圾处理费。</w:t>
      </w:r>
    </w:p>
    <w:p w14:paraId="77D0404F">
      <w:pPr>
        <w:pStyle w:val="5"/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exact"/>
        <w:ind w:left="0" w:firstLine="668" w:firstLineChars="200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二、生活垃圾处理费收费标准</w:t>
      </w:r>
    </w:p>
    <w:p w14:paraId="0D2823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（1）居民住宅用户（含暂住户）：</w:t>
      </w:r>
    </w:p>
    <w:p w14:paraId="20A0C8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Calibri" w:hAnsi="Calibri" w:eastAsia="方正仿宋_GBK" w:cs="Calibri"/>
          <w:b/>
          <w:bCs/>
          <w:color w:val="auto"/>
          <w:sz w:val="32"/>
          <w:szCs w:val="32"/>
          <w:lang w:val="en-US" w:eastAsia="zh-CN"/>
        </w:rPr>
        <w:t>①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按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户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征收垃圾处理费。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5元/户/月；</w:t>
      </w:r>
    </w:p>
    <w:p w14:paraId="685ADF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Calibri" w:hAnsi="Calibri" w:eastAsia="方正仿宋_GBK" w:cs="Calibri"/>
          <w:b/>
          <w:bCs/>
          <w:color w:val="auto"/>
          <w:sz w:val="32"/>
          <w:szCs w:val="32"/>
          <w:lang w:val="en-US" w:eastAsia="zh-CN"/>
        </w:rPr>
        <w:t>②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按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征收垃圾处理费。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1元/人/月；</w:t>
      </w:r>
    </w:p>
    <w:p w14:paraId="1E6DBD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各小区按实际情况确定收费方式，县业务主管部门于每年1月5日前向县发展改革委备案垃圾处理收费采取的收费模式并公示。经备案、公示后，无特殊情况一年内不得更改收费模式。</w:t>
      </w:r>
    </w:p>
    <w:p w14:paraId="1D562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行政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机关、企事业单位、社会团体、幼儿园、学校、医院等：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按上年年末在岗职工人数（含临时聘用人员）征收城镇垃圾处理费，征收标准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.00元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/人/月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，由单位承担。</w:t>
      </w:r>
    </w:p>
    <w:p w14:paraId="4891062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）宾馆、旅店、招待所等：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行业征收城镇垃圾处理费按营业性床位收取，星级宾馆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（按60%的入住率征收） 3.00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/床/月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其它酒店、招待所（按50%的入住率征收）：2.00元/床/月。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兼营餐饮业的，按餐饮业标准另行收取。</w:t>
      </w:r>
    </w:p>
    <w:p w14:paraId="6484C5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）餐饮业（含各类单位食堂）、茶吧、酒吧：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按面积征收：按2元/月/平方米收取。</w:t>
      </w:r>
    </w:p>
    <w:p w14:paraId="1C7A69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非餐饮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zh-CN" w:eastAsia="zh-CN" w:bidi="ar-SA"/>
        </w:rPr>
        <w:t>工商业</w:t>
      </w:r>
    </w:p>
    <w:p w14:paraId="18214E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zh-CN" w:eastAsia="zh-CN" w:bidi="ar-SA"/>
        </w:rPr>
        <w:t>工商业（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一类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zh-CN" w:eastAsia="zh-CN" w:bidi="ar-SA"/>
        </w:rPr>
        <w:t>）用户：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  <w:t>主要指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零售批发、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  <w:t>美容美发、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修理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  <w:t>加工、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广告喷绘、销售服务等经营场所面积较小的商户，为合理负担、引导商户减少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垃圾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产出，经综合考虑，拟定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  <w:t>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1.5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  <w:t>元/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平方米/月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收费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  <w:t>。</w:t>
      </w:r>
    </w:p>
    <w:p w14:paraId="3F8215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zh-CN" w:eastAsia="zh-CN" w:bidi="ar-SA"/>
        </w:rPr>
        <w:t>工商业（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二类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zh-CN" w:eastAsia="zh-CN" w:bidi="ar-SA"/>
        </w:rPr>
        <w:t>）用户：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  <w:t>主要指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大型超市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商场（城）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文化娱乐场所等经营场所面积较大的商户，因经营面积较大，单位面积垃圾量较小，经综合考虑，拟定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  <w:t>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1.5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  <w:t>元/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平方米/月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收费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  <w:t>。</w:t>
      </w:r>
    </w:p>
    <w:p w14:paraId="745113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1.经营面积1000平方以下（含），按经营场所的四分之一面积征收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  <w:t>。</w:t>
      </w:r>
    </w:p>
    <w:p w14:paraId="7BA103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2.经营面积1000平方（不含）至3000平方（含），按经营场所的五分之一面积征收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  <w:t>。</w:t>
      </w:r>
    </w:p>
    <w:p w14:paraId="5B674B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3.经营面积3000平方（不含）以上，按经营场所的六分之一面积征收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  <w:t>。</w:t>
      </w:r>
    </w:p>
    <w:p w14:paraId="7BA12C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）农贸、集贸市场（含早市、摊位、亭、床）及步行街占道经营者征收城镇垃圾处理费：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按摊位计收，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餐饮类临时摊位1元/摊/天；非餐饮类临时摊位0.5元/摊/天；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（每个摊位按1.5平方米为一个单位，不足1.5平方米按1.5平方米计算，超过1.5平方米的按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倍计算）。</w:t>
      </w:r>
    </w:p>
    <w:p w14:paraId="05D26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）营运车辆征收城镇垃圾处理费：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/辆/月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收取。</w:t>
      </w:r>
    </w:p>
    <w:p w14:paraId="0D3BD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）火车站、客运站征收城镇垃圾处理费：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按候车室使用面积每月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/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平方米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/月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收取。</w:t>
      </w:r>
    </w:p>
    <w:p w14:paraId="0AF6B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43" w:firstLineChars="200"/>
        <w:jc w:val="left"/>
        <w:textAlignment w:val="auto"/>
        <w:rPr>
          <w:rStyle w:val="8"/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）单位自清自运至垃圾处理点：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35.54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元/吨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收取垃圾运输费，37.7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元/吨收取垃圾处理费。建筑垃圾（单位、居民改扩建装修所产生的弃土、弃料及其它废弃物）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元/车次。建筑工程类的建筑垃圾处理费收费标准按程序申报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住房和城乡建设局协商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制定。</w:t>
      </w:r>
    </w:p>
    <w:p w14:paraId="66D89177">
      <w:pPr>
        <w:pStyle w:val="5"/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exact"/>
        <w:ind w:left="0" w:firstLine="668" w:firstLineChars="20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spacing w:val="7"/>
          <w:sz w:val="32"/>
          <w:szCs w:val="32"/>
        </w:rPr>
        <w:t>、减免政策</w:t>
      </w:r>
    </w:p>
    <w:p w14:paraId="668A5912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对正在享受最低生活保障和国家抚恤的城市居民家庭及社会福利院、敬老院减半收取垃圾处理费；</w:t>
      </w:r>
    </w:p>
    <w:p w14:paraId="797419E2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义务教育阶段学校、幼儿园在校（园）生、医院（卫生院）患者人数不计入单位人数；</w:t>
      </w:r>
    </w:p>
    <w:p w14:paraId="15D2A8A3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在本地困难企业由主管部门认定后减半收取垃圾处理费。</w:t>
      </w:r>
    </w:p>
    <w:p w14:paraId="018609CD">
      <w:pPr>
        <w:pStyle w:val="5"/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exact"/>
        <w:ind w:left="0" w:firstLine="668" w:firstLineChars="200"/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四、相关要求</w:t>
      </w:r>
    </w:p>
    <w:p w14:paraId="4D885C2C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依照《城市生活垃圾管理办法》（建设部令第157号）第三十八条的规定，单位和个人未按规定缴纳城市生活垃圾处理费的，由直辖市、市、县人民政府建设（环境卫生）主管部门责令限期改正，逾期不改正的，对单位可处以应交城市生活垃圾处理费三倍以下且不超过3万元的罚款，对个人可处以应交城市生活垃圾处理费三倍以下且不超过1000元的罚款。</w:t>
      </w:r>
    </w:p>
    <w:p w14:paraId="7886FF8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县住建局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要做好宣传解释工作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提升服务水平和服务质量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‌满足人民群众对美好生活的向往。</w:t>
      </w:r>
    </w:p>
    <w:p w14:paraId="63F23D5F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县发展和改革委员会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加强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垃圾处理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价格成本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监审，及时将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垃圾处理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价格成本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监审情况汇报县人民政府。</w:t>
      </w:r>
    </w:p>
    <w:p w14:paraId="019FCEFF">
      <w:pPr>
        <w:pStyle w:val="5"/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exact"/>
        <w:ind w:left="0" w:firstLine="668" w:firstLineChars="200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五、执行时间</w:t>
      </w:r>
    </w:p>
    <w:p w14:paraId="4F528574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该收费标准自公布之日起30日后实施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，有效期限为五年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。执行期间，如遇国家、自治区、地区政策调整，从其规定。</w:t>
      </w:r>
    </w:p>
    <w:p w14:paraId="4DAADCF0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六</w:t>
      </w:r>
      <w:r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本方案由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英吉沙县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发展和改革委员会同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英吉沙县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住房和城乡建设局负责解释。原《关于调整英吉沙县城镇生活垃圾处理收费标准的通知》（英发改字〔2025〕340 号）同时废止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。</w:t>
      </w:r>
    </w:p>
    <w:p w14:paraId="1FF672C2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</w:p>
    <w:p w14:paraId="7D7EC2D8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</w:p>
    <w:p w14:paraId="3A9C0CFF"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 xml:space="preserve">              英吉沙县发展和改革委员会</w:t>
      </w:r>
    </w:p>
    <w:p w14:paraId="5EB16228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 xml:space="preserve">              2026年6月29日</w:t>
      </w:r>
    </w:p>
    <w:p w14:paraId="582E51D3"/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4C33BCE-BFEE-43E6-B0CF-B5DE5808B00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A332F34-46AF-42AB-A949-666F4CD12DD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549DE09-4072-4D4C-92F6-BFC5522F3C6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33BE85B-4648-4EDB-A959-93456D2624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06DC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249C05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249C05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66A96"/>
    <w:rsid w:val="0124369D"/>
    <w:rsid w:val="02900D32"/>
    <w:rsid w:val="057042E4"/>
    <w:rsid w:val="13585B81"/>
    <w:rsid w:val="15CB144E"/>
    <w:rsid w:val="1BC433A4"/>
    <w:rsid w:val="1E572BBC"/>
    <w:rsid w:val="2AF96BD1"/>
    <w:rsid w:val="32F512E0"/>
    <w:rsid w:val="34A96C2F"/>
    <w:rsid w:val="388B6C9C"/>
    <w:rsid w:val="38D806EF"/>
    <w:rsid w:val="3DCE3FA2"/>
    <w:rsid w:val="40717E02"/>
    <w:rsid w:val="441839BF"/>
    <w:rsid w:val="451E392D"/>
    <w:rsid w:val="458F3ED3"/>
    <w:rsid w:val="4A357094"/>
    <w:rsid w:val="4F366A96"/>
    <w:rsid w:val="544C3A5E"/>
    <w:rsid w:val="59F10A08"/>
    <w:rsid w:val="5EC749C2"/>
    <w:rsid w:val="75ED7ACA"/>
    <w:rsid w:val="7AFD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8" w:lineRule="auto"/>
      <w:jc w:val="center"/>
      <w:outlineLvl w:val="0"/>
    </w:pPr>
    <w:rPr>
      <w:rFonts w:eastAsia="方正小标宋简体"/>
      <w:b/>
      <w:bCs/>
      <w:kern w:val="44"/>
      <w:sz w:val="40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2044</Words>
  <Characters>2126</Characters>
  <Lines>0</Lines>
  <Paragraphs>0</Paragraphs>
  <TotalTime>4</TotalTime>
  <ScaleCrop>false</ScaleCrop>
  <LinksUpToDate>false</LinksUpToDate>
  <CharactersWithSpaces>2159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2025-08-25T09:59:00Z</dcterms:created>
  <dc:creator>Su我姓苏</dc:creator>
  <cp:lastModifiedBy>NURAHMAT</cp:lastModifiedBy>
  <cp:lastPrinted>2026-06-29T07:55:00Z</cp:lastPrinted>
  <dcterms:modified xsi:type="dcterms:W3CDTF">2026-06-30T04:07:14Z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F07BB2DFB7784FDFAF69C50F81EB1BDB_13</vt:lpwstr>
  </property>
  <property fmtid="{D5CDD505-2E9C-101B-9397-08002B2CF9AE}" pid="4" name="KSOTemplateDocerSaveRecord">
    <vt:lpwstr>eyJoZGlkIjoiMmZhYjkyOWQ5YzFiZjgzN2UzYzI3NzNjMTgzMjQzNGMiLCJ1c2VySWQiOiIzODIzMDk1MTIifQ==</vt:lpwstr>
  </property>
</Properties>
</file>