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N/>
        <w:bidi w:val="0"/>
        <w:adjustRightInd/>
        <w:snapToGrid/>
        <w:spacing w:line="570" w:lineRule="atLeast"/>
        <w:jc w:val="both"/>
        <w:textAlignment w:val="auto"/>
        <w:rPr>
          <w:rFonts w:ascii="Times New Roman" w:hAnsi="Times New Roman" w:eastAsia="方正小标宋简体"/>
          <w:sz w:val="44"/>
          <w:szCs w:val="44"/>
          <w:highlight w:val="none"/>
        </w:rPr>
      </w:pPr>
      <w:r>
        <w:rPr>
          <w:rFonts w:hint="eastAsia" w:ascii="Times New Roman" w:hAnsi="Times New Roman" w:eastAsia="方正小标宋简体"/>
          <w:sz w:val="44"/>
          <w:szCs w:val="44"/>
          <w:highlight w:val="none"/>
        </w:rPr>
        <w:t>关于</w:t>
      </w:r>
      <w:r>
        <w:rPr>
          <w:rFonts w:hint="eastAsia" w:ascii="Times New Roman" w:hAnsi="Times New Roman" w:eastAsia="方正小标宋简体"/>
          <w:sz w:val="44"/>
          <w:szCs w:val="44"/>
          <w:highlight w:val="none"/>
          <w:lang w:eastAsia="zh-CN"/>
        </w:rPr>
        <w:t>英吉沙县2022年</w:t>
      </w:r>
      <w:r>
        <w:rPr>
          <w:rFonts w:hint="eastAsia" w:ascii="Times New Roman" w:hAnsi="Times New Roman" w:eastAsia="方正小标宋简体"/>
          <w:sz w:val="44"/>
          <w:szCs w:val="44"/>
          <w:highlight w:val="none"/>
        </w:rPr>
        <w:t>财政决算（草案）的报告</w:t>
      </w:r>
    </w:p>
    <w:p>
      <w:pPr>
        <w:widowControl/>
        <w:shd w:val="clear" w:color="auto" w:fill="FFFFFF"/>
        <w:spacing w:line="570" w:lineRule="atLeast"/>
        <w:jc w:val="center"/>
        <w:rPr>
          <w:rFonts w:hint="eastAsia" w:ascii="方正楷体_GBK" w:hAnsi="宋体" w:eastAsia="方正楷体_GBK" w:cs="宋体"/>
          <w:b/>
          <w:bCs/>
          <w:color w:val="000000"/>
          <w:spacing w:val="6"/>
          <w:kern w:val="0"/>
          <w:sz w:val="32"/>
          <w:szCs w:val="32"/>
        </w:rPr>
      </w:pPr>
    </w:p>
    <w:p>
      <w:pPr>
        <w:widowControl/>
        <w:shd w:val="clear" w:color="auto" w:fill="FFFFFF"/>
        <w:spacing w:line="570" w:lineRule="atLeast"/>
        <w:jc w:val="center"/>
        <w:rPr>
          <w:rFonts w:hint="eastAsia" w:ascii="方正楷体_GBK" w:hAnsi="方正楷体_GBK" w:eastAsia="方正楷体_GBK" w:cs="方正楷体_GBK"/>
          <w:b/>
          <w:bCs/>
          <w:color w:val="000000"/>
          <w:spacing w:val="6"/>
          <w:kern w:val="0"/>
          <w:sz w:val="32"/>
          <w:szCs w:val="32"/>
        </w:rPr>
      </w:pPr>
      <w:r>
        <w:rPr>
          <w:rFonts w:hint="eastAsia" w:ascii="方正楷体_GBK" w:hAnsi="宋体" w:eastAsia="方正楷体_GBK" w:cs="宋体"/>
          <w:b/>
          <w:bCs/>
          <w:color w:val="000000"/>
          <w:spacing w:val="6"/>
          <w:kern w:val="0"/>
          <w:sz w:val="32"/>
          <w:szCs w:val="32"/>
        </w:rPr>
        <w:t>——</w:t>
      </w:r>
      <w:r>
        <w:rPr>
          <w:rFonts w:ascii="Times New Roman" w:hAnsi="Times New Roman" w:eastAsia="方正仿宋_GBK" w:cs="Times New Roman"/>
          <w:b/>
          <w:bCs/>
          <w:color w:val="000000"/>
          <w:spacing w:val="-6"/>
          <w:kern w:val="0"/>
          <w:sz w:val="32"/>
          <w:szCs w:val="32"/>
        </w:rPr>
        <w:t>202</w:t>
      </w:r>
      <w:r>
        <w:rPr>
          <w:rFonts w:hint="eastAsia" w:ascii="Times New Roman" w:hAnsi="Times New Roman" w:eastAsia="方正仿宋_GBK" w:cs="Times New Roman"/>
          <w:b/>
          <w:bCs/>
          <w:color w:val="000000"/>
          <w:spacing w:val="-6"/>
          <w:kern w:val="0"/>
          <w:sz w:val="32"/>
          <w:szCs w:val="32"/>
          <w:lang w:val="en-US" w:eastAsia="zh-CN"/>
        </w:rPr>
        <w:t>3</w:t>
      </w:r>
      <w:r>
        <w:rPr>
          <w:rFonts w:ascii="方正楷体_GBK" w:hAnsi="Times New Roman" w:eastAsia="方正楷体_GBK" w:cs="Times New Roman"/>
          <w:b/>
          <w:bCs/>
          <w:color w:val="000000"/>
          <w:spacing w:val="-6"/>
          <w:kern w:val="0"/>
          <w:sz w:val="32"/>
          <w:szCs w:val="32"/>
        </w:rPr>
        <w:t>年</w:t>
      </w:r>
      <w:r>
        <w:rPr>
          <w:rFonts w:hint="eastAsia" w:ascii="Times New Roman" w:hAnsi="Times New Roman" w:eastAsia="方正仿宋_GBK" w:cs="Times New Roman"/>
          <w:b/>
          <w:bCs/>
          <w:color w:val="000000"/>
          <w:spacing w:val="-6"/>
          <w:kern w:val="0"/>
          <w:sz w:val="32"/>
          <w:szCs w:val="32"/>
          <w:lang w:val="en-US" w:eastAsia="zh-CN"/>
        </w:rPr>
        <w:t>10</w:t>
      </w:r>
      <w:r>
        <w:rPr>
          <w:rFonts w:ascii="方正楷体_GBK" w:hAnsi="Times New Roman" w:eastAsia="方正楷体_GBK" w:cs="Times New Roman"/>
          <w:b/>
          <w:bCs/>
          <w:color w:val="000000"/>
          <w:spacing w:val="-6"/>
          <w:kern w:val="0"/>
          <w:sz w:val="32"/>
          <w:szCs w:val="32"/>
        </w:rPr>
        <w:t>月</w:t>
      </w:r>
      <w:r>
        <w:rPr>
          <w:rFonts w:hint="eastAsia" w:ascii="Times New Roman" w:hAnsi="Times New Roman" w:eastAsia="方正楷体_GBK" w:cs="Times New Roman"/>
          <w:b/>
          <w:bCs/>
          <w:color w:val="000000"/>
          <w:spacing w:val="-6"/>
          <w:kern w:val="0"/>
          <w:sz w:val="32"/>
          <w:szCs w:val="32"/>
          <w:lang w:val="en-US" w:eastAsia="zh-CN"/>
        </w:rPr>
        <w:t>28</w:t>
      </w:r>
      <w:r>
        <w:rPr>
          <w:rFonts w:ascii="方正楷体_GBK" w:hAnsi="Times New Roman" w:eastAsia="方正楷体_GBK" w:cs="Times New Roman"/>
          <w:b/>
          <w:bCs/>
          <w:color w:val="000000"/>
          <w:spacing w:val="-6"/>
          <w:kern w:val="0"/>
          <w:sz w:val="32"/>
          <w:szCs w:val="32"/>
        </w:rPr>
        <w:t>日</w:t>
      </w:r>
      <w:r>
        <w:rPr>
          <w:rFonts w:hint="eastAsia" w:ascii="方正楷体_GBK" w:hAnsi="Times New Roman" w:eastAsia="方正楷体_GBK" w:cs="Times New Roman"/>
          <w:b/>
          <w:bCs/>
          <w:color w:val="000000"/>
          <w:spacing w:val="-6"/>
          <w:kern w:val="0"/>
          <w:sz w:val="32"/>
          <w:szCs w:val="32"/>
          <w:lang w:eastAsia="zh-CN"/>
        </w:rPr>
        <w:t>在</w:t>
      </w:r>
      <w:r>
        <w:rPr>
          <w:rFonts w:hint="eastAsia" w:ascii="方正楷体_GBK" w:hAnsi="方正楷体_GBK" w:eastAsia="方正楷体_GBK" w:cs="方正楷体_GBK"/>
          <w:b/>
          <w:bCs/>
          <w:color w:val="000000"/>
          <w:spacing w:val="6"/>
          <w:kern w:val="0"/>
          <w:sz w:val="32"/>
          <w:szCs w:val="32"/>
        </w:rPr>
        <w:t>英吉沙县十七届人大常委会</w:t>
      </w:r>
    </w:p>
    <w:p>
      <w:pPr>
        <w:widowControl/>
        <w:shd w:val="clear" w:color="auto" w:fill="FFFFFF"/>
        <w:spacing w:line="570" w:lineRule="atLeast"/>
        <w:jc w:val="center"/>
        <w:rPr>
          <w:rFonts w:hint="eastAsia" w:ascii="方正楷体_GBK" w:hAnsi="方正楷体_GBK" w:eastAsia="方正楷体_GBK" w:cs="方正楷体_GBK"/>
          <w:b/>
          <w:bCs/>
          <w:color w:val="000000"/>
          <w:spacing w:val="6"/>
          <w:kern w:val="0"/>
          <w:sz w:val="32"/>
          <w:szCs w:val="32"/>
          <w:lang w:eastAsia="zh-CN"/>
        </w:rPr>
      </w:pPr>
      <w:r>
        <w:rPr>
          <w:rFonts w:hint="eastAsia" w:ascii="方正楷体_GBK" w:hAnsi="方正楷体_GBK" w:eastAsia="方正楷体_GBK" w:cs="方正楷体_GBK"/>
          <w:b/>
          <w:bCs/>
          <w:color w:val="000000"/>
          <w:spacing w:val="6"/>
          <w:kern w:val="0"/>
          <w:sz w:val="32"/>
          <w:szCs w:val="32"/>
        </w:rPr>
        <w:t>第</w:t>
      </w:r>
      <w:r>
        <w:rPr>
          <w:rFonts w:hint="eastAsia" w:ascii="方正楷体_GBK" w:hAnsi="方正楷体_GBK" w:eastAsia="方正楷体_GBK" w:cs="方正楷体_GBK"/>
          <w:b/>
          <w:bCs/>
          <w:color w:val="000000"/>
          <w:spacing w:val="6"/>
          <w:kern w:val="0"/>
          <w:sz w:val="32"/>
          <w:szCs w:val="32"/>
          <w:lang w:val="en-US" w:eastAsia="zh-CN"/>
        </w:rPr>
        <w:t>十五</w:t>
      </w:r>
      <w:r>
        <w:rPr>
          <w:rFonts w:hint="eastAsia" w:ascii="方正楷体_GBK" w:hAnsi="方正楷体_GBK" w:eastAsia="方正楷体_GBK" w:cs="方正楷体_GBK"/>
          <w:b/>
          <w:bCs/>
          <w:color w:val="000000"/>
          <w:spacing w:val="6"/>
          <w:kern w:val="0"/>
          <w:sz w:val="32"/>
          <w:szCs w:val="32"/>
        </w:rPr>
        <w:t>次会议</w:t>
      </w:r>
      <w:r>
        <w:rPr>
          <w:rFonts w:hint="eastAsia" w:ascii="方正楷体_GBK" w:hAnsi="方正楷体_GBK" w:eastAsia="方正楷体_GBK" w:cs="方正楷体_GBK"/>
          <w:b/>
          <w:bCs/>
          <w:color w:val="000000"/>
          <w:spacing w:val="6"/>
          <w:kern w:val="0"/>
          <w:sz w:val="32"/>
          <w:szCs w:val="32"/>
          <w:lang w:eastAsia="zh-CN"/>
        </w:rPr>
        <w:t>上</w:t>
      </w:r>
    </w:p>
    <w:p>
      <w:pPr>
        <w:pStyle w:val="2"/>
        <w:jc w:val="center"/>
        <w:rPr>
          <w:rFonts w:hint="eastAsia" w:eastAsia="方正仿宋_GBK"/>
          <w:lang w:eastAsia="zh-CN"/>
        </w:rPr>
      </w:pPr>
      <w:r>
        <w:rPr>
          <w:rFonts w:hint="eastAsia" w:ascii="方正楷体_GBK" w:hAnsi="Times New Roman" w:eastAsia="方正楷体_GBK" w:cs="Times New Roman"/>
          <w:color w:val="000000"/>
          <w:spacing w:val="6"/>
          <w:kern w:val="0"/>
          <w:sz w:val="32"/>
          <w:szCs w:val="32"/>
          <w:lang w:eastAsia="zh-CN"/>
        </w:rPr>
        <w:t>英吉沙县</w:t>
      </w:r>
      <w:r>
        <w:rPr>
          <w:rFonts w:ascii="方正楷体_GBK" w:hAnsi="Times New Roman" w:eastAsia="方正楷体_GBK" w:cs="Times New Roman"/>
          <w:color w:val="000000"/>
          <w:spacing w:val="6"/>
          <w:kern w:val="0"/>
          <w:sz w:val="32"/>
          <w:szCs w:val="32"/>
        </w:rPr>
        <w:t>财政局党组书记、局长</w:t>
      </w:r>
      <w:r>
        <w:rPr>
          <w:rFonts w:ascii="Times New Roman" w:hAnsi="Times New Roman" w:eastAsia="方正仿宋_GBK" w:cs="Times New Roman"/>
          <w:color w:val="000000"/>
          <w:spacing w:val="6"/>
          <w:kern w:val="0"/>
          <w:sz w:val="32"/>
          <w:szCs w:val="32"/>
        </w:rPr>
        <w:t>  </w:t>
      </w:r>
      <w:r>
        <w:rPr>
          <w:rFonts w:hint="eastAsia" w:ascii="Times New Roman" w:hAnsi="Times New Roman" w:eastAsia="方正仿宋_GBK" w:cs="Times New Roman"/>
          <w:color w:val="000000"/>
          <w:spacing w:val="6"/>
          <w:kern w:val="0"/>
          <w:sz w:val="32"/>
          <w:szCs w:val="32"/>
          <w:lang w:eastAsia="zh-CN"/>
        </w:rPr>
        <w:t>周蓉</w:t>
      </w:r>
    </w:p>
    <w:p>
      <w:pPr>
        <w:widowControl/>
        <w:shd w:val="clear" w:color="auto" w:fill="FFFFFF"/>
        <w:spacing w:line="570" w:lineRule="atLeast"/>
        <w:rPr>
          <w:rFonts w:hint="eastAsia" w:ascii="方正仿宋_GBK" w:hAnsi="宋体" w:eastAsia="方正仿宋_GBK" w:cs="宋体"/>
          <w:color w:val="000000"/>
          <w:spacing w:val="6"/>
          <w:kern w:val="0"/>
          <w:sz w:val="32"/>
          <w:szCs w:val="32"/>
        </w:rPr>
      </w:pPr>
      <w:r>
        <w:rPr>
          <w:rFonts w:ascii="方正仿宋_GBK" w:hAnsi="Times New Roman" w:eastAsia="方正仿宋_GBK" w:cs="Times New Roman"/>
          <w:color w:val="000000"/>
          <w:spacing w:val="6"/>
          <w:kern w:val="0"/>
          <w:sz w:val="32"/>
          <w:szCs w:val="32"/>
        </w:rPr>
        <w:t>主任、各位副主任、各位委员：</w:t>
      </w:r>
    </w:p>
    <w:p>
      <w:pPr>
        <w:keepNext w:val="0"/>
        <w:keepLines w:val="0"/>
        <w:pageBreakBefore w:val="0"/>
        <w:widowControl w:val="0"/>
        <w:kinsoku/>
        <w:wordWrap/>
        <w:overflowPunct/>
        <w:topLinePunct w:val="0"/>
        <w:autoSpaceDN/>
        <w:bidi w:val="0"/>
        <w:adjustRightInd/>
        <w:snapToGrid/>
        <w:spacing w:line="570" w:lineRule="atLeast"/>
        <w:ind w:firstLine="664" w:firstLineChars="200"/>
        <w:textAlignment w:val="auto"/>
        <w:rPr>
          <w:rFonts w:hint="eastAsia" w:ascii="Times New Roman" w:hAnsi="Times New Roman" w:eastAsia="方正仿宋简体"/>
          <w:sz w:val="32"/>
          <w:szCs w:val="32"/>
          <w:highlight w:val="none"/>
        </w:rPr>
      </w:pPr>
      <w:r>
        <w:rPr>
          <w:rFonts w:ascii="方正仿宋_GBK" w:hAnsi="Times New Roman" w:eastAsia="方正仿宋_GBK" w:cs="Times New Roman"/>
          <w:color w:val="000000"/>
          <w:spacing w:val="6"/>
          <w:kern w:val="0"/>
          <w:sz w:val="32"/>
          <w:szCs w:val="32"/>
        </w:rPr>
        <w:t>根据会议安排，受行署委托，我向会议报告</w:t>
      </w:r>
      <w:r>
        <w:rPr>
          <w:rFonts w:ascii="Times New Roman" w:hAnsi="Times New Roman" w:eastAsia="方正仿宋_GBK" w:cs="Times New Roman"/>
          <w:color w:val="000000"/>
          <w:spacing w:val="6"/>
          <w:kern w:val="0"/>
          <w:sz w:val="32"/>
          <w:szCs w:val="32"/>
        </w:rPr>
        <w:t>2021</w:t>
      </w:r>
      <w:r>
        <w:rPr>
          <w:rFonts w:ascii="方正仿宋_GBK" w:hAnsi="Times New Roman" w:eastAsia="方正仿宋_GBK" w:cs="Times New Roman"/>
          <w:color w:val="000000"/>
          <w:spacing w:val="6"/>
          <w:kern w:val="0"/>
          <w:sz w:val="32"/>
          <w:szCs w:val="32"/>
        </w:rPr>
        <w:t>年</w:t>
      </w:r>
      <w:r>
        <w:rPr>
          <w:rFonts w:hint="eastAsia" w:ascii="方正仿宋_GBK" w:hAnsi="宋体" w:eastAsia="方正仿宋_GBK" w:cs="宋体"/>
          <w:color w:val="000000"/>
          <w:spacing w:val="6"/>
          <w:kern w:val="0"/>
          <w:sz w:val="32"/>
          <w:szCs w:val="32"/>
        </w:rPr>
        <w:t>度</w:t>
      </w:r>
      <w:r>
        <w:rPr>
          <w:rFonts w:ascii="方正仿宋_GBK" w:hAnsi="Times New Roman" w:eastAsia="方正仿宋_GBK" w:cs="Times New Roman"/>
          <w:color w:val="000000"/>
          <w:spacing w:val="6"/>
          <w:kern w:val="0"/>
          <w:sz w:val="32"/>
          <w:szCs w:val="32"/>
        </w:rPr>
        <w:t>喀什地区及本级财政决</w:t>
      </w:r>
      <w:bookmarkStart w:id="1" w:name="_GoBack"/>
      <w:bookmarkEnd w:id="1"/>
      <w:r>
        <w:rPr>
          <w:rFonts w:ascii="方正仿宋_GBK" w:hAnsi="Times New Roman" w:eastAsia="方正仿宋_GBK" w:cs="Times New Roman"/>
          <w:color w:val="000000"/>
          <w:spacing w:val="6"/>
          <w:kern w:val="0"/>
          <w:sz w:val="32"/>
          <w:szCs w:val="32"/>
        </w:rPr>
        <w:t>算（草案）情况，请予审议。</w:t>
      </w:r>
    </w:p>
    <w:p>
      <w:pPr>
        <w:keepNext w:val="0"/>
        <w:keepLines w:val="0"/>
        <w:pageBreakBefore w:val="0"/>
        <w:widowControl w:val="0"/>
        <w:kinsoku/>
        <w:wordWrap/>
        <w:overflowPunct/>
        <w:topLinePunct w:val="0"/>
        <w:autoSpaceDE/>
        <w:autoSpaceDN/>
        <w:bidi w:val="0"/>
        <w:adjustRightInd/>
        <w:snapToGrid/>
        <w:spacing w:line="570" w:lineRule="exact"/>
        <w:ind w:left="0" w:leftChars="0" w:firstLine="643" w:firstLineChars="200"/>
        <w:textAlignment w:val="auto"/>
        <w:rPr>
          <w:rFonts w:hint="eastAsia" w:ascii="Times New Roman" w:hAnsi="Times New Roman" w:eastAsia="方正黑体_GBK" w:cs="方正黑体_GBK"/>
          <w:b/>
          <w:spacing w:val="0"/>
          <w:sz w:val="32"/>
          <w:szCs w:val="32"/>
          <w:highlight w:val="none"/>
        </w:rPr>
      </w:pPr>
      <w:r>
        <w:rPr>
          <w:rFonts w:hint="eastAsia" w:ascii="Times New Roman" w:hAnsi="Times New Roman" w:eastAsia="方正黑体_GBK" w:cs="方正黑体_GBK"/>
          <w:b/>
          <w:spacing w:val="0"/>
          <w:sz w:val="32"/>
          <w:szCs w:val="32"/>
          <w:highlight w:val="none"/>
        </w:rPr>
        <w:t>一、</w:t>
      </w:r>
      <w:r>
        <w:rPr>
          <w:rFonts w:hint="eastAsia" w:ascii="Times New Roman" w:hAnsi="Times New Roman" w:eastAsia="方正黑体_GBK" w:cs="方正黑体_GBK"/>
          <w:b/>
          <w:spacing w:val="0"/>
          <w:sz w:val="32"/>
          <w:szCs w:val="32"/>
          <w:highlight w:val="none"/>
          <w:lang w:eastAsia="zh-CN"/>
        </w:rPr>
        <w:t>2022年</w:t>
      </w:r>
      <w:r>
        <w:rPr>
          <w:rFonts w:hint="eastAsia" w:ascii="Times New Roman" w:hAnsi="Times New Roman" w:eastAsia="方正黑体_GBK" w:cs="方正黑体_GBK"/>
          <w:b/>
          <w:spacing w:val="0"/>
          <w:sz w:val="32"/>
          <w:szCs w:val="32"/>
          <w:highlight w:val="none"/>
        </w:rPr>
        <w:t>预算执行情况</w:t>
      </w:r>
    </w:p>
    <w:p>
      <w:pPr>
        <w:keepNext w:val="0"/>
        <w:keepLines w:val="0"/>
        <w:pageBreakBefore w:val="0"/>
        <w:widowControl w:val="0"/>
        <w:kinsoku/>
        <w:wordWrap/>
        <w:overflowPunct/>
        <w:topLinePunct w:val="0"/>
        <w:autoSpaceDE/>
        <w:autoSpaceDN/>
        <w:bidi w:val="0"/>
        <w:adjustRightInd/>
        <w:snapToGrid/>
        <w:spacing w:line="570" w:lineRule="exact"/>
        <w:ind w:left="0" w:leftChars="0" w:firstLine="643" w:firstLineChars="200"/>
        <w:textAlignment w:val="auto"/>
        <w:rPr>
          <w:rFonts w:hint="eastAsia" w:ascii="Times New Roman" w:hAnsi="Times New Roman" w:eastAsia="方正仿宋_GBK"/>
          <w:spacing w:val="0"/>
          <w:sz w:val="32"/>
          <w:szCs w:val="32"/>
          <w:highlight w:val="none"/>
          <w:lang w:val="en-US" w:eastAsia="zh-CN"/>
        </w:rPr>
      </w:pPr>
      <w:r>
        <w:rPr>
          <w:rFonts w:hint="eastAsia" w:ascii="Times New Roman" w:hAnsi="Times New Roman" w:eastAsia="方正楷体_GBK" w:cs="方正楷体_GBK"/>
          <w:b/>
          <w:bCs/>
          <w:spacing w:val="0"/>
          <w:sz w:val="32"/>
          <w:szCs w:val="32"/>
          <w:highlight w:val="none"/>
          <w:lang w:val="en-US" w:eastAsia="zh-CN"/>
        </w:rPr>
        <w:t>（一）</w:t>
      </w:r>
      <w:r>
        <w:rPr>
          <w:rFonts w:hint="eastAsia" w:ascii="Times New Roman" w:hAnsi="Times New Roman" w:eastAsia="方正楷体_GBK" w:cs="方正楷体_GBK"/>
          <w:spacing w:val="0"/>
          <w:sz w:val="32"/>
          <w:szCs w:val="32"/>
          <w:highlight w:val="none"/>
          <w:lang w:val="en-US" w:eastAsia="zh-CN"/>
        </w:rPr>
        <w:t xml:space="preserve"> </w:t>
      </w:r>
      <w:r>
        <w:rPr>
          <w:rFonts w:hint="eastAsia" w:ascii="Times New Roman" w:hAnsi="Times New Roman" w:eastAsia="方正楷体_GBK" w:cs="方正楷体_GBK"/>
          <w:b/>
          <w:bCs/>
          <w:spacing w:val="0"/>
          <w:sz w:val="32"/>
          <w:szCs w:val="32"/>
          <w:highlight w:val="none"/>
          <w:lang w:eastAsia="zh-CN"/>
        </w:rPr>
        <w:t>2022年</w:t>
      </w:r>
      <w:r>
        <w:rPr>
          <w:rFonts w:hint="eastAsia" w:ascii="Times New Roman" w:hAnsi="Times New Roman" w:eastAsia="方正楷体_GBK" w:cs="方正楷体_GBK"/>
          <w:b/>
          <w:bCs/>
          <w:spacing w:val="0"/>
          <w:sz w:val="32"/>
          <w:szCs w:val="32"/>
          <w:highlight w:val="none"/>
        </w:rPr>
        <w:t>一般公共预算执行情况</w:t>
      </w:r>
      <w:r>
        <w:rPr>
          <w:rFonts w:hint="eastAsia" w:ascii="Times New Roman" w:hAnsi="Times New Roman" w:eastAsia="方正仿宋_GBK"/>
          <w:spacing w:val="0"/>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eastAsia" w:ascii="Times New Roman" w:hAnsi="Times New Roman" w:eastAsia="方正仿宋_GBK"/>
          <w:b/>
          <w:bCs/>
          <w:spacing w:val="0"/>
          <w:sz w:val="32"/>
          <w:szCs w:val="32"/>
          <w:highlight w:val="none"/>
          <w:lang w:val="en-US" w:eastAsia="zh-CN"/>
        </w:rPr>
      </w:pPr>
      <w:r>
        <w:rPr>
          <w:rFonts w:hint="eastAsia" w:ascii="Times New Roman" w:hAnsi="Times New Roman" w:eastAsia="方正仿宋_GBK"/>
          <w:b/>
          <w:bCs/>
          <w:spacing w:val="0"/>
          <w:sz w:val="32"/>
          <w:szCs w:val="32"/>
          <w:highlight w:val="none"/>
          <w:lang w:val="en-US" w:eastAsia="zh-CN"/>
        </w:rPr>
        <w:t>1.一般公共预算收入情况</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spacing w:val="0"/>
          <w:lang w:val="en-US" w:eastAsia="zh-CN"/>
        </w:rPr>
      </w:pPr>
      <w:r>
        <w:rPr>
          <w:rFonts w:hint="eastAsia" w:ascii="Times New Roman" w:hAnsi="Times New Roman" w:eastAsia="方正仿宋_GBK" w:cs="方正仿宋_GBK"/>
          <w:color w:val="000000"/>
          <w:spacing w:val="0"/>
          <w:sz w:val="32"/>
          <w:szCs w:val="32"/>
        </w:rPr>
        <w:t>202</w:t>
      </w:r>
      <w:r>
        <w:rPr>
          <w:rFonts w:hint="eastAsia" w:ascii="Times New Roman" w:hAnsi="Times New Roman" w:eastAsia="方正仿宋_GBK" w:cs="方正仿宋_GBK"/>
          <w:color w:val="000000"/>
          <w:spacing w:val="0"/>
          <w:sz w:val="32"/>
          <w:szCs w:val="32"/>
          <w:lang w:val="en-US" w:eastAsia="zh-CN"/>
        </w:rPr>
        <w:t>2</w:t>
      </w:r>
      <w:r>
        <w:rPr>
          <w:rFonts w:hint="eastAsia" w:ascii="Times New Roman" w:hAnsi="Times New Roman" w:eastAsia="方正仿宋_GBK" w:cs="方正仿宋_GBK"/>
          <w:color w:val="000000"/>
          <w:spacing w:val="0"/>
          <w:sz w:val="32"/>
          <w:szCs w:val="32"/>
        </w:rPr>
        <w:t>年完成一般公共预算收入</w:t>
      </w:r>
      <w:r>
        <w:rPr>
          <w:rFonts w:hint="eastAsia" w:ascii="Times New Roman" w:hAnsi="Times New Roman" w:eastAsia="方正仿宋_GBK" w:cs="方正仿宋_GBK"/>
          <w:color w:val="000000"/>
          <w:spacing w:val="0"/>
          <w:sz w:val="32"/>
          <w:szCs w:val="32"/>
          <w:lang w:val="en-US" w:eastAsia="zh-CN"/>
        </w:rPr>
        <w:t>21846</w:t>
      </w:r>
      <w:r>
        <w:rPr>
          <w:rFonts w:hint="eastAsia" w:ascii="Times New Roman" w:hAnsi="Times New Roman" w:eastAsia="方正仿宋_GBK" w:cs="方正仿宋_GBK"/>
          <w:color w:val="000000"/>
          <w:spacing w:val="0"/>
          <w:sz w:val="32"/>
          <w:szCs w:val="32"/>
        </w:rPr>
        <w:t>万元，完成年初预算2</w:t>
      </w:r>
      <w:r>
        <w:rPr>
          <w:rFonts w:hint="eastAsia" w:ascii="Times New Roman" w:hAnsi="Times New Roman" w:eastAsia="方正仿宋_GBK" w:cs="方正仿宋_GBK"/>
          <w:color w:val="000000"/>
          <w:spacing w:val="0"/>
          <w:sz w:val="32"/>
          <w:szCs w:val="32"/>
          <w:lang w:val="en-US" w:eastAsia="zh-CN"/>
        </w:rPr>
        <w:t>1000</w:t>
      </w:r>
      <w:r>
        <w:rPr>
          <w:rFonts w:hint="eastAsia" w:ascii="Times New Roman" w:hAnsi="Times New Roman" w:eastAsia="方正仿宋_GBK" w:cs="方正仿宋_GBK"/>
          <w:color w:val="000000"/>
          <w:spacing w:val="0"/>
          <w:sz w:val="32"/>
          <w:szCs w:val="32"/>
        </w:rPr>
        <w:t>万元的</w:t>
      </w:r>
      <w:r>
        <w:rPr>
          <w:rFonts w:hint="eastAsia" w:ascii="Times New Roman" w:hAnsi="Times New Roman" w:eastAsia="方正仿宋_GBK" w:cs="方正仿宋_GBK"/>
          <w:color w:val="000000"/>
          <w:spacing w:val="0"/>
          <w:sz w:val="32"/>
          <w:szCs w:val="32"/>
          <w:lang w:val="en-US" w:eastAsia="zh-CN"/>
        </w:rPr>
        <w:t>104.03</w:t>
      </w:r>
      <w:r>
        <w:rPr>
          <w:rFonts w:hint="eastAsia" w:ascii="Times New Roman" w:hAnsi="Times New Roman" w:eastAsia="方正仿宋_GBK" w:cs="方正仿宋_GBK"/>
          <w:color w:val="000000"/>
          <w:spacing w:val="0"/>
          <w:sz w:val="32"/>
          <w:szCs w:val="32"/>
        </w:rPr>
        <w:t>%，其中：税收收入完成</w:t>
      </w:r>
      <w:r>
        <w:rPr>
          <w:rFonts w:hint="eastAsia" w:ascii="Times New Roman" w:hAnsi="Times New Roman" w:eastAsia="方正仿宋_GBK" w:cs="方正仿宋_GBK"/>
          <w:color w:val="000000"/>
          <w:spacing w:val="0"/>
          <w:sz w:val="32"/>
          <w:szCs w:val="32"/>
          <w:lang w:val="en-US" w:eastAsia="zh-CN"/>
        </w:rPr>
        <w:t>10617</w:t>
      </w:r>
      <w:r>
        <w:rPr>
          <w:rFonts w:hint="eastAsia" w:ascii="Times New Roman" w:hAnsi="Times New Roman" w:eastAsia="方正仿宋_GBK" w:cs="方正仿宋_GBK"/>
          <w:color w:val="000000"/>
          <w:spacing w:val="0"/>
          <w:sz w:val="32"/>
          <w:szCs w:val="32"/>
        </w:rPr>
        <w:t>万元，较上年决算增收</w:t>
      </w:r>
      <w:r>
        <w:rPr>
          <w:rFonts w:hint="eastAsia" w:ascii="Times New Roman" w:hAnsi="Times New Roman" w:eastAsia="方正仿宋_GBK" w:cs="方正仿宋_GBK"/>
          <w:color w:val="000000"/>
          <w:spacing w:val="0"/>
          <w:sz w:val="32"/>
          <w:szCs w:val="32"/>
          <w:lang w:val="en-US" w:eastAsia="zh-CN"/>
        </w:rPr>
        <w:t>2016</w:t>
      </w:r>
      <w:r>
        <w:rPr>
          <w:rFonts w:hint="eastAsia" w:ascii="Times New Roman" w:hAnsi="Times New Roman" w:eastAsia="方正仿宋_GBK" w:cs="方正仿宋_GBK"/>
          <w:color w:val="000000"/>
          <w:spacing w:val="0"/>
          <w:sz w:val="32"/>
          <w:szCs w:val="32"/>
        </w:rPr>
        <w:t>万元，增长</w:t>
      </w:r>
      <w:r>
        <w:rPr>
          <w:rFonts w:hint="eastAsia" w:ascii="Times New Roman" w:hAnsi="Times New Roman" w:eastAsia="方正仿宋_GBK" w:cs="方正仿宋_GBK"/>
          <w:color w:val="000000"/>
          <w:spacing w:val="0"/>
          <w:sz w:val="32"/>
          <w:szCs w:val="32"/>
          <w:lang w:val="en-US" w:eastAsia="zh-CN"/>
        </w:rPr>
        <w:t>23.44</w:t>
      </w:r>
      <w:r>
        <w:rPr>
          <w:rFonts w:hint="eastAsia" w:ascii="Times New Roman" w:hAnsi="Times New Roman" w:eastAsia="方正仿宋_GBK" w:cs="方正仿宋_GBK"/>
          <w:color w:val="000000"/>
          <w:spacing w:val="0"/>
          <w:sz w:val="32"/>
          <w:szCs w:val="32"/>
        </w:rPr>
        <w:t>%，占一般公共预算收入的4</w:t>
      </w:r>
      <w:r>
        <w:rPr>
          <w:rFonts w:hint="eastAsia" w:ascii="Times New Roman" w:hAnsi="Times New Roman" w:eastAsia="方正仿宋_GBK" w:cs="方正仿宋_GBK"/>
          <w:color w:val="000000"/>
          <w:spacing w:val="0"/>
          <w:sz w:val="32"/>
          <w:szCs w:val="32"/>
          <w:lang w:val="en-US" w:eastAsia="zh-CN"/>
        </w:rPr>
        <w:t>8.6</w:t>
      </w:r>
      <w:r>
        <w:rPr>
          <w:rFonts w:hint="eastAsia" w:ascii="Times New Roman" w:hAnsi="Times New Roman" w:eastAsia="方正仿宋_GBK" w:cs="方正仿宋_GBK"/>
          <w:color w:val="000000"/>
          <w:spacing w:val="0"/>
          <w:sz w:val="32"/>
          <w:szCs w:val="32"/>
        </w:rPr>
        <w:t>%；非税收入完成</w:t>
      </w:r>
      <w:r>
        <w:rPr>
          <w:rFonts w:hint="eastAsia" w:ascii="Times New Roman" w:hAnsi="Times New Roman" w:eastAsia="方正仿宋_GBK" w:cs="方正仿宋_GBK"/>
          <w:color w:val="000000"/>
          <w:spacing w:val="0"/>
          <w:sz w:val="32"/>
          <w:szCs w:val="32"/>
          <w:lang w:val="en-US" w:eastAsia="zh-CN"/>
        </w:rPr>
        <w:t>11229</w:t>
      </w:r>
      <w:r>
        <w:rPr>
          <w:rFonts w:hint="eastAsia" w:ascii="Times New Roman" w:hAnsi="Times New Roman" w:eastAsia="方正仿宋_GBK" w:cs="方正仿宋_GBK"/>
          <w:color w:val="000000"/>
          <w:spacing w:val="0"/>
          <w:sz w:val="32"/>
          <w:szCs w:val="32"/>
        </w:rPr>
        <w:t>万元，较上年决算</w:t>
      </w:r>
      <w:r>
        <w:rPr>
          <w:rFonts w:hint="eastAsia" w:ascii="Times New Roman" w:hAnsi="Times New Roman" w:eastAsia="方正仿宋_GBK" w:cs="方正仿宋_GBK"/>
          <w:color w:val="000000"/>
          <w:spacing w:val="0"/>
          <w:sz w:val="32"/>
          <w:szCs w:val="32"/>
          <w:lang w:eastAsia="zh-CN"/>
        </w:rPr>
        <w:t>增</w:t>
      </w:r>
      <w:r>
        <w:rPr>
          <w:rFonts w:hint="eastAsia" w:ascii="Times New Roman" w:hAnsi="Times New Roman" w:eastAsia="方正仿宋_GBK" w:cs="方正仿宋_GBK"/>
          <w:color w:val="000000"/>
          <w:spacing w:val="0"/>
          <w:sz w:val="32"/>
          <w:szCs w:val="32"/>
        </w:rPr>
        <w:t>收</w:t>
      </w:r>
      <w:r>
        <w:rPr>
          <w:rFonts w:hint="eastAsia" w:ascii="Times New Roman" w:hAnsi="Times New Roman" w:eastAsia="方正仿宋_GBK" w:cs="方正仿宋_GBK"/>
          <w:color w:val="000000"/>
          <w:spacing w:val="0"/>
          <w:sz w:val="32"/>
          <w:szCs w:val="32"/>
          <w:lang w:val="en-US" w:eastAsia="zh-CN"/>
        </w:rPr>
        <w:t>943</w:t>
      </w:r>
      <w:r>
        <w:rPr>
          <w:rFonts w:hint="eastAsia" w:ascii="Times New Roman" w:hAnsi="Times New Roman" w:eastAsia="方正仿宋_GBK" w:cs="方正仿宋_GBK"/>
          <w:color w:val="000000"/>
          <w:spacing w:val="0"/>
          <w:sz w:val="32"/>
          <w:szCs w:val="32"/>
        </w:rPr>
        <w:t>万元，</w:t>
      </w:r>
      <w:r>
        <w:rPr>
          <w:rFonts w:hint="eastAsia" w:ascii="Times New Roman" w:hAnsi="Times New Roman" w:eastAsia="方正仿宋_GBK" w:cs="方正仿宋_GBK"/>
          <w:color w:val="000000"/>
          <w:spacing w:val="0"/>
          <w:sz w:val="32"/>
          <w:szCs w:val="32"/>
          <w:lang w:eastAsia="zh-CN"/>
        </w:rPr>
        <w:t>增长</w:t>
      </w:r>
      <w:r>
        <w:rPr>
          <w:rFonts w:hint="eastAsia" w:ascii="Times New Roman" w:hAnsi="Times New Roman" w:eastAsia="方正仿宋_GBK" w:cs="方正仿宋_GBK"/>
          <w:color w:val="000000"/>
          <w:spacing w:val="0"/>
          <w:sz w:val="32"/>
          <w:szCs w:val="32"/>
          <w:lang w:val="en-US" w:eastAsia="zh-CN"/>
        </w:rPr>
        <w:t>9.17</w:t>
      </w:r>
      <w:r>
        <w:rPr>
          <w:rFonts w:hint="eastAsia" w:ascii="Times New Roman" w:hAnsi="Times New Roman" w:eastAsia="方正仿宋_GBK" w:cs="方正仿宋_GBK"/>
          <w:color w:val="000000"/>
          <w:spacing w:val="0"/>
          <w:sz w:val="32"/>
          <w:szCs w:val="32"/>
        </w:rPr>
        <w:t>%，占一般公共预算收入的5</w:t>
      </w:r>
      <w:r>
        <w:rPr>
          <w:rFonts w:hint="eastAsia" w:ascii="Times New Roman" w:hAnsi="Times New Roman" w:eastAsia="方正仿宋_GBK" w:cs="方正仿宋_GBK"/>
          <w:color w:val="000000"/>
          <w:spacing w:val="0"/>
          <w:sz w:val="32"/>
          <w:szCs w:val="32"/>
          <w:lang w:val="en-US" w:eastAsia="zh-CN"/>
        </w:rPr>
        <w:t>1.40</w:t>
      </w:r>
      <w:r>
        <w:rPr>
          <w:rFonts w:hint="eastAsia" w:ascii="Times New Roman" w:hAnsi="Times New Roman" w:eastAsia="方正仿宋_GBK" w:cs="方正仿宋_GBK"/>
          <w:color w:val="000000"/>
          <w:spacing w:val="0"/>
          <w:sz w:val="32"/>
          <w:szCs w:val="32"/>
        </w:rPr>
        <w:t>%。</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方正仿宋_GBK"/>
          <w:spacing w:val="0"/>
          <w:sz w:val="32"/>
          <w:szCs w:val="32"/>
          <w:highlight w:val="none"/>
          <w:lang w:val="en-US" w:eastAsia="zh-CN"/>
        </w:rPr>
      </w:pPr>
      <w:r>
        <w:rPr>
          <w:rFonts w:hint="eastAsia" w:ascii="Times New Roman" w:hAnsi="Times New Roman" w:eastAsia="方正仿宋_GBK"/>
          <w:spacing w:val="0"/>
          <w:sz w:val="32"/>
          <w:szCs w:val="32"/>
          <w:highlight w:val="none"/>
          <w:lang w:val="en-US" w:eastAsia="zh-CN"/>
        </w:rPr>
        <w:t>2022年上级补助指标为368556万元，其中：一般转移性支付收入331381万元，专项转移支付收入24561万元，债券转贷收入12614万元。实际上级补助资金到位368771万元，较上年决算405590万元减少36819万元（含检法两院上划资金1543万元），下降9.08%。</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eastAsia" w:ascii="Times New Roman" w:hAnsi="Times New Roman" w:eastAsia="方正仿宋_GBK"/>
          <w:b/>
          <w:bCs/>
          <w:spacing w:val="0"/>
          <w:sz w:val="32"/>
          <w:szCs w:val="32"/>
          <w:highlight w:val="none"/>
          <w:lang w:val="en-US" w:eastAsia="zh-CN"/>
        </w:rPr>
      </w:pPr>
      <w:r>
        <w:rPr>
          <w:rFonts w:hint="eastAsia" w:ascii="Times New Roman" w:hAnsi="Times New Roman" w:eastAsia="方正仿宋_GBK"/>
          <w:b/>
          <w:bCs/>
          <w:spacing w:val="0"/>
          <w:sz w:val="32"/>
          <w:szCs w:val="32"/>
          <w:highlight w:val="none"/>
          <w:lang w:val="en-US" w:eastAsia="zh-CN"/>
        </w:rPr>
        <w:t>2.一般公共预算支出情况</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spacing w:val="0"/>
          <w:highlight w:val="none"/>
          <w:lang w:val="en-US" w:eastAsia="zh-CN"/>
        </w:rPr>
      </w:pPr>
      <w:r>
        <w:rPr>
          <w:rFonts w:hint="eastAsia" w:ascii="Times New Roman" w:hAnsi="Times New Roman" w:eastAsia="方正仿宋_GBK"/>
          <w:spacing w:val="0"/>
          <w:sz w:val="32"/>
          <w:szCs w:val="32"/>
          <w:highlight w:val="none"/>
          <w:lang w:val="en-US" w:eastAsia="zh-CN"/>
        </w:rPr>
        <w:t>2022年一般公共预算支出完成392783万元，为预算的124.6%，较年初预算增长24.60%。主要项目支出执行情况：一般公共服务支出49134万元，为预算的142.5%；公共安全支出29692万元，为预算的137.95%；教育支出110921万元，为预算的113.02%；文化旅游体育与传媒支出2859万元，为预算的154.88%；社会保障和就业支出54820万元，为预算的105.74%；卫生健康支出22173万元，为预算的114.64%；节能环保支出3101万元，为预算的83.25%；城乡社区支出7189万元，为预算235.55%；农林水支出85150万元，为预算的129.23%；交通运输支出1269万元，为预算的84.43%；资源勘探工业信息等支出3633万元，为预算的7266%；自然资源海洋气象等支出3307万元，为预算的697.68%；住房保障支出5158万元，为预算的142.17%；其他支出6187万元，为预算的1886.28%。</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eastAsia" w:ascii="Times New Roman" w:hAnsi="Times New Roman" w:eastAsia="方正仿宋_GBK"/>
          <w:b/>
          <w:bCs/>
          <w:spacing w:val="0"/>
          <w:sz w:val="32"/>
          <w:szCs w:val="32"/>
          <w:highlight w:val="none"/>
          <w:lang w:val="en-US" w:eastAsia="zh-CN"/>
        </w:rPr>
      </w:pPr>
      <w:r>
        <w:rPr>
          <w:rFonts w:hint="eastAsia" w:ascii="Times New Roman" w:hAnsi="Times New Roman" w:eastAsia="方正仿宋_GBK"/>
          <w:b/>
          <w:bCs/>
          <w:spacing w:val="0"/>
          <w:sz w:val="32"/>
          <w:szCs w:val="32"/>
          <w:highlight w:val="none"/>
          <w:lang w:val="en-US" w:eastAsia="zh-CN"/>
        </w:rPr>
        <w:t>3.一般公共预算平衡情况</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spacing w:val="0"/>
          <w:lang w:val="en-US" w:eastAsia="zh-CN"/>
        </w:rPr>
      </w:pPr>
      <w:r>
        <w:rPr>
          <w:rFonts w:hint="eastAsia" w:ascii="Times New Roman" w:hAnsi="Times New Roman" w:eastAsia="方正仿宋_GBK" w:cs="Times New Roman"/>
          <w:spacing w:val="0"/>
          <w:sz w:val="32"/>
          <w:szCs w:val="32"/>
        </w:rPr>
        <w:t>202</w:t>
      </w:r>
      <w:r>
        <w:rPr>
          <w:rFonts w:hint="eastAsia" w:ascii="Times New Roman" w:hAnsi="Times New Roman" w:eastAsia="方正仿宋_GBK" w:cs="Times New Roman"/>
          <w:spacing w:val="0"/>
          <w:sz w:val="32"/>
          <w:szCs w:val="32"/>
          <w:lang w:val="en-US" w:eastAsia="zh-CN"/>
        </w:rPr>
        <w:t>2</w:t>
      </w:r>
      <w:r>
        <w:rPr>
          <w:rFonts w:hint="eastAsia" w:ascii="Times New Roman" w:hAnsi="Times New Roman" w:eastAsia="方正仿宋_GBK" w:cs="Times New Roman"/>
          <w:spacing w:val="0"/>
          <w:sz w:val="32"/>
          <w:szCs w:val="32"/>
        </w:rPr>
        <w:t>年</w:t>
      </w:r>
      <w:r>
        <w:rPr>
          <w:rFonts w:hint="eastAsia" w:ascii="Times New Roman" w:hAnsi="Times New Roman" w:eastAsia="方正仿宋_GBK" w:cs="Times New Roman"/>
          <w:spacing w:val="0"/>
          <w:sz w:val="32"/>
          <w:szCs w:val="32"/>
          <w:lang w:eastAsia="zh-CN"/>
        </w:rPr>
        <w:t>县级一般公共预算收入</w:t>
      </w:r>
      <w:r>
        <w:rPr>
          <w:rFonts w:hint="eastAsia" w:ascii="Times New Roman" w:hAnsi="Times New Roman" w:eastAsia="方正仿宋_GBK" w:cs="Times New Roman"/>
          <w:spacing w:val="0"/>
          <w:sz w:val="32"/>
          <w:szCs w:val="32"/>
          <w:lang w:val="en-US" w:eastAsia="zh-CN"/>
        </w:rPr>
        <w:t>21846万元，</w:t>
      </w:r>
      <w:r>
        <w:rPr>
          <w:rFonts w:hint="eastAsia" w:ascii="Times New Roman" w:hAnsi="Times New Roman" w:eastAsia="方正仿宋_GBK" w:cs="Times New Roman"/>
          <w:spacing w:val="0"/>
          <w:sz w:val="32"/>
          <w:szCs w:val="32"/>
        </w:rPr>
        <w:t>上级补助</w:t>
      </w:r>
      <w:r>
        <w:rPr>
          <w:rFonts w:hint="eastAsia" w:ascii="Times New Roman" w:hAnsi="Times New Roman" w:eastAsia="方正仿宋_GBK" w:cs="Times New Roman"/>
          <w:spacing w:val="0"/>
          <w:sz w:val="32"/>
          <w:szCs w:val="32"/>
          <w:lang w:val="en-US" w:eastAsia="zh-CN"/>
        </w:rPr>
        <w:t>368556</w:t>
      </w:r>
      <w:r>
        <w:rPr>
          <w:rFonts w:hint="eastAsia" w:ascii="Times New Roman" w:hAnsi="Times New Roman" w:eastAsia="方正仿宋_GBK" w:cs="Times New Roman"/>
          <w:spacing w:val="0"/>
          <w:sz w:val="32"/>
          <w:szCs w:val="32"/>
        </w:rPr>
        <w:t>万元</w:t>
      </w:r>
      <w:r>
        <w:rPr>
          <w:rFonts w:hint="eastAsia" w:ascii="Times New Roman" w:hAnsi="Times New Roman" w:eastAsia="方正仿宋_GBK" w:cs="Times New Roman"/>
          <w:spacing w:val="0"/>
          <w:sz w:val="32"/>
          <w:szCs w:val="32"/>
          <w:lang w:eastAsia="zh-CN"/>
        </w:rPr>
        <w:t>，</w:t>
      </w:r>
      <w:r>
        <w:rPr>
          <w:rFonts w:hint="eastAsia" w:ascii="Times New Roman" w:hAnsi="Times New Roman" w:eastAsia="方正仿宋_GBK" w:cs="Times New Roman"/>
          <w:spacing w:val="0"/>
          <w:sz w:val="32"/>
          <w:szCs w:val="32"/>
        </w:rPr>
        <w:t>结转</w:t>
      </w:r>
      <w:r>
        <w:rPr>
          <w:rFonts w:hint="eastAsia" w:ascii="Times New Roman" w:hAnsi="Times New Roman" w:eastAsia="方正仿宋_GBK" w:cs="Times New Roman"/>
          <w:spacing w:val="0"/>
          <w:sz w:val="32"/>
          <w:szCs w:val="32"/>
          <w:lang w:eastAsia="zh-CN"/>
        </w:rPr>
        <w:t>上年</w:t>
      </w:r>
      <w:r>
        <w:rPr>
          <w:rFonts w:hint="eastAsia" w:ascii="Times New Roman" w:hAnsi="Times New Roman" w:eastAsia="方正仿宋_GBK" w:cs="Times New Roman"/>
          <w:spacing w:val="0"/>
          <w:sz w:val="32"/>
          <w:szCs w:val="32"/>
        </w:rPr>
        <w:t>专项资金</w:t>
      </w:r>
      <w:r>
        <w:rPr>
          <w:rFonts w:hint="eastAsia" w:ascii="Times New Roman" w:hAnsi="Times New Roman" w:eastAsia="方正仿宋_GBK" w:cs="Times New Roman"/>
          <w:spacing w:val="0"/>
          <w:sz w:val="32"/>
          <w:szCs w:val="32"/>
          <w:lang w:val="en-US" w:eastAsia="zh-CN"/>
        </w:rPr>
        <w:t>5667</w:t>
      </w:r>
      <w:r>
        <w:rPr>
          <w:rFonts w:hint="eastAsia" w:ascii="Times New Roman" w:hAnsi="Times New Roman" w:eastAsia="方正仿宋_GBK" w:cs="Times New Roman"/>
          <w:spacing w:val="0"/>
          <w:sz w:val="32"/>
          <w:szCs w:val="32"/>
        </w:rPr>
        <w:t>万元，调入资金</w:t>
      </w:r>
      <w:r>
        <w:rPr>
          <w:rFonts w:hint="eastAsia" w:ascii="Times New Roman" w:hAnsi="Times New Roman" w:eastAsia="方正仿宋_GBK" w:cs="Times New Roman"/>
          <w:spacing w:val="0"/>
          <w:sz w:val="32"/>
          <w:szCs w:val="32"/>
          <w:lang w:val="en-US" w:eastAsia="zh-CN"/>
        </w:rPr>
        <w:t>10872</w:t>
      </w:r>
      <w:r>
        <w:rPr>
          <w:rFonts w:hint="eastAsia" w:ascii="Times New Roman" w:hAnsi="Times New Roman" w:eastAsia="方正仿宋_GBK" w:cs="Times New Roman"/>
          <w:spacing w:val="0"/>
          <w:sz w:val="32"/>
          <w:szCs w:val="32"/>
        </w:rPr>
        <w:t>万元，动用预算稳定调节基金</w:t>
      </w:r>
      <w:r>
        <w:rPr>
          <w:rFonts w:hint="eastAsia" w:ascii="Times New Roman" w:hAnsi="Times New Roman" w:eastAsia="方正仿宋_GBK" w:cs="Times New Roman"/>
          <w:spacing w:val="0"/>
          <w:sz w:val="32"/>
          <w:szCs w:val="32"/>
          <w:lang w:val="en-US" w:eastAsia="zh-CN"/>
        </w:rPr>
        <w:t>10990</w:t>
      </w:r>
      <w:r>
        <w:rPr>
          <w:rFonts w:hint="eastAsia" w:ascii="Times New Roman" w:hAnsi="Times New Roman" w:eastAsia="方正仿宋_GBK" w:cs="Times New Roman"/>
          <w:spacing w:val="0"/>
          <w:sz w:val="32"/>
          <w:szCs w:val="32"/>
        </w:rPr>
        <w:t>万元，202</w:t>
      </w:r>
      <w:r>
        <w:rPr>
          <w:rFonts w:hint="eastAsia" w:ascii="Times New Roman" w:hAnsi="Times New Roman" w:eastAsia="方正仿宋_GBK" w:cs="Times New Roman"/>
          <w:spacing w:val="0"/>
          <w:sz w:val="32"/>
          <w:szCs w:val="32"/>
          <w:lang w:val="en-US" w:eastAsia="zh-CN"/>
        </w:rPr>
        <w:t>2</w:t>
      </w:r>
      <w:r>
        <w:rPr>
          <w:rFonts w:hint="eastAsia" w:ascii="Times New Roman" w:hAnsi="Times New Roman" w:eastAsia="方正仿宋_GBK" w:cs="Times New Roman"/>
          <w:spacing w:val="0"/>
          <w:sz w:val="32"/>
          <w:szCs w:val="32"/>
        </w:rPr>
        <w:t>年一般预算总收入</w:t>
      </w:r>
      <w:r>
        <w:rPr>
          <w:rFonts w:hint="eastAsia" w:ascii="Times New Roman" w:hAnsi="Times New Roman" w:eastAsia="方正仿宋_GBK" w:cs="Times New Roman"/>
          <w:spacing w:val="0"/>
          <w:sz w:val="32"/>
          <w:szCs w:val="32"/>
          <w:lang w:val="en-US" w:eastAsia="zh-CN"/>
        </w:rPr>
        <w:t>417931</w:t>
      </w:r>
      <w:r>
        <w:rPr>
          <w:rFonts w:hint="eastAsia" w:ascii="Times New Roman" w:hAnsi="Times New Roman" w:eastAsia="方正仿宋_GBK" w:cs="Times New Roman"/>
          <w:spacing w:val="0"/>
          <w:sz w:val="32"/>
          <w:szCs w:val="32"/>
        </w:rPr>
        <w:t>万元</w:t>
      </w:r>
      <w:r>
        <w:rPr>
          <w:rFonts w:hint="eastAsia" w:ascii="Times New Roman" w:hAnsi="Times New Roman" w:eastAsia="方正仿宋_GBK" w:cs="Times New Roman"/>
          <w:spacing w:val="0"/>
          <w:sz w:val="32"/>
          <w:szCs w:val="32"/>
          <w:lang w:eastAsia="zh-CN"/>
        </w:rPr>
        <w:t>；</w:t>
      </w:r>
      <w:r>
        <w:rPr>
          <w:rFonts w:hint="eastAsia" w:ascii="Times New Roman" w:hAnsi="Times New Roman" w:eastAsia="方正仿宋_GBK" w:cs="Times New Roman"/>
          <w:spacing w:val="0"/>
          <w:sz w:val="32"/>
          <w:szCs w:val="32"/>
        </w:rPr>
        <w:t>202</w:t>
      </w:r>
      <w:r>
        <w:rPr>
          <w:rFonts w:hint="eastAsia" w:ascii="Times New Roman" w:hAnsi="Times New Roman" w:eastAsia="方正仿宋_GBK" w:cs="Times New Roman"/>
          <w:spacing w:val="0"/>
          <w:sz w:val="32"/>
          <w:szCs w:val="32"/>
          <w:lang w:val="en-US" w:eastAsia="zh-CN"/>
        </w:rPr>
        <w:t>2</w:t>
      </w:r>
      <w:r>
        <w:rPr>
          <w:rFonts w:hint="eastAsia" w:ascii="Times New Roman" w:hAnsi="Times New Roman" w:eastAsia="方正仿宋_GBK" w:cs="Times New Roman"/>
          <w:spacing w:val="0"/>
          <w:sz w:val="32"/>
          <w:szCs w:val="32"/>
        </w:rPr>
        <w:t>年一般公共预算支出</w:t>
      </w:r>
      <w:r>
        <w:rPr>
          <w:rFonts w:hint="eastAsia" w:ascii="Times New Roman" w:hAnsi="Times New Roman" w:eastAsia="方正仿宋_GBK" w:cs="Times New Roman"/>
          <w:spacing w:val="0"/>
          <w:sz w:val="32"/>
          <w:szCs w:val="32"/>
          <w:lang w:val="en-US" w:eastAsia="zh-CN"/>
        </w:rPr>
        <w:t>392783</w:t>
      </w:r>
      <w:r>
        <w:rPr>
          <w:rFonts w:hint="eastAsia" w:ascii="Times New Roman" w:hAnsi="Times New Roman" w:eastAsia="方正仿宋_GBK" w:cs="Times New Roman"/>
          <w:spacing w:val="0"/>
          <w:sz w:val="32"/>
          <w:szCs w:val="32"/>
        </w:rPr>
        <w:t>万元，上解上级支出</w:t>
      </w:r>
      <w:r>
        <w:rPr>
          <w:rFonts w:hint="eastAsia" w:ascii="Times New Roman" w:hAnsi="Times New Roman" w:eastAsia="方正仿宋_GBK" w:cs="Times New Roman"/>
          <w:spacing w:val="0"/>
          <w:sz w:val="32"/>
          <w:szCs w:val="32"/>
          <w:lang w:val="en-US" w:eastAsia="zh-CN"/>
        </w:rPr>
        <w:t>417</w:t>
      </w:r>
      <w:r>
        <w:rPr>
          <w:rFonts w:hint="eastAsia" w:ascii="Times New Roman" w:hAnsi="Times New Roman" w:eastAsia="方正仿宋_GBK" w:cs="Times New Roman"/>
          <w:spacing w:val="0"/>
          <w:sz w:val="32"/>
          <w:szCs w:val="32"/>
        </w:rPr>
        <w:t>万元，债务还本支出</w:t>
      </w:r>
      <w:r>
        <w:rPr>
          <w:rFonts w:hint="eastAsia" w:ascii="Times New Roman" w:hAnsi="Times New Roman" w:eastAsia="方正仿宋_GBK" w:cs="Times New Roman"/>
          <w:spacing w:val="0"/>
          <w:sz w:val="32"/>
          <w:szCs w:val="32"/>
          <w:lang w:val="en-US" w:eastAsia="zh-CN"/>
        </w:rPr>
        <w:t>5775</w:t>
      </w:r>
      <w:r>
        <w:rPr>
          <w:rFonts w:hint="eastAsia" w:ascii="Times New Roman" w:hAnsi="Times New Roman" w:eastAsia="方正仿宋_GBK" w:cs="Times New Roman"/>
          <w:spacing w:val="0"/>
          <w:sz w:val="32"/>
          <w:szCs w:val="32"/>
        </w:rPr>
        <w:t>万元，安排预算稳定调节基金</w:t>
      </w:r>
      <w:r>
        <w:rPr>
          <w:rFonts w:hint="eastAsia" w:ascii="Times New Roman" w:hAnsi="Times New Roman" w:eastAsia="方正仿宋_GBK" w:cs="Times New Roman"/>
          <w:spacing w:val="0"/>
          <w:sz w:val="32"/>
          <w:szCs w:val="32"/>
          <w:lang w:val="en-US" w:eastAsia="zh-CN"/>
        </w:rPr>
        <w:t>846</w:t>
      </w:r>
      <w:r>
        <w:rPr>
          <w:rFonts w:hint="eastAsia" w:ascii="Times New Roman" w:hAnsi="Times New Roman" w:eastAsia="方正仿宋_GBK" w:cs="Times New Roman"/>
          <w:spacing w:val="0"/>
          <w:sz w:val="32"/>
          <w:szCs w:val="32"/>
        </w:rPr>
        <w:t>万元，结转下年专项</w:t>
      </w:r>
      <w:r>
        <w:rPr>
          <w:rFonts w:hint="eastAsia" w:ascii="Times New Roman" w:hAnsi="Times New Roman" w:eastAsia="方正仿宋_GBK" w:cs="Times New Roman"/>
          <w:spacing w:val="0"/>
          <w:sz w:val="32"/>
          <w:szCs w:val="32"/>
          <w:lang w:val="en-US" w:eastAsia="zh-CN"/>
        </w:rPr>
        <w:t>18110</w:t>
      </w:r>
      <w:r>
        <w:rPr>
          <w:rFonts w:hint="eastAsia" w:ascii="Times New Roman" w:hAnsi="Times New Roman" w:eastAsia="方正仿宋_GBK" w:cs="Times New Roman"/>
          <w:spacing w:val="0"/>
          <w:sz w:val="32"/>
          <w:szCs w:val="32"/>
        </w:rPr>
        <w:t>万元，预算收支平衡</w:t>
      </w:r>
      <w:r>
        <w:rPr>
          <w:rFonts w:hint="eastAsia" w:ascii="Times New Roman" w:hAnsi="Times New Roman" w:eastAsia="方正仿宋_GBK" w:cs="Times New Roman"/>
          <w:spacing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eastAsia" w:ascii="Times New Roman" w:hAnsi="Times New Roman" w:eastAsia="方正楷体_GBK" w:cs="方正楷体_GBK"/>
          <w:b/>
          <w:bCs/>
          <w:spacing w:val="0"/>
          <w:sz w:val="32"/>
          <w:szCs w:val="32"/>
          <w:highlight w:val="none"/>
          <w:lang w:val="en-US" w:eastAsia="zh-CN"/>
        </w:rPr>
      </w:pPr>
      <w:r>
        <w:rPr>
          <w:rFonts w:hint="eastAsia" w:ascii="Times New Roman" w:hAnsi="Times New Roman" w:eastAsia="方正楷体_GBK" w:cs="方正楷体_GBK"/>
          <w:b/>
          <w:bCs/>
          <w:spacing w:val="0"/>
          <w:sz w:val="32"/>
          <w:szCs w:val="32"/>
          <w:highlight w:val="none"/>
          <w:lang w:val="en-US" w:eastAsia="zh-CN"/>
        </w:rPr>
        <w:t>（二）2022年政府性基金预算执行情况</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eastAsia" w:ascii="Times New Roman" w:hAnsi="Times New Roman" w:eastAsia="方正仿宋_GBK" w:cs="Times New Roman"/>
          <w:b/>
          <w:bCs/>
          <w:spacing w:val="0"/>
          <w:sz w:val="32"/>
          <w:szCs w:val="32"/>
          <w:lang w:val="en-US" w:eastAsia="zh-CN"/>
        </w:rPr>
      </w:pPr>
      <w:r>
        <w:rPr>
          <w:rFonts w:hint="eastAsia" w:ascii="Times New Roman" w:hAnsi="Times New Roman" w:eastAsia="方正仿宋_GBK" w:cs="Times New Roman"/>
          <w:b/>
          <w:bCs/>
          <w:spacing w:val="0"/>
          <w:sz w:val="32"/>
          <w:szCs w:val="32"/>
          <w:lang w:val="en-US" w:eastAsia="zh-CN"/>
        </w:rPr>
        <w:t>1、政府性基金预算收入完成情况</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spacing w:val="0"/>
          <w:sz w:val="32"/>
          <w:szCs w:val="32"/>
          <w:lang w:val="en-US" w:eastAsia="zh-CN"/>
        </w:rPr>
      </w:pPr>
      <w:r>
        <w:rPr>
          <w:rFonts w:hint="eastAsia" w:ascii="Times New Roman" w:hAnsi="Times New Roman" w:eastAsia="方正仿宋_GBK" w:cs="Times New Roman"/>
          <w:spacing w:val="0"/>
          <w:sz w:val="32"/>
          <w:szCs w:val="32"/>
          <w:lang w:val="en-US" w:eastAsia="zh-CN"/>
        </w:rPr>
        <w:t>2022年完成政府性基金预算收入14159万元，完成年初预算90.69%，较上年决算增长22.46%。上级补助收入69552万元（含</w:t>
      </w:r>
      <w:r>
        <w:rPr>
          <w:rFonts w:hint="eastAsia" w:ascii="Times New Roman" w:hAnsi="Times New Roman" w:eastAsia="方正仿宋_GBK" w:cs="Times New Roman"/>
          <w:spacing w:val="0"/>
          <w:sz w:val="32"/>
          <w:szCs w:val="32"/>
        </w:rPr>
        <w:t>专项债券</w:t>
      </w:r>
      <w:r>
        <w:rPr>
          <w:rFonts w:hint="eastAsia" w:ascii="Times New Roman" w:hAnsi="Times New Roman" w:eastAsia="方正仿宋_GBK" w:cs="Times New Roman"/>
          <w:spacing w:val="0"/>
          <w:sz w:val="32"/>
          <w:szCs w:val="32"/>
          <w:lang w:val="en-US" w:eastAsia="zh-CN"/>
        </w:rPr>
        <w:t>69</w:t>
      </w:r>
      <w:r>
        <w:rPr>
          <w:rFonts w:hint="eastAsia" w:ascii="Times New Roman" w:hAnsi="Times New Roman" w:eastAsia="方正仿宋_GBK" w:cs="Times New Roman"/>
          <w:spacing w:val="0"/>
          <w:sz w:val="32"/>
          <w:szCs w:val="32"/>
        </w:rPr>
        <w:t>000万元）</w:t>
      </w:r>
      <w:r>
        <w:rPr>
          <w:rFonts w:hint="eastAsia" w:ascii="Times New Roman" w:hAnsi="Times New Roman" w:eastAsia="方正仿宋_GBK" w:cs="Times New Roman"/>
          <w:spacing w:val="0"/>
          <w:sz w:val="32"/>
          <w:szCs w:val="32"/>
          <w:lang w:eastAsia="zh-CN"/>
        </w:rPr>
        <w:t>，较上年决算增长</w:t>
      </w:r>
      <w:r>
        <w:rPr>
          <w:rFonts w:hint="eastAsia" w:ascii="Times New Roman" w:hAnsi="Times New Roman" w:eastAsia="方正仿宋_GBK" w:cs="Times New Roman"/>
          <w:spacing w:val="0"/>
          <w:sz w:val="32"/>
          <w:szCs w:val="32"/>
          <w:lang w:val="en-US" w:eastAsia="zh-CN"/>
        </w:rPr>
        <w:t>63.75%。</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eastAsia" w:ascii="Times New Roman" w:hAnsi="Times New Roman" w:eastAsia="方正仿宋_GBK" w:cs="Times New Roman"/>
          <w:b/>
          <w:bCs/>
          <w:spacing w:val="0"/>
          <w:sz w:val="32"/>
          <w:szCs w:val="32"/>
          <w:lang w:val="en-US" w:eastAsia="zh-CN"/>
        </w:rPr>
      </w:pPr>
      <w:r>
        <w:rPr>
          <w:rFonts w:hint="eastAsia" w:ascii="Times New Roman" w:hAnsi="Times New Roman" w:eastAsia="方正仿宋_GBK" w:cs="Times New Roman"/>
          <w:b/>
          <w:bCs/>
          <w:spacing w:val="0"/>
          <w:sz w:val="32"/>
          <w:szCs w:val="32"/>
          <w:lang w:val="en-US" w:eastAsia="zh-CN"/>
        </w:rPr>
        <w:t>2、政府性基金预算支出完成情况</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color w:val="auto"/>
          <w:spacing w:val="0"/>
          <w:kern w:val="2"/>
          <w:sz w:val="32"/>
          <w:szCs w:val="32"/>
          <w:lang w:val="en-US" w:eastAsia="zh-CN" w:bidi="ar"/>
        </w:rPr>
      </w:pPr>
      <w:r>
        <w:rPr>
          <w:rFonts w:hint="eastAsia" w:ascii="Times New Roman" w:hAnsi="Times New Roman" w:eastAsia="方正仿宋_GBK" w:cs="Times New Roman"/>
          <w:spacing w:val="0"/>
          <w:sz w:val="32"/>
          <w:szCs w:val="32"/>
          <w:lang w:val="en-US" w:eastAsia="zh-CN"/>
        </w:rPr>
        <w:t>2022年完成政府性基金预算支出73002万元，完成年初预算</w:t>
      </w:r>
      <w:r>
        <w:rPr>
          <w:rFonts w:hint="eastAsia" w:ascii="Times New Roman" w:hAnsi="Times New Roman" w:eastAsia="方正仿宋_GBK" w:cs="Times New Roman"/>
          <w:color w:val="auto"/>
          <w:spacing w:val="0"/>
          <w:kern w:val="2"/>
          <w:sz w:val="32"/>
          <w:szCs w:val="32"/>
          <w:lang w:val="en-US" w:eastAsia="zh-CN" w:bidi="ar"/>
        </w:rPr>
        <w:t>的1933.83%，较上年决算增长69.95%。</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color w:val="auto"/>
          <w:spacing w:val="0"/>
          <w:kern w:val="2"/>
          <w:sz w:val="32"/>
          <w:szCs w:val="32"/>
          <w:lang w:val="en-US" w:eastAsia="zh-CN" w:bidi="ar"/>
        </w:rPr>
      </w:pPr>
      <w:r>
        <w:rPr>
          <w:rFonts w:hint="eastAsia" w:ascii="Times New Roman" w:hAnsi="Times New Roman" w:eastAsia="方正仿宋_GBK" w:cs="Times New Roman"/>
          <w:color w:val="auto"/>
          <w:spacing w:val="0"/>
          <w:kern w:val="2"/>
          <w:sz w:val="32"/>
          <w:szCs w:val="32"/>
          <w:lang w:val="en-US" w:eastAsia="zh-CN" w:bidi="ar"/>
        </w:rPr>
        <w:t>3、</w:t>
      </w:r>
      <w:r>
        <w:rPr>
          <w:rFonts w:hint="eastAsia" w:ascii="Times New Roman" w:hAnsi="Times New Roman" w:eastAsia="方正仿宋_GBK" w:cs="Times New Roman"/>
          <w:b/>
          <w:bCs/>
          <w:color w:val="auto"/>
          <w:spacing w:val="0"/>
          <w:sz w:val="32"/>
          <w:szCs w:val="32"/>
          <w:lang w:val="en-US" w:eastAsia="zh-CN"/>
        </w:rPr>
        <w:t>政府性基金预算收支平衡情况</w:t>
      </w:r>
    </w:p>
    <w:p>
      <w:pPr>
        <w:pStyle w:val="20"/>
        <w:keepNext w:val="0"/>
        <w:keepLines w:val="0"/>
        <w:pageBreakBefore w:val="0"/>
        <w:widowControl w:val="0"/>
        <w:kinsoku/>
        <w:wordWrap/>
        <w:overflowPunct/>
        <w:topLinePunct w:val="0"/>
        <w:autoSpaceDE/>
        <w:autoSpaceDN/>
        <w:bidi w:val="0"/>
        <w:adjustRightInd/>
        <w:snapToGrid/>
        <w:spacing w:line="570" w:lineRule="exact"/>
        <w:ind w:firstLine="632"/>
        <w:textAlignment w:val="auto"/>
        <w:rPr>
          <w:rFonts w:hint="eastAsia" w:ascii="Times New Roman" w:hAnsi="Times New Roman"/>
          <w:spacing w:val="0"/>
          <w:lang w:val="en-US" w:eastAsia="zh-CN"/>
        </w:rPr>
      </w:pPr>
      <w:r>
        <w:rPr>
          <w:rFonts w:hint="eastAsia" w:ascii="Times New Roman" w:hAnsi="Times New Roman" w:eastAsia="方正仿宋_GBK" w:cs="Times New Roman"/>
          <w:color w:val="auto"/>
          <w:spacing w:val="0"/>
          <w:kern w:val="2"/>
          <w:sz w:val="32"/>
          <w:szCs w:val="32"/>
          <w:lang w:val="en-US" w:eastAsia="zh-CN" w:bidi="ar"/>
        </w:rPr>
        <w:t>2022年政府性基金收入完成14159万元，上级补助收入69552万元，上年结转1236万元，政府性基金预算总收入84947万元；2022年政府性基金支出73002万元，结转下年1098万元，政府性基金调入一般公共预算10847万元，</w:t>
      </w:r>
      <w:r>
        <w:rPr>
          <w:rFonts w:hint="eastAsia" w:ascii="Times New Roman" w:hAnsi="Times New Roman" w:eastAsia="方正仿宋_GBK" w:cs="Times New Roman"/>
          <w:spacing w:val="0"/>
          <w:sz w:val="32"/>
          <w:szCs w:val="32"/>
        </w:rPr>
        <w:t>预算收支平衡</w:t>
      </w:r>
      <w:r>
        <w:rPr>
          <w:rFonts w:hint="eastAsia" w:ascii="Times New Roman" w:hAnsi="Times New Roman" w:eastAsia="方正仿宋_GBK" w:cs="Times New Roman"/>
          <w:spacing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eastAsia" w:ascii="Times New Roman" w:hAnsi="Times New Roman" w:eastAsia="方正仿宋_GBK"/>
          <w:b/>
          <w:bCs/>
          <w:spacing w:val="0"/>
          <w:sz w:val="32"/>
          <w:szCs w:val="32"/>
          <w:highlight w:val="none"/>
          <w:lang w:val="en-US" w:eastAsia="zh-CN"/>
        </w:rPr>
      </w:pPr>
      <w:r>
        <w:rPr>
          <w:rFonts w:hint="eastAsia" w:ascii="Times New Roman" w:hAnsi="Times New Roman" w:eastAsia="方正楷体_GBK" w:cs="方正楷体_GBK"/>
          <w:b/>
          <w:bCs/>
          <w:spacing w:val="0"/>
          <w:sz w:val="32"/>
          <w:szCs w:val="32"/>
          <w:highlight w:val="none"/>
          <w:lang w:val="en-US" w:eastAsia="zh-CN"/>
        </w:rPr>
        <w:t>（三）2022年社会保险基金预算执行情况</w:t>
      </w:r>
      <w:r>
        <w:rPr>
          <w:rFonts w:hint="eastAsia" w:ascii="Times New Roman" w:hAnsi="Times New Roman" w:eastAsia="方正仿宋_GBK"/>
          <w:b/>
          <w:bCs/>
          <w:spacing w:val="0"/>
          <w:sz w:val="32"/>
          <w:szCs w:val="32"/>
          <w:highlight w:val="none"/>
          <w:lang w:val="en-US" w:eastAsia="zh-CN"/>
        </w:rPr>
        <w:t xml:space="preserve"> </w:t>
      </w:r>
    </w:p>
    <w:p>
      <w:pPr>
        <w:pStyle w:val="20"/>
        <w:keepNext w:val="0"/>
        <w:keepLines w:val="0"/>
        <w:pageBreakBefore w:val="0"/>
        <w:widowControl w:val="0"/>
        <w:kinsoku/>
        <w:wordWrap/>
        <w:overflowPunct/>
        <w:topLinePunct w:val="0"/>
        <w:autoSpaceDE/>
        <w:autoSpaceDN/>
        <w:bidi w:val="0"/>
        <w:adjustRightInd/>
        <w:snapToGrid/>
        <w:spacing w:line="570" w:lineRule="exact"/>
        <w:ind w:firstLine="632"/>
        <w:textAlignment w:val="auto"/>
        <w:rPr>
          <w:rFonts w:hint="eastAsia" w:ascii="Times New Roman" w:hAnsi="Times New Roman"/>
          <w:spacing w:val="0"/>
          <w:lang w:val="en-US" w:eastAsia="zh-CN"/>
        </w:rPr>
      </w:pPr>
      <w:r>
        <w:rPr>
          <w:rFonts w:hint="eastAsia" w:ascii="Times New Roman" w:hAnsi="Times New Roman" w:eastAsia="方正仿宋_GBK" w:cs="Times New Roman"/>
          <w:color w:val="auto"/>
          <w:spacing w:val="0"/>
          <w:kern w:val="2"/>
          <w:sz w:val="32"/>
          <w:szCs w:val="32"/>
          <w:lang w:val="en-US" w:eastAsia="zh-CN" w:bidi="ar"/>
        </w:rPr>
        <w:t>2022年社会保险基金预算总收入25548万元，较2021年执行数28378万元减少9.97%；2022年社会保险基金预算总支出40808万元，较2021年执行数19873万元增长105.34%，当年收支结余2098万元。</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eastAsia" w:ascii="Times New Roman" w:hAnsi="Times New Roman" w:eastAsia="方正楷体_GBK" w:cs="方正楷体_GBK"/>
          <w:spacing w:val="0"/>
          <w:sz w:val="32"/>
          <w:szCs w:val="32"/>
          <w:highlight w:val="none"/>
          <w:lang w:val="en-US" w:eastAsia="zh-CN"/>
        </w:rPr>
      </w:pPr>
      <w:r>
        <w:rPr>
          <w:rFonts w:hint="eastAsia" w:ascii="Times New Roman" w:hAnsi="Times New Roman" w:eastAsia="方正楷体_GBK" w:cs="方正楷体_GBK"/>
          <w:b/>
          <w:bCs/>
          <w:spacing w:val="0"/>
          <w:sz w:val="32"/>
          <w:szCs w:val="32"/>
          <w:highlight w:val="none"/>
          <w:lang w:val="en-US" w:eastAsia="zh-CN"/>
        </w:rPr>
        <w:t>（四）2022年国有资本经营预算执行情况</w:t>
      </w:r>
    </w:p>
    <w:p>
      <w:pPr>
        <w:pStyle w:val="20"/>
        <w:keepNext w:val="0"/>
        <w:keepLines w:val="0"/>
        <w:pageBreakBefore w:val="0"/>
        <w:widowControl w:val="0"/>
        <w:kinsoku/>
        <w:wordWrap/>
        <w:overflowPunct/>
        <w:topLinePunct w:val="0"/>
        <w:autoSpaceDE/>
        <w:autoSpaceDN/>
        <w:bidi w:val="0"/>
        <w:adjustRightInd/>
        <w:snapToGrid/>
        <w:spacing w:line="570" w:lineRule="exact"/>
        <w:ind w:firstLine="632"/>
        <w:textAlignment w:val="auto"/>
        <w:rPr>
          <w:rFonts w:hint="eastAsia" w:ascii="Times New Roman" w:hAnsi="Times New Roman" w:eastAsia="方正仿宋_GBK" w:cs="Times New Roman"/>
          <w:color w:val="auto"/>
          <w:spacing w:val="0"/>
          <w:kern w:val="2"/>
          <w:sz w:val="32"/>
          <w:szCs w:val="32"/>
          <w:lang w:val="en-US" w:eastAsia="zh-CN" w:bidi="ar"/>
        </w:rPr>
      </w:pPr>
      <w:r>
        <w:rPr>
          <w:rFonts w:hint="eastAsia" w:ascii="Times New Roman" w:hAnsi="Times New Roman" w:eastAsia="方正仿宋_GBK" w:cs="Times New Roman"/>
          <w:color w:val="auto"/>
          <w:spacing w:val="0"/>
          <w:kern w:val="2"/>
          <w:sz w:val="32"/>
          <w:szCs w:val="32"/>
          <w:lang w:val="en-US" w:eastAsia="zh-CN" w:bidi="ar"/>
        </w:rPr>
        <w:t>2022年国有资本经营预算收入83万元，国有资本经营预算上级补助收入2万元，上年结余3万元，国有资本预算总收入88万元；2022年国有资本预算支出60万元，国有资本调入一般公共预算25万元，结转下年3万元，预算收支平衡。</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eastAsia" w:ascii="Times New Roman" w:hAnsi="Times New Roman" w:eastAsia="方正楷体_GBK" w:cs="方正楷体_GBK"/>
          <w:b/>
          <w:spacing w:val="0"/>
          <w:sz w:val="32"/>
          <w:szCs w:val="32"/>
          <w:highlight w:val="none"/>
        </w:rPr>
      </w:pPr>
      <w:r>
        <w:rPr>
          <w:rFonts w:hint="eastAsia" w:ascii="Times New Roman" w:hAnsi="Times New Roman" w:eastAsia="方正楷体_GBK" w:cs="方正楷体_GBK"/>
          <w:b/>
          <w:spacing w:val="0"/>
          <w:sz w:val="32"/>
          <w:szCs w:val="32"/>
          <w:highlight w:val="none"/>
        </w:rPr>
        <w:t>（五）政府债务执行情况</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Times New Roman" w:hAnsi="Times New Roman" w:eastAsia="方正仿宋_GBK" w:cs="Times New Roman"/>
          <w:spacing w:val="0"/>
          <w:sz w:val="32"/>
        </w:rPr>
      </w:pPr>
      <w:r>
        <w:rPr>
          <w:rFonts w:ascii="Times New Roman" w:hAnsi="Times New Roman" w:eastAsia="方正仿宋_GBK" w:cs="Times New Roman"/>
          <w:spacing w:val="0"/>
          <w:sz w:val="32"/>
        </w:rPr>
        <w:t>2022年政府</w:t>
      </w:r>
      <w:r>
        <w:rPr>
          <w:rFonts w:hint="eastAsia" w:ascii="Times New Roman" w:hAnsi="Times New Roman" w:eastAsia="方正仿宋_GBK" w:cs="Times New Roman"/>
          <w:spacing w:val="0"/>
          <w:sz w:val="32"/>
        </w:rPr>
        <w:t>债务</w:t>
      </w:r>
      <w:r>
        <w:rPr>
          <w:rFonts w:ascii="Times New Roman" w:hAnsi="Times New Roman" w:eastAsia="方正仿宋_GBK" w:cs="Times New Roman"/>
          <w:spacing w:val="0"/>
          <w:sz w:val="32"/>
        </w:rPr>
        <w:t>还本付息付费、</w:t>
      </w:r>
      <w:r>
        <w:rPr>
          <w:rFonts w:hint="eastAsia" w:ascii="Times New Roman" w:hAnsi="Times New Roman" w:eastAsia="方正仿宋_GBK" w:cs="Times New Roman"/>
          <w:spacing w:val="0"/>
          <w:sz w:val="32"/>
        </w:rPr>
        <w:t>债券发行费、</w:t>
      </w:r>
      <w:r>
        <w:rPr>
          <w:rFonts w:ascii="Times New Roman" w:hAnsi="Times New Roman" w:eastAsia="方正仿宋_GBK" w:cs="Times New Roman"/>
          <w:spacing w:val="0"/>
          <w:sz w:val="32"/>
        </w:rPr>
        <w:t>隐性债务化解支出</w:t>
      </w:r>
      <w:r>
        <w:rPr>
          <w:rFonts w:hint="eastAsia" w:ascii="Times New Roman" w:hAnsi="Times New Roman" w:eastAsia="方正仿宋_GBK" w:cs="Times New Roman"/>
          <w:spacing w:val="0"/>
          <w:sz w:val="32"/>
          <w:lang w:val="en-US" w:eastAsia="zh-CN"/>
        </w:rPr>
        <w:t>25825</w:t>
      </w:r>
      <w:r>
        <w:rPr>
          <w:rFonts w:ascii="Times New Roman" w:hAnsi="Times New Roman" w:eastAsia="方正仿宋_GBK" w:cs="Times New Roman"/>
          <w:spacing w:val="0"/>
          <w:sz w:val="32"/>
        </w:rPr>
        <w:t>万元，其中</w:t>
      </w:r>
      <w:r>
        <w:rPr>
          <w:rFonts w:hint="eastAsia" w:ascii="Times New Roman" w:hAnsi="Times New Roman" w:eastAsia="方正仿宋_GBK" w:cs="Times New Roman"/>
          <w:spacing w:val="0"/>
          <w:sz w:val="32"/>
          <w:lang w:eastAsia="zh-CN"/>
        </w:rPr>
        <w:t>：</w:t>
      </w:r>
      <w:r>
        <w:rPr>
          <w:rFonts w:ascii="Times New Roman" w:hAnsi="Times New Roman" w:eastAsia="方正仿宋_GBK" w:cs="Times New Roman"/>
          <w:spacing w:val="0"/>
          <w:sz w:val="32"/>
        </w:rPr>
        <w:t>一般债券还本</w:t>
      </w:r>
      <w:r>
        <w:rPr>
          <w:rFonts w:hint="eastAsia" w:ascii="Times New Roman" w:hAnsi="Times New Roman" w:eastAsia="方正仿宋_GBK" w:cs="Times New Roman"/>
          <w:spacing w:val="0"/>
          <w:sz w:val="32"/>
        </w:rPr>
        <w:t>支出</w:t>
      </w:r>
      <w:r>
        <w:rPr>
          <w:rFonts w:hint="eastAsia" w:ascii="Times New Roman" w:hAnsi="Times New Roman" w:eastAsia="方正仿宋_GBK" w:cs="Times New Roman"/>
          <w:spacing w:val="0"/>
          <w:sz w:val="32"/>
          <w:lang w:val="en-US" w:eastAsia="zh-CN"/>
        </w:rPr>
        <w:t>5775</w:t>
      </w:r>
      <w:r>
        <w:rPr>
          <w:rFonts w:ascii="Times New Roman" w:hAnsi="Times New Roman" w:eastAsia="方正仿宋_GBK" w:cs="Times New Roman"/>
          <w:spacing w:val="0"/>
          <w:sz w:val="32"/>
        </w:rPr>
        <w:t>万元（</w:t>
      </w:r>
      <w:r>
        <w:rPr>
          <w:rFonts w:hint="eastAsia" w:ascii="Times New Roman" w:hAnsi="Times New Roman" w:eastAsia="方正仿宋_GBK" w:cs="Times New Roman"/>
          <w:spacing w:val="0"/>
          <w:sz w:val="32"/>
          <w:lang w:eastAsia="zh-CN"/>
        </w:rPr>
        <w:t>含</w:t>
      </w:r>
      <w:r>
        <w:rPr>
          <w:rFonts w:ascii="Times New Roman" w:hAnsi="Times New Roman" w:eastAsia="方正仿宋_GBK" w:cs="Times New Roman"/>
          <w:spacing w:val="0"/>
          <w:sz w:val="32"/>
        </w:rPr>
        <w:t>再融资债券</w:t>
      </w:r>
      <w:r>
        <w:rPr>
          <w:rFonts w:hint="eastAsia" w:ascii="Times New Roman" w:hAnsi="Times New Roman" w:eastAsia="方正仿宋_GBK" w:cs="Times New Roman"/>
          <w:spacing w:val="0"/>
          <w:sz w:val="32"/>
          <w:lang w:val="en-US" w:eastAsia="zh-CN"/>
        </w:rPr>
        <w:t>4570</w:t>
      </w:r>
      <w:r>
        <w:rPr>
          <w:rFonts w:ascii="Times New Roman" w:hAnsi="Times New Roman" w:eastAsia="方正仿宋_GBK" w:cs="Times New Roman"/>
          <w:spacing w:val="0"/>
          <w:sz w:val="32"/>
        </w:rPr>
        <w:t>万元），一般债券付息</w:t>
      </w:r>
      <w:r>
        <w:rPr>
          <w:rFonts w:hint="eastAsia" w:ascii="Times New Roman" w:hAnsi="Times New Roman" w:eastAsia="方正仿宋_GBK" w:cs="Times New Roman"/>
          <w:spacing w:val="0"/>
          <w:sz w:val="32"/>
        </w:rPr>
        <w:t>支出</w:t>
      </w:r>
      <w:r>
        <w:rPr>
          <w:rFonts w:ascii="Times New Roman" w:hAnsi="Times New Roman" w:eastAsia="方正仿宋_GBK" w:cs="Times New Roman"/>
          <w:spacing w:val="0"/>
          <w:sz w:val="32"/>
        </w:rPr>
        <w:t>5848万元，</w:t>
      </w:r>
      <w:r>
        <w:rPr>
          <w:rFonts w:hint="eastAsia" w:ascii="Times New Roman" w:hAnsi="Times New Roman" w:eastAsia="方正仿宋_GBK" w:cs="Times New Roman"/>
          <w:spacing w:val="0"/>
          <w:sz w:val="32"/>
        </w:rPr>
        <w:t>一般债券发行费支出13万元</w:t>
      </w:r>
      <w:r>
        <w:rPr>
          <w:rFonts w:hint="eastAsia" w:ascii="Times New Roman" w:hAnsi="Times New Roman" w:eastAsia="方正仿宋_GBK" w:cs="Times New Roman"/>
          <w:spacing w:val="0"/>
          <w:sz w:val="32"/>
          <w:lang w:eastAsia="zh-CN"/>
        </w:rPr>
        <w:t>，</w:t>
      </w:r>
      <w:r>
        <w:rPr>
          <w:rFonts w:ascii="Times New Roman" w:hAnsi="Times New Roman" w:eastAsia="方正仿宋_GBK" w:cs="Times New Roman"/>
          <w:spacing w:val="0"/>
          <w:sz w:val="32"/>
        </w:rPr>
        <w:t>专项债券付息</w:t>
      </w:r>
      <w:r>
        <w:rPr>
          <w:rFonts w:hint="eastAsia" w:ascii="Times New Roman" w:hAnsi="Times New Roman" w:eastAsia="方正仿宋_GBK" w:cs="Times New Roman"/>
          <w:spacing w:val="0"/>
          <w:sz w:val="32"/>
        </w:rPr>
        <w:t>支出</w:t>
      </w:r>
      <w:r>
        <w:rPr>
          <w:rFonts w:ascii="Times New Roman" w:hAnsi="Times New Roman" w:eastAsia="方正仿宋_GBK" w:cs="Times New Roman"/>
          <w:spacing w:val="0"/>
          <w:sz w:val="32"/>
        </w:rPr>
        <w:t>2855万元，</w:t>
      </w:r>
      <w:r>
        <w:rPr>
          <w:rFonts w:hint="eastAsia" w:ascii="Times New Roman" w:hAnsi="Times New Roman" w:eastAsia="方正仿宋_GBK" w:cs="Times New Roman"/>
          <w:spacing w:val="0"/>
          <w:sz w:val="32"/>
        </w:rPr>
        <w:t>专项债券发行费支出73万元，</w:t>
      </w:r>
      <w:r>
        <w:rPr>
          <w:rFonts w:ascii="Times New Roman" w:hAnsi="Times New Roman" w:eastAsia="方正仿宋_GBK" w:cs="Times New Roman"/>
          <w:spacing w:val="0"/>
          <w:sz w:val="32"/>
        </w:rPr>
        <w:t>隐性债务化解</w:t>
      </w:r>
      <w:r>
        <w:rPr>
          <w:rFonts w:hint="eastAsia" w:ascii="Times New Roman" w:hAnsi="Times New Roman" w:eastAsia="方正仿宋_GBK" w:cs="Times New Roman"/>
          <w:spacing w:val="0"/>
          <w:sz w:val="32"/>
        </w:rPr>
        <w:t>支出</w:t>
      </w:r>
      <w:r>
        <w:rPr>
          <w:rFonts w:ascii="Times New Roman" w:hAnsi="Times New Roman" w:eastAsia="方正仿宋_GBK" w:cs="Times New Roman"/>
          <w:spacing w:val="0"/>
          <w:sz w:val="32"/>
        </w:rPr>
        <w:t>11261万元。</w:t>
      </w:r>
    </w:p>
    <w:p>
      <w:pPr>
        <w:keepNext w:val="0"/>
        <w:keepLines w:val="0"/>
        <w:pageBreakBefore w:val="0"/>
        <w:widowControl w:val="0"/>
        <w:kinsoku/>
        <w:wordWrap/>
        <w:overflowPunct/>
        <w:topLinePunct w:val="0"/>
        <w:autoSpaceDN/>
        <w:bidi w:val="0"/>
        <w:adjustRightInd/>
        <w:snapToGrid/>
        <w:spacing w:line="570" w:lineRule="exact"/>
        <w:ind w:left="0" w:leftChars="0" w:firstLine="643" w:firstLineChars="200"/>
        <w:textAlignment w:val="auto"/>
        <w:rPr>
          <w:rFonts w:hint="eastAsia" w:ascii="Times New Roman" w:hAnsi="Times New Roman" w:eastAsia="方正楷体_GBK" w:cs="方正楷体_GBK"/>
          <w:b/>
          <w:spacing w:val="0"/>
          <w:sz w:val="32"/>
          <w:szCs w:val="32"/>
          <w:highlight w:val="none"/>
        </w:rPr>
      </w:pPr>
      <w:r>
        <w:rPr>
          <w:rFonts w:hint="eastAsia" w:ascii="Times New Roman" w:hAnsi="Times New Roman" w:eastAsia="方正楷体_GBK" w:cs="方正楷体_GBK"/>
          <w:b/>
          <w:spacing w:val="0"/>
          <w:sz w:val="32"/>
          <w:szCs w:val="32"/>
          <w:highlight w:val="none"/>
        </w:rPr>
        <w:t xml:space="preserve">(六) </w:t>
      </w:r>
      <w:r>
        <w:rPr>
          <w:rFonts w:hint="eastAsia" w:ascii="Times New Roman" w:hAnsi="Times New Roman" w:eastAsia="方正楷体_GBK" w:cs="方正楷体_GBK"/>
          <w:b/>
          <w:spacing w:val="0"/>
          <w:sz w:val="32"/>
          <w:szCs w:val="32"/>
          <w:highlight w:val="none"/>
          <w:lang w:eastAsia="zh-CN"/>
        </w:rPr>
        <w:t>2022年</w:t>
      </w:r>
      <w:r>
        <w:rPr>
          <w:rFonts w:hint="eastAsia" w:ascii="Times New Roman" w:hAnsi="Times New Roman" w:eastAsia="方正楷体_GBK" w:cs="方正楷体_GBK"/>
          <w:b/>
          <w:spacing w:val="0"/>
          <w:sz w:val="32"/>
          <w:szCs w:val="32"/>
          <w:highlight w:val="none"/>
        </w:rPr>
        <w:t>部门决算情况</w:t>
      </w:r>
    </w:p>
    <w:p>
      <w:pPr>
        <w:keepNext w:val="0"/>
        <w:keepLines w:val="0"/>
        <w:pageBreakBefore w:val="0"/>
        <w:widowControl w:val="0"/>
        <w:kinsoku/>
        <w:wordWrap/>
        <w:overflowPunct/>
        <w:topLinePunct w:val="0"/>
        <w:autoSpaceDN/>
        <w:bidi w:val="0"/>
        <w:adjustRightInd/>
        <w:snapToGrid/>
        <w:spacing w:line="570" w:lineRule="exact"/>
        <w:ind w:left="0" w:leftChars="0" w:firstLine="643" w:firstLineChars="200"/>
        <w:textAlignment w:val="auto"/>
        <w:rPr>
          <w:rFonts w:ascii="Times New Roman" w:hAnsi="Times New Roman" w:eastAsia="方正仿宋_GBK"/>
          <w:b/>
          <w:spacing w:val="0"/>
          <w:sz w:val="32"/>
          <w:szCs w:val="32"/>
          <w:highlight w:val="none"/>
        </w:rPr>
      </w:pPr>
      <w:r>
        <w:rPr>
          <w:rFonts w:hint="eastAsia" w:ascii="Times New Roman" w:hAnsi="Times New Roman" w:eastAsia="方正仿宋_GBK"/>
          <w:b/>
          <w:spacing w:val="0"/>
          <w:sz w:val="32"/>
          <w:szCs w:val="32"/>
          <w:highlight w:val="none"/>
        </w:rPr>
        <w:t>1.部门决算收支情况</w:t>
      </w:r>
    </w:p>
    <w:p>
      <w:pPr>
        <w:keepNext w:val="0"/>
        <w:keepLines w:val="0"/>
        <w:pageBreakBefore w:val="0"/>
        <w:widowControl w:val="0"/>
        <w:kinsoku/>
        <w:wordWrap/>
        <w:overflowPunct/>
        <w:topLinePunct w:val="0"/>
        <w:autoSpaceDN/>
        <w:bidi w:val="0"/>
        <w:adjustRightInd/>
        <w:snapToGrid/>
        <w:spacing w:line="570" w:lineRule="exact"/>
        <w:ind w:left="0" w:leftChars="0" w:firstLine="643" w:firstLineChars="200"/>
        <w:textAlignment w:val="auto"/>
        <w:rPr>
          <w:rFonts w:ascii="Times New Roman" w:hAnsi="Times New Roman" w:eastAsia="方正仿宋_GBK"/>
          <w:b/>
          <w:spacing w:val="0"/>
          <w:sz w:val="32"/>
          <w:szCs w:val="32"/>
          <w:highlight w:val="none"/>
        </w:rPr>
      </w:pPr>
      <w:r>
        <w:rPr>
          <w:rFonts w:hint="eastAsia" w:ascii="Times New Roman" w:hAnsi="Times New Roman" w:eastAsia="方正仿宋_GBK"/>
          <w:b/>
          <w:spacing w:val="0"/>
          <w:sz w:val="32"/>
          <w:szCs w:val="32"/>
          <w:highlight w:val="none"/>
        </w:rPr>
        <w:t>（1）部门收入情况</w:t>
      </w:r>
    </w:p>
    <w:p>
      <w:pPr>
        <w:keepNext w:val="0"/>
        <w:keepLines w:val="0"/>
        <w:pageBreakBefore w:val="0"/>
        <w:widowControl w:val="0"/>
        <w:kinsoku/>
        <w:wordWrap/>
        <w:overflowPunct/>
        <w:topLinePunct w:val="0"/>
        <w:autoSpaceDN/>
        <w:bidi w:val="0"/>
        <w:adjustRightInd/>
        <w:snapToGrid/>
        <w:spacing w:line="570" w:lineRule="exact"/>
        <w:ind w:left="0" w:leftChars="0" w:firstLine="640" w:firstLineChars="200"/>
        <w:textAlignment w:val="auto"/>
        <w:rPr>
          <w:rFonts w:ascii="Times New Roman" w:hAnsi="Times New Roman" w:eastAsia="方正仿宋_GBK"/>
          <w:spacing w:val="0"/>
          <w:sz w:val="32"/>
          <w:szCs w:val="32"/>
          <w:highlight w:val="none"/>
        </w:rPr>
      </w:pPr>
      <w:r>
        <w:rPr>
          <w:rFonts w:hint="eastAsia" w:ascii="Times New Roman" w:hAnsi="Times New Roman" w:eastAsia="方正仿宋_GBK"/>
          <w:spacing w:val="0"/>
          <w:sz w:val="32"/>
          <w:szCs w:val="32"/>
          <w:highlight w:val="none"/>
          <w:lang w:eastAsia="zh-CN"/>
        </w:rPr>
        <w:t>2022年</w:t>
      </w:r>
      <w:r>
        <w:rPr>
          <w:rFonts w:hint="eastAsia" w:ascii="Times New Roman" w:hAnsi="Times New Roman" w:eastAsia="方正仿宋_GBK"/>
          <w:spacing w:val="0"/>
          <w:sz w:val="32"/>
          <w:szCs w:val="32"/>
          <w:highlight w:val="none"/>
        </w:rPr>
        <w:t>英吉沙县财政部门决算</w:t>
      </w:r>
      <w:r>
        <w:rPr>
          <w:rFonts w:hint="eastAsia" w:ascii="Times New Roman" w:hAnsi="Times New Roman" w:eastAsia="方正仿宋_GBK"/>
          <w:spacing w:val="0"/>
          <w:sz w:val="32"/>
          <w:szCs w:val="32"/>
          <w:highlight w:val="none"/>
          <w:lang w:eastAsia="zh-CN"/>
        </w:rPr>
        <w:t>本年</w:t>
      </w:r>
      <w:r>
        <w:rPr>
          <w:rFonts w:hint="eastAsia" w:ascii="Times New Roman" w:hAnsi="Times New Roman" w:eastAsia="方正仿宋_GBK"/>
          <w:spacing w:val="0"/>
          <w:sz w:val="32"/>
          <w:szCs w:val="32"/>
          <w:highlight w:val="none"/>
        </w:rPr>
        <w:t>收入（不含代列资金）49</w:t>
      </w:r>
      <w:r>
        <w:rPr>
          <w:rFonts w:hint="eastAsia" w:ascii="Times New Roman" w:hAnsi="Times New Roman" w:eastAsia="方正仿宋_GBK"/>
          <w:spacing w:val="0"/>
          <w:sz w:val="32"/>
          <w:szCs w:val="32"/>
          <w:highlight w:val="none"/>
          <w:lang w:val="en-US" w:eastAsia="zh-CN"/>
        </w:rPr>
        <w:t>4647.46</w:t>
      </w:r>
      <w:r>
        <w:rPr>
          <w:rFonts w:hint="eastAsia" w:ascii="Times New Roman" w:hAnsi="Times New Roman" w:eastAsia="方正仿宋_GBK"/>
          <w:spacing w:val="0"/>
          <w:sz w:val="32"/>
          <w:szCs w:val="32"/>
          <w:highlight w:val="none"/>
        </w:rPr>
        <w:t>万元</w:t>
      </w:r>
      <w:r>
        <w:rPr>
          <w:rFonts w:hint="eastAsia" w:ascii="Times New Roman" w:hAnsi="Times New Roman" w:eastAsia="方正仿宋_GBK"/>
          <w:spacing w:val="0"/>
          <w:sz w:val="32"/>
          <w:szCs w:val="32"/>
          <w:highlight w:val="none"/>
          <w:lang w:eastAsia="zh-CN"/>
        </w:rPr>
        <w:t>，</w:t>
      </w:r>
      <w:r>
        <w:rPr>
          <w:rFonts w:hint="eastAsia" w:ascii="Times New Roman" w:hAnsi="Times New Roman" w:eastAsia="方正仿宋_GBK"/>
          <w:spacing w:val="0"/>
          <w:sz w:val="32"/>
          <w:szCs w:val="32"/>
          <w:highlight w:val="none"/>
        </w:rPr>
        <w:t>其中：财政拨款</w:t>
      </w:r>
      <w:r>
        <w:rPr>
          <w:rFonts w:hint="eastAsia" w:ascii="Times New Roman" w:hAnsi="Times New Roman" w:eastAsia="方正仿宋_GBK"/>
          <w:spacing w:val="0"/>
          <w:sz w:val="32"/>
          <w:szCs w:val="32"/>
          <w:highlight w:val="none"/>
          <w:lang w:eastAsia="zh-CN"/>
        </w:rPr>
        <w:t>收入</w:t>
      </w:r>
      <w:r>
        <w:rPr>
          <w:rFonts w:hint="eastAsia" w:ascii="Times New Roman" w:hAnsi="Times New Roman" w:eastAsia="方正仿宋_GBK"/>
          <w:spacing w:val="0"/>
          <w:sz w:val="32"/>
          <w:szCs w:val="32"/>
          <w:highlight w:val="none"/>
          <w:lang w:val="en-US" w:eastAsia="zh-CN"/>
        </w:rPr>
        <w:t>450492.60万元（其中：</w:t>
      </w:r>
      <w:r>
        <w:rPr>
          <w:rFonts w:hint="eastAsia" w:ascii="Times New Roman" w:hAnsi="Times New Roman" w:eastAsia="方正仿宋_GBK"/>
          <w:spacing w:val="0"/>
          <w:sz w:val="32"/>
          <w:szCs w:val="32"/>
          <w:highlight w:val="none"/>
        </w:rPr>
        <w:t>一般公共预算财政拨款收入38035</w:t>
      </w:r>
      <w:r>
        <w:rPr>
          <w:rFonts w:hint="eastAsia" w:ascii="Times New Roman" w:hAnsi="Times New Roman" w:eastAsia="方正仿宋_GBK"/>
          <w:spacing w:val="0"/>
          <w:sz w:val="32"/>
          <w:szCs w:val="32"/>
          <w:highlight w:val="none"/>
          <w:lang w:val="en-US" w:eastAsia="zh-CN"/>
        </w:rPr>
        <w:t>7.51</w:t>
      </w:r>
      <w:r>
        <w:rPr>
          <w:rFonts w:hint="eastAsia" w:ascii="Times New Roman" w:hAnsi="Times New Roman" w:eastAsia="方正仿宋_GBK"/>
          <w:spacing w:val="0"/>
          <w:sz w:val="32"/>
          <w:szCs w:val="32"/>
          <w:highlight w:val="none"/>
        </w:rPr>
        <w:t>万元，较上年</w:t>
      </w:r>
      <w:r>
        <w:rPr>
          <w:rFonts w:hint="eastAsia" w:ascii="Times New Roman" w:hAnsi="Times New Roman" w:eastAsia="方正仿宋_GBK"/>
          <w:spacing w:val="0"/>
          <w:sz w:val="32"/>
          <w:szCs w:val="32"/>
          <w:highlight w:val="none"/>
          <w:lang w:eastAsia="zh-CN"/>
        </w:rPr>
        <w:t>减少</w:t>
      </w:r>
      <w:r>
        <w:rPr>
          <w:rFonts w:hint="eastAsia" w:ascii="Times New Roman" w:hAnsi="Times New Roman" w:eastAsia="方正仿宋_GBK"/>
          <w:spacing w:val="0"/>
          <w:sz w:val="32"/>
          <w:szCs w:val="32"/>
          <w:highlight w:val="none"/>
          <w:lang w:val="en-US" w:eastAsia="zh-CN"/>
        </w:rPr>
        <w:t>61673</w:t>
      </w:r>
      <w:r>
        <w:rPr>
          <w:rFonts w:hint="eastAsia" w:ascii="Times New Roman" w:hAnsi="Times New Roman" w:eastAsia="方正仿宋_GBK"/>
          <w:spacing w:val="0"/>
          <w:sz w:val="32"/>
          <w:szCs w:val="32"/>
          <w:highlight w:val="none"/>
        </w:rPr>
        <w:t>万元，</w:t>
      </w:r>
      <w:r>
        <w:rPr>
          <w:rFonts w:hint="eastAsia" w:ascii="Times New Roman" w:hAnsi="Times New Roman" w:eastAsia="方正仿宋_GBK"/>
          <w:spacing w:val="0"/>
          <w:sz w:val="32"/>
          <w:szCs w:val="32"/>
          <w:highlight w:val="none"/>
          <w:lang w:eastAsia="zh-CN"/>
        </w:rPr>
        <w:t>下降</w:t>
      </w:r>
      <w:r>
        <w:rPr>
          <w:rFonts w:hint="eastAsia" w:ascii="Times New Roman" w:hAnsi="Times New Roman" w:eastAsia="方正仿宋_GBK"/>
          <w:spacing w:val="0"/>
          <w:sz w:val="32"/>
          <w:szCs w:val="32"/>
          <w:highlight w:val="none"/>
          <w:lang w:val="en-US" w:eastAsia="zh-CN"/>
        </w:rPr>
        <w:t>13.95</w:t>
      </w:r>
      <w:r>
        <w:rPr>
          <w:rFonts w:hint="eastAsia" w:ascii="Times New Roman" w:hAnsi="Times New Roman" w:eastAsia="方正仿宋_GBK"/>
          <w:spacing w:val="0"/>
          <w:sz w:val="32"/>
          <w:szCs w:val="32"/>
          <w:highlight w:val="none"/>
        </w:rPr>
        <w:t>%；政府性基金预算财政拨款收入</w:t>
      </w:r>
      <w:r>
        <w:rPr>
          <w:rFonts w:hint="eastAsia" w:ascii="Times New Roman" w:hAnsi="Times New Roman" w:eastAsia="方正仿宋_GBK"/>
          <w:spacing w:val="0"/>
          <w:sz w:val="32"/>
          <w:szCs w:val="32"/>
          <w:highlight w:val="none"/>
          <w:lang w:val="en-US" w:eastAsia="zh-CN"/>
        </w:rPr>
        <w:t>70075.01</w:t>
      </w:r>
      <w:r>
        <w:rPr>
          <w:rFonts w:hint="eastAsia" w:ascii="Times New Roman" w:hAnsi="Times New Roman" w:eastAsia="方正仿宋_GBK"/>
          <w:spacing w:val="0"/>
          <w:sz w:val="32"/>
          <w:szCs w:val="32"/>
          <w:highlight w:val="none"/>
        </w:rPr>
        <w:t>万元，较上年增加</w:t>
      </w:r>
      <w:r>
        <w:rPr>
          <w:rFonts w:hint="eastAsia" w:ascii="Times New Roman" w:hAnsi="Times New Roman" w:eastAsia="方正仿宋_GBK"/>
          <w:spacing w:val="0"/>
          <w:sz w:val="32"/>
          <w:szCs w:val="32"/>
          <w:highlight w:val="none"/>
          <w:lang w:val="en-US" w:eastAsia="zh-CN"/>
        </w:rPr>
        <w:t>27657.01</w:t>
      </w:r>
      <w:r>
        <w:rPr>
          <w:rFonts w:hint="eastAsia" w:ascii="Times New Roman" w:hAnsi="Times New Roman" w:eastAsia="方正仿宋_GBK"/>
          <w:spacing w:val="0"/>
          <w:sz w:val="32"/>
          <w:szCs w:val="32"/>
          <w:highlight w:val="none"/>
        </w:rPr>
        <w:t>万元，增长</w:t>
      </w:r>
      <w:r>
        <w:rPr>
          <w:rFonts w:hint="eastAsia" w:ascii="Times New Roman" w:hAnsi="Times New Roman" w:eastAsia="方正仿宋_GBK"/>
          <w:spacing w:val="0"/>
          <w:sz w:val="32"/>
          <w:szCs w:val="32"/>
          <w:highlight w:val="none"/>
          <w:lang w:val="en-US" w:eastAsia="zh-CN"/>
        </w:rPr>
        <w:t>65.20</w:t>
      </w:r>
      <w:r>
        <w:rPr>
          <w:rFonts w:hint="eastAsia" w:ascii="Times New Roman" w:hAnsi="Times New Roman" w:eastAsia="方正仿宋_GBK"/>
          <w:spacing w:val="0"/>
          <w:sz w:val="32"/>
          <w:szCs w:val="32"/>
          <w:highlight w:val="none"/>
        </w:rPr>
        <w:t>%；国有资本经营预算财政拨款收入</w:t>
      </w:r>
      <w:r>
        <w:rPr>
          <w:rFonts w:hint="eastAsia" w:ascii="Times New Roman" w:hAnsi="Times New Roman" w:eastAsia="方正仿宋_GBK"/>
          <w:spacing w:val="0"/>
          <w:sz w:val="32"/>
          <w:szCs w:val="32"/>
          <w:highlight w:val="none"/>
          <w:lang w:val="en-US" w:eastAsia="zh-CN"/>
        </w:rPr>
        <w:t>60.08</w:t>
      </w:r>
      <w:r>
        <w:rPr>
          <w:rFonts w:hint="eastAsia" w:ascii="Times New Roman" w:hAnsi="Times New Roman" w:eastAsia="方正仿宋_GBK"/>
          <w:spacing w:val="0"/>
          <w:sz w:val="32"/>
          <w:szCs w:val="32"/>
          <w:highlight w:val="none"/>
        </w:rPr>
        <w:t>万元，较上年</w:t>
      </w:r>
      <w:r>
        <w:rPr>
          <w:rFonts w:hint="eastAsia" w:ascii="Times New Roman" w:hAnsi="Times New Roman" w:eastAsia="方正仿宋_GBK"/>
          <w:spacing w:val="0"/>
          <w:sz w:val="32"/>
          <w:szCs w:val="32"/>
          <w:highlight w:val="none"/>
          <w:lang w:eastAsia="zh-CN"/>
        </w:rPr>
        <w:t>增加</w:t>
      </w:r>
      <w:r>
        <w:rPr>
          <w:rFonts w:hint="eastAsia" w:ascii="Times New Roman" w:hAnsi="Times New Roman" w:eastAsia="方正仿宋_GBK"/>
          <w:spacing w:val="0"/>
          <w:sz w:val="32"/>
          <w:szCs w:val="32"/>
          <w:highlight w:val="none"/>
          <w:lang w:val="en-US" w:eastAsia="zh-CN"/>
        </w:rPr>
        <w:t>59.48</w:t>
      </w:r>
      <w:r>
        <w:rPr>
          <w:rFonts w:hint="eastAsia" w:ascii="Times New Roman" w:hAnsi="Times New Roman" w:eastAsia="方正仿宋_GBK"/>
          <w:spacing w:val="0"/>
          <w:sz w:val="32"/>
          <w:szCs w:val="32"/>
          <w:highlight w:val="none"/>
        </w:rPr>
        <w:t>万元，</w:t>
      </w:r>
      <w:r>
        <w:rPr>
          <w:rFonts w:hint="eastAsia" w:ascii="Times New Roman" w:hAnsi="Times New Roman" w:eastAsia="方正仿宋_GBK"/>
          <w:spacing w:val="0"/>
          <w:sz w:val="32"/>
          <w:szCs w:val="32"/>
          <w:highlight w:val="none"/>
          <w:lang w:eastAsia="zh-CN"/>
        </w:rPr>
        <w:t>增长</w:t>
      </w:r>
      <w:r>
        <w:rPr>
          <w:rFonts w:hint="eastAsia" w:ascii="Times New Roman" w:hAnsi="Times New Roman" w:eastAsia="方正仿宋_GBK"/>
          <w:spacing w:val="0"/>
          <w:sz w:val="32"/>
          <w:szCs w:val="32"/>
          <w:highlight w:val="none"/>
          <w:lang w:val="en-US" w:eastAsia="zh-CN"/>
        </w:rPr>
        <w:t>9913.33</w:t>
      </w:r>
      <w:r>
        <w:rPr>
          <w:rFonts w:hint="eastAsia" w:ascii="Times New Roman" w:hAnsi="Times New Roman" w:eastAsia="方正仿宋_GBK"/>
          <w:spacing w:val="0"/>
          <w:sz w:val="32"/>
          <w:szCs w:val="32"/>
          <w:highlight w:val="none"/>
        </w:rPr>
        <w:t>%</w:t>
      </w:r>
      <w:r>
        <w:rPr>
          <w:rFonts w:hint="eastAsia" w:ascii="Times New Roman" w:hAnsi="Times New Roman" w:eastAsia="方正仿宋_GBK"/>
          <w:spacing w:val="0"/>
          <w:sz w:val="32"/>
          <w:szCs w:val="32"/>
          <w:highlight w:val="none"/>
          <w:lang w:eastAsia="zh-CN"/>
        </w:rPr>
        <w:t>），</w:t>
      </w:r>
      <w:r>
        <w:rPr>
          <w:rFonts w:hint="eastAsia" w:ascii="Times New Roman" w:hAnsi="Times New Roman" w:eastAsia="方正仿宋_GBK"/>
          <w:spacing w:val="0"/>
          <w:sz w:val="32"/>
          <w:szCs w:val="32"/>
          <w:highlight w:val="none"/>
        </w:rPr>
        <w:t>占总收入的</w:t>
      </w:r>
      <w:r>
        <w:rPr>
          <w:rFonts w:hint="eastAsia" w:ascii="Times New Roman" w:hAnsi="Times New Roman" w:eastAsia="方正仿宋_GBK"/>
          <w:spacing w:val="0"/>
          <w:sz w:val="32"/>
          <w:szCs w:val="32"/>
          <w:highlight w:val="none"/>
          <w:lang w:val="en-US" w:eastAsia="zh-CN"/>
        </w:rPr>
        <w:t>91.07</w:t>
      </w:r>
      <w:r>
        <w:rPr>
          <w:rFonts w:hint="eastAsia" w:ascii="Times New Roman" w:hAnsi="Times New Roman" w:eastAsia="方正仿宋_GBK"/>
          <w:spacing w:val="0"/>
          <w:sz w:val="32"/>
          <w:szCs w:val="32"/>
          <w:highlight w:val="none"/>
        </w:rPr>
        <w:t>%；事业收入</w:t>
      </w:r>
      <w:r>
        <w:rPr>
          <w:rFonts w:hint="eastAsia" w:ascii="Times New Roman" w:hAnsi="Times New Roman" w:eastAsia="方正仿宋_GBK"/>
          <w:spacing w:val="0"/>
          <w:sz w:val="32"/>
          <w:szCs w:val="32"/>
          <w:highlight w:val="none"/>
          <w:lang w:val="en-US" w:eastAsia="zh-CN"/>
        </w:rPr>
        <w:t>14498.13</w:t>
      </w:r>
      <w:r>
        <w:rPr>
          <w:rFonts w:hint="eastAsia" w:ascii="Times New Roman" w:hAnsi="Times New Roman" w:eastAsia="方正仿宋_GBK"/>
          <w:spacing w:val="0"/>
          <w:sz w:val="32"/>
          <w:szCs w:val="32"/>
          <w:highlight w:val="none"/>
        </w:rPr>
        <w:t>万元，占总收入的</w:t>
      </w:r>
      <w:r>
        <w:rPr>
          <w:rFonts w:hint="eastAsia" w:ascii="Times New Roman" w:hAnsi="Times New Roman" w:eastAsia="方正仿宋_GBK"/>
          <w:spacing w:val="0"/>
          <w:sz w:val="32"/>
          <w:szCs w:val="32"/>
          <w:highlight w:val="none"/>
          <w:lang w:val="en-US" w:eastAsia="zh-CN"/>
        </w:rPr>
        <w:t>2.93</w:t>
      </w:r>
      <w:r>
        <w:rPr>
          <w:rFonts w:hint="eastAsia" w:ascii="Times New Roman" w:hAnsi="Times New Roman" w:eastAsia="方正仿宋_GBK"/>
          <w:spacing w:val="0"/>
          <w:sz w:val="32"/>
          <w:szCs w:val="32"/>
          <w:highlight w:val="none"/>
        </w:rPr>
        <w:t>%；其他收入</w:t>
      </w:r>
      <w:r>
        <w:rPr>
          <w:rFonts w:hint="eastAsia" w:ascii="Times New Roman" w:hAnsi="Times New Roman" w:eastAsia="方正仿宋_GBK"/>
          <w:spacing w:val="0"/>
          <w:sz w:val="32"/>
          <w:szCs w:val="32"/>
          <w:highlight w:val="none"/>
          <w:lang w:val="en-US" w:eastAsia="zh-CN"/>
        </w:rPr>
        <w:t>29656.73</w:t>
      </w:r>
      <w:r>
        <w:rPr>
          <w:rFonts w:hint="eastAsia" w:ascii="Times New Roman" w:hAnsi="Times New Roman" w:eastAsia="方正仿宋_GBK"/>
          <w:spacing w:val="0"/>
          <w:sz w:val="32"/>
          <w:szCs w:val="32"/>
          <w:highlight w:val="none"/>
        </w:rPr>
        <w:t>万元，占总收入的</w:t>
      </w:r>
      <w:r>
        <w:rPr>
          <w:rFonts w:hint="eastAsia" w:ascii="Times New Roman" w:hAnsi="Times New Roman" w:eastAsia="方正仿宋_GBK"/>
          <w:spacing w:val="0"/>
          <w:sz w:val="32"/>
          <w:szCs w:val="32"/>
          <w:highlight w:val="none"/>
          <w:lang w:val="en-US" w:eastAsia="zh-CN"/>
        </w:rPr>
        <w:t>6</w:t>
      </w:r>
      <w:r>
        <w:rPr>
          <w:rFonts w:hint="eastAsia" w:ascii="Times New Roman" w:hAnsi="Times New Roman" w:eastAsia="方正仿宋_GBK"/>
          <w:spacing w:val="0"/>
          <w:sz w:val="32"/>
          <w:szCs w:val="32"/>
          <w:highlight w:val="none"/>
        </w:rPr>
        <w:t>%。</w:t>
      </w:r>
    </w:p>
    <w:p>
      <w:pPr>
        <w:keepNext w:val="0"/>
        <w:keepLines w:val="0"/>
        <w:pageBreakBefore w:val="0"/>
        <w:widowControl w:val="0"/>
        <w:kinsoku/>
        <w:wordWrap/>
        <w:overflowPunct/>
        <w:topLinePunct w:val="0"/>
        <w:autoSpaceDN/>
        <w:bidi w:val="0"/>
        <w:adjustRightInd/>
        <w:snapToGrid/>
        <w:spacing w:line="570" w:lineRule="exact"/>
        <w:ind w:left="0" w:leftChars="0" w:firstLine="643" w:firstLineChars="200"/>
        <w:textAlignment w:val="auto"/>
        <w:rPr>
          <w:rFonts w:ascii="Times New Roman" w:hAnsi="Times New Roman" w:eastAsia="方正仿宋_GBK"/>
          <w:b/>
          <w:spacing w:val="0"/>
          <w:sz w:val="32"/>
          <w:szCs w:val="32"/>
          <w:highlight w:val="none"/>
        </w:rPr>
      </w:pPr>
      <w:r>
        <w:rPr>
          <w:rFonts w:hint="eastAsia" w:ascii="Times New Roman" w:hAnsi="Times New Roman" w:eastAsia="方正仿宋_GBK"/>
          <w:b/>
          <w:spacing w:val="0"/>
          <w:sz w:val="32"/>
          <w:szCs w:val="32"/>
          <w:highlight w:val="none"/>
        </w:rPr>
        <w:t>（2）部门支出情况</w:t>
      </w:r>
    </w:p>
    <w:p>
      <w:pPr>
        <w:keepNext w:val="0"/>
        <w:keepLines w:val="0"/>
        <w:pageBreakBefore w:val="0"/>
        <w:widowControl w:val="0"/>
        <w:kinsoku/>
        <w:wordWrap/>
        <w:overflowPunct/>
        <w:topLinePunct w:val="0"/>
        <w:autoSpaceDN/>
        <w:bidi w:val="0"/>
        <w:adjustRightInd/>
        <w:snapToGrid/>
        <w:spacing w:line="570" w:lineRule="exact"/>
        <w:ind w:left="0" w:leftChars="0" w:firstLine="640" w:firstLineChars="200"/>
        <w:textAlignment w:val="auto"/>
        <w:rPr>
          <w:rFonts w:hint="eastAsia" w:ascii="Times New Roman" w:hAnsi="Times New Roman" w:eastAsia="方正仿宋_GBK"/>
          <w:spacing w:val="0"/>
          <w:sz w:val="32"/>
          <w:szCs w:val="32"/>
          <w:highlight w:val="none"/>
        </w:rPr>
      </w:pPr>
      <w:r>
        <w:rPr>
          <w:rFonts w:hint="eastAsia" w:ascii="Times New Roman" w:hAnsi="Times New Roman" w:eastAsia="方正仿宋_GBK"/>
          <w:spacing w:val="0"/>
          <w:sz w:val="32"/>
          <w:szCs w:val="32"/>
          <w:highlight w:val="none"/>
          <w:lang w:eastAsia="zh-CN"/>
        </w:rPr>
        <w:t>2022年</w:t>
      </w:r>
      <w:r>
        <w:rPr>
          <w:rFonts w:hint="eastAsia" w:ascii="Times New Roman" w:hAnsi="Times New Roman" w:eastAsia="方正仿宋_GBK"/>
          <w:spacing w:val="0"/>
          <w:sz w:val="32"/>
          <w:szCs w:val="32"/>
          <w:highlight w:val="none"/>
        </w:rPr>
        <w:t>英吉沙县财政部门决算</w:t>
      </w:r>
      <w:r>
        <w:rPr>
          <w:rFonts w:hint="eastAsia" w:ascii="Times New Roman" w:hAnsi="Times New Roman" w:eastAsia="方正仿宋_GBK"/>
          <w:spacing w:val="0"/>
          <w:sz w:val="32"/>
          <w:szCs w:val="32"/>
          <w:highlight w:val="none"/>
          <w:lang w:eastAsia="zh-CN"/>
        </w:rPr>
        <w:t>本年</w:t>
      </w:r>
      <w:r>
        <w:rPr>
          <w:rFonts w:hint="eastAsia" w:ascii="Times New Roman" w:hAnsi="Times New Roman" w:eastAsia="方正仿宋_GBK"/>
          <w:spacing w:val="0"/>
          <w:sz w:val="32"/>
          <w:szCs w:val="32"/>
          <w:highlight w:val="none"/>
        </w:rPr>
        <w:t>支出（不含代列资金）49713</w:t>
      </w:r>
      <w:r>
        <w:rPr>
          <w:rFonts w:hint="eastAsia" w:ascii="Times New Roman" w:hAnsi="Times New Roman" w:eastAsia="方正仿宋_GBK"/>
          <w:spacing w:val="0"/>
          <w:sz w:val="32"/>
          <w:szCs w:val="32"/>
          <w:highlight w:val="none"/>
          <w:lang w:val="en-US" w:eastAsia="zh-CN"/>
        </w:rPr>
        <w:t>2.59</w:t>
      </w:r>
      <w:r>
        <w:rPr>
          <w:rFonts w:hint="eastAsia" w:ascii="Times New Roman" w:hAnsi="Times New Roman" w:eastAsia="方正仿宋_GBK"/>
          <w:spacing w:val="0"/>
          <w:sz w:val="32"/>
          <w:szCs w:val="32"/>
          <w:highlight w:val="none"/>
        </w:rPr>
        <w:t>万元。</w:t>
      </w:r>
    </w:p>
    <w:p>
      <w:pPr>
        <w:keepNext w:val="0"/>
        <w:keepLines w:val="0"/>
        <w:pageBreakBefore w:val="0"/>
        <w:widowControl w:val="0"/>
        <w:kinsoku/>
        <w:wordWrap/>
        <w:overflowPunct/>
        <w:topLinePunct w:val="0"/>
        <w:autoSpaceDN/>
        <w:bidi w:val="0"/>
        <w:adjustRightInd/>
        <w:snapToGrid/>
        <w:spacing w:line="570" w:lineRule="exact"/>
        <w:ind w:left="0" w:leftChars="0" w:firstLine="640" w:firstLineChars="200"/>
        <w:textAlignment w:val="auto"/>
        <w:rPr>
          <w:rFonts w:ascii="Times New Roman" w:hAnsi="Times New Roman" w:eastAsia="方正仿宋_GBK"/>
          <w:spacing w:val="0"/>
          <w:sz w:val="32"/>
          <w:szCs w:val="32"/>
          <w:highlight w:val="none"/>
        </w:rPr>
      </w:pPr>
      <w:r>
        <w:rPr>
          <w:rFonts w:hint="eastAsia" w:ascii="Times New Roman" w:hAnsi="Times New Roman" w:eastAsia="方正仿宋_GBK"/>
          <w:spacing w:val="0"/>
          <w:sz w:val="32"/>
          <w:szCs w:val="32"/>
          <w:highlight w:val="none"/>
        </w:rPr>
        <w:t>按资金性质划分：财政拨款支出45069</w:t>
      </w:r>
      <w:r>
        <w:rPr>
          <w:rFonts w:hint="eastAsia" w:ascii="Times New Roman" w:hAnsi="Times New Roman" w:eastAsia="方正仿宋_GBK"/>
          <w:spacing w:val="0"/>
          <w:sz w:val="32"/>
          <w:szCs w:val="32"/>
          <w:highlight w:val="none"/>
          <w:lang w:val="en-US" w:eastAsia="zh-CN"/>
        </w:rPr>
        <w:t>2.60</w:t>
      </w:r>
      <w:r>
        <w:rPr>
          <w:rFonts w:hint="eastAsia" w:ascii="Times New Roman" w:hAnsi="Times New Roman" w:eastAsia="方正仿宋_GBK"/>
          <w:spacing w:val="0"/>
          <w:sz w:val="32"/>
          <w:szCs w:val="32"/>
          <w:highlight w:val="none"/>
        </w:rPr>
        <w:t>万元</w:t>
      </w:r>
      <w:r>
        <w:rPr>
          <w:rFonts w:hint="eastAsia" w:ascii="Times New Roman" w:hAnsi="Times New Roman" w:eastAsia="方正仿宋_GBK"/>
          <w:spacing w:val="0"/>
          <w:sz w:val="32"/>
          <w:szCs w:val="32"/>
          <w:highlight w:val="none"/>
          <w:lang w:val="en-US" w:eastAsia="zh-CN"/>
        </w:rPr>
        <w:t>（其中：</w:t>
      </w:r>
      <w:r>
        <w:rPr>
          <w:rFonts w:hint="eastAsia" w:ascii="Times New Roman" w:hAnsi="Times New Roman" w:eastAsia="方正仿宋_GBK"/>
          <w:spacing w:val="0"/>
          <w:sz w:val="32"/>
          <w:szCs w:val="32"/>
          <w:highlight w:val="none"/>
        </w:rPr>
        <w:t>一般公共预算财政拨款</w:t>
      </w:r>
      <w:r>
        <w:rPr>
          <w:rFonts w:hint="eastAsia" w:ascii="Times New Roman" w:hAnsi="Times New Roman" w:eastAsia="方正仿宋_GBK"/>
          <w:spacing w:val="0"/>
          <w:sz w:val="32"/>
          <w:szCs w:val="32"/>
          <w:highlight w:val="none"/>
          <w:lang w:eastAsia="zh-CN"/>
        </w:rPr>
        <w:t>支出</w:t>
      </w:r>
      <w:r>
        <w:rPr>
          <w:rFonts w:hint="eastAsia" w:ascii="Times New Roman" w:hAnsi="Times New Roman" w:eastAsia="方正仿宋_GBK"/>
          <w:spacing w:val="0"/>
          <w:sz w:val="32"/>
          <w:szCs w:val="32"/>
          <w:highlight w:val="none"/>
        </w:rPr>
        <w:t>380557</w:t>
      </w:r>
      <w:r>
        <w:rPr>
          <w:rFonts w:hint="eastAsia" w:ascii="Times New Roman" w:hAnsi="Times New Roman" w:eastAsia="方正仿宋_GBK"/>
          <w:spacing w:val="0"/>
          <w:sz w:val="32"/>
          <w:szCs w:val="32"/>
          <w:highlight w:val="none"/>
          <w:lang w:val="en-US" w:eastAsia="zh-CN"/>
        </w:rPr>
        <w:t>.51</w:t>
      </w:r>
      <w:r>
        <w:rPr>
          <w:rFonts w:hint="eastAsia" w:ascii="Times New Roman" w:hAnsi="Times New Roman" w:eastAsia="方正仿宋_GBK"/>
          <w:spacing w:val="0"/>
          <w:sz w:val="32"/>
          <w:szCs w:val="32"/>
          <w:highlight w:val="none"/>
          <w:lang w:eastAsia="zh-CN"/>
        </w:rPr>
        <w:t>万</w:t>
      </w:r>
      <w:r>
        <w:rPr>
          <w:rFonts w:hint="eastAsia" w:ascii="Times New Roman" w:hAnsi="Times New Roman" w:eastAsia="方正仿宋_GBK"/>
          <w:spacing w:val="0"/>
          <w:sz w:val="32"/>
          <w:szCs w:val="32"/>
          <w:highlight w:val="none"/>
        </w:rPr>
        <w:t>元，较上年</w:t>
      </w:r>
      <w:r>
        <w:rPr>
          <w:rFonts w:hint="eastAsia" w:ascii="Times New Roman" w:hAnsi="Times New Roman" w:eastAsia="方正仿宋_GBK"/>
          <w:spacing w:val="0"/>
          <w:sz w:val="32"/>
          <w:szCs w:val="32"/>
          <w:highlight w:val="none"/>
          <w:lang w:eastAsia="zh-CN"/>
        </w:rPr>
        <w:t>减少</w:t>
      </w:r>
      <w:r>
        <w:rPr>
          <w:rFonts w:hint="eastAsia" w:ascii="Times New Roman" w:hAnsi="Times New Roman" w:eastAsia="方正仿宋_GBK"/>
          <w:spacing w:val="0"/>
          <w:sz w:val="32"/>
          <w:szCs w:val="32"/>
          <w:highlight w:val="none"/>
          <w:lang w:val="en-US" w:eastAsia="zh-CN"/>
        </w:rPr>
        <w:t>61678.44</w:t>
      </w:r>
      <w:r>
        <w:rPr>
          <w:rFonts w:hint="eastAsia" w:ascii="Times New Roman" w:hAnsi="Times New Roman" w:eastAsia="方正仿宋_GBK"/>
          <w:spacing w:val="0"/>
          <w:sz w:val="32"/>
          <w:szCs w:val="32"/>
          <w:highlight w:val="none"/>
        </w:rPr>
        <w:t>万元，</w:t>
      </w:r>
      <w:r>
        <w:rPr>
          <w:rFonts w:hint="eastAsia" w:ascii="Times New Roman" w:hAnsi="Times New Roman" w:eastAsia="方正仿宋_GBK"/>
          <w:spacing w:val="0"/>
          <w:sz w:val="32"/>
          <w:szCs w:val="32"/>
          <w:highlight w:val="none"/>
          <w:lang w:eastAsia="zh-CN"/>
        </w:rPr>
        <w:t>下降</w:t>
      </w:r>
      <w:r>
        <w:rPr>
          <w:rFonts w:hint="eastAsia" w:ascii="Times New Roman" w:hAnsi="Times New Roman" w:eastAsia="方正仿宋_GBK"/>
          <w:spacing w:val="0"/>
          <w:sz w:val="32"/>
          <w:szCs w:val="32"/>
          <w:highlight w:val="none"/>
          <w:lang w:val="en-US" w:eastAsia="zh-CN"/>
        </w:rPr>
        <w:t>13.95</w:t>
      </w:r>
      <w:r>
        <w:rPr>
          <w:rFonts w:hint="eastAsia" w:ascii="Times New Roman" w:hAnsi="Times New Roman" w:eastAsia="方正仿宋_GBK"/>
          <w:spacing w:val="0"/>
          <w:sz w:val="32"/>
          <w:szCs w:val="32"/>
          <w:highlight w:val="none"/>
        </w:rPr>
        <w:t>%；政府性基金预算财政拨款70075</w:t>
      </w:r>
      <w:r>
        <w:rPr>
          <w:rFonts w:hint="eastAsia" w:ascii="Times New Roman" w:hAnsi="Times New Roman" w:eastAsia="方正仿宋_GBK"/>
          <w:spacing w:val="0"/>
          <w:sz w:val="32"/>
          <w:szCs w:val="32"/>
          <w:highlight w:val="none"/>
          <w:lang w:val="en-US" w:eastAsia="zh-CN"/>
        </w:rPr>
        <w:t>.01</w:t>
      </w:r>
      <w:r>
        <w:rPr>
          <w:rFonts w:hint="eastAsia" w:ascii="Times New Roman" w:hAnsi="Times New Roman" w:eastAsia="方正仿宋_GBK"/>
          <w:spacing w:val="0"/>
          <w:sz w:val="32"/>
          <w:szCs w:val="32"/>
          <w:highlight w:val="none"/>
          <w:lang w:eastAsia="zh-CN"/>
        </w:rPr>
        <w:t>万</w:t>
      </w:r>
      <w:r>
        <w:rPr>
          <w:rFonts w:hint="eastAsia" w:ascii="Times New Roman" w:hAnsi="Times New Roman" w:eastAsia="方正仿宋_GBK"/>
          <w:spacing w:val="0"/>
          <w:sz w:val="32"/>
          <w:szCs w:val="32"/>
          <w:highlight w:val="none"/>
        </w:rPr>
        <w:t>元，较上年增加</w:t>
      </w:r>
      <w:r>
        <w:rPr>
          <w:rFonts w:hint="eastAsia" w:ascii="Times New Roman" w:hAnsi="Times New Roman" w:eastAsia="方正仿宋_GBK"/>
          <w:spacing w:val="0"/>
          <w:sz w:val="32"/>
          <w:szCs w:val="32"/>
          <w:highlight w:val="none"/>
          <w:lang w:val="en-US" w:eastAsia="zh-CN"/>
        </w:rPr>
        <w:t>27657.01</w:t>
      </w:r>
      <w:r>
        <w:rPr>
          <w:rFonts w:hint="eastAsia" w:ascii="Times New Roman" w:hAnsi="Times New Roman" w:eastAsia="方正仿宋_GBK"/>
          <w:spacing w:val="0"/>
          <w:sz w:val="32"/>
          <w:szCs w:val="32"/>
          <w:highlight w:val="none"/>
        </w:rPr>
        <w:t>万元，增长</w:t>
      </w:r>
      <w:r>
        <w:rPr>
          <w:rFonts w:hint="eastAsia" w:ascii="Times New Roman" w:hAnsi="Times New Roman" w:eastAsia="方正仿宋_GBK"/>
          <w:spacing w:val="0"/>
          <w:sz w:val="32"/>
          <w:szCs w:val="32"/>
          <w:highlight w:val="none"/>
          <w:lang w:val="en-US" w:eastAsia="zh-CN"/>
        </w:rPr>
        <w:t>65.20</w:t>
      </w:r>
      <w:r>
        <w:rPr>
          <w:rFonts w:hint="eastAsia" w:ascii="Times New Roman" w:hAnsi="Times New Roman" w:eastAsia="方正仿宋_GBK"/>
          <w:spacing w:val="0"/>
          <w:sz w:val="32"/>
          <w:szCs w:val="32"/>
          <w:highlight w:val="none"/>
        </w:rPr>
        <w:t>%；国有资本经营预算财政拨款</w:t>
      </w:r>
      <w:r>
        <w:rPr>
          <w:rFonts w:hint="eastAsia" w:ascii="Times New Roman" w:hAnsi="Times New Roman" w:eastAsia="方正仿宋_GBK"/>
          <w:spacing w:val="0"/>
          <w:sz w:val="32"/>
          <w:szCs w:val="32"/>
          <w:highlight w:val="none"/>
          <w:lang w:eastAsia="zh-CN"/>
        </w:rPr>
        <w:t>支出</w:t>
      </w:r>
      <w:r>
        <w:rPr>
          <w:rFonts w:hint="eastAsia" w:ascii="Times New Roman" w:hAnsi="Times New Roman" w:eastAsia="方正仿宋_GBK"/>
          <w:spacing w:val="0"/>
          <w:sz w:val="32"/>
          <w:szCs w:val="32"/>
          <w:highlight w:val="none"/>
          <w:lang w:val="en-US" w:eastAsia="zh-CN"/>
        </w:rPr>
        <w:t>60.08</w:t>
      </w:r>
      <w:r>
        <w:rPr>
          <w:rFonts w:hint="eastAsia" w:ascii="Times New Roman" w:hAnsi="Times New Roman" w:eastAsia="方正仿宋_GBK"/>
          <w:spacing w:val="0"/>
          <w:sz w:val="32"/>
          <w:szCs w:val="32"/>
          <w:highlight w:val="none"/>
        </w:rPr>
        <w:t>万元，较上年</w:t>
      </w:r>
      <w:r>
        <w:rPr>
          <w:rFonts w:hint="eastAsia" w:ascii="Times New Roman" w:hAnsi="Times New Roman" w:eastAsia="方正仿宋_GBK"/>
          <w:spacing w:val="0"/>
          <w:sz w:val="32"/>
          <w:szCs w:val="32"/>
          <w:highlight w:val="none"/>
          <w:lang w:eastAsia="zh-CN"/>
        </w:rPr>
        <w:t>增加</w:t>
      </w:r>
      <w:r>
        <w:rPr>
          <w:rFonts w:hint="eastAsia" w:ascii="Times New Roman" w:hAnsi="Times New Roman" w:eastAsia="方正仿宋_GBK"/>
          <w:spacing w:val="0"/>
          <w:sz w:val="32"/>
          <w:szCs w:val="32"/>
          <w:highlight w:val="none"/>
          <w:lang w:val="en-US" w:eastAsia="zh-CN"/>
        </w:rPr>
        <w:t>59.48</w:t>
      </w:r>
      <w:r>
        <w:rPr>
          <w:rFonts w:hint="eastAsia" w:ascii="Times New Roman" w:hAnsi="Times New Roman" w:eastAsia="方正仿宋_GBK"/>
          <w:spacing w:val="0"/>
          <w:sz w:val="32"/>
          <w:szCs w:val="32"/>
          <w:highlight w:val="none"/>
        </w:rPr>
        <w:t>万元，</w:t>
      </w:r>
      <w:r>
        <w:rPr>
          <w:rFonts w:hint="eastAsia" w:ascii="Times New Roman" w:hAnsi="Times New Roman" w:eastAsia="方正仿宋_GBK"/>
          <w:spacing w:val="0"/>
          <w:sz w:val="32"/>
          <w:szCs w:val="32"/>
          <w:highlight w:val="none"/>
          <w:lang w:eastAsia="zh-CN"/>
        </w:rPr>
        <w:t>增长</w:t>
      </w:r>
      <w:r>
        <w:rPr>
          <w:rFonts w:hint="eastAsia" w:ascii="Times New Roman" w:hAnsi="Times New Roman" w:eastAsia="方正仿宋_GBK"/>
          <w:spacing w:val="0"/>
          <w:sz w:val="32"/>
          <w:szCs w:val="32"/>
          <w:highlight w:val="none"/>
          <w:lang w:val="en-US" w:eastAsia="zh-CN"/>
        </w:rPr>
        <w:t>9913.33</w:t>
      </w:r>
      <w:r>
        <w:rPr>
          <w:rFonts w:hint="eastAsia" w:ascii="Times New Roman" w:hAnsi="Times New Roman" w:eastAsia="方正仿宋_GBK"/>
          <w:spacing w:val="0"/>
          <w:sz w:val="32"/>
          <w:szCs w:val="32"/>
          <w:highlight w:val="none"/>
        </w:rPr>
        <w:t>%</w:t>
      </w:r>
      <w:r>
        <w:rPr>
          <w:rFonts w:hint="eastAsia" w:ascii="Times New Roman" w:hAnsi="Times New Roman" w:eastAsia="方正仿宋_GBK"/>
          <w:spacing w:val="0"/>
          <w:sz w:val="32"/>
          <w:szCs w:val="32"/>
          <w:highlight w:val="none"/>
          <w:lang w:eastAsia="zh-CN"/>
        </w:rPr>
        <w:t>）</w:t>
      </w:r>
      <w:r>
        <w:rPr>
          <w:rFonts w:hint="eastAsia" w:ascii="Times New Roman" w:hAnsi="Times New Roman" w:eastAsia="方正仿宋_GBK"/>
          <w:spacing w:val="0"/>
          <w:sz w:val="32"/>
          <w:szCs w:val="32"/>
          <w:highlight w:val="none"/>
        </w:rPr>
        <w:t>，占本年支出的</w:t>
      </w:r>
      <w:r>
        <w:rPr>
          <w:rFonts w:hint="eastAsia" w:ascii="Times New Roman" w:hAnsi="Times New Roman" w:eastAsia="方正仿宋_GBK"/>
          <w:spacing w:val="0"/>
          <w:sz w:val="32"/>
          <w:szCs w:val="32"/>
          <w:highlight w:val="none"/>
          <w:lang w:val="en-US" w:eastAsia="zh-CN"/>
        </w:rPr>
        <w:t>90.66</w:t>
      </w:r>
      <w:r>
        <w:rPr>
          <w:rFonts w:hint="eastAsia" w:ascii="Times New Roman" w:hAnsi="Times New Roman" w:eastAsia="方正仿宋_GBK"/>
          <w:spacing w:val="0"/>
          <w:sz w:val="32"/>
          <w:szCs w:val="32"/>
          <w:highlight w:val="none"/>
        </w:rPr>
        <w:t>%；</w:t>
      </w:r>
      <w:r>
        <w:rPr>
          <w:rFonts w:hint="eastAsia" w:ascii="Times New Roman" w:hAnsi="Times New Roman" w:eastAsia="方正仿宋_GBK"/>
          <w:spacing w:val="0"/>
          <w:sz w:val="32"/>
          <w:szCs w:val="32"/>
          <w:highlight w:val="none"/>
          <w:lang w:eastAsia="zh-CN"/>
        </w:rPr>
        <w:t>非财政拨款</w:t>
      </w:r>
      <w:r>
        <w:rPr>
          <w:rFonts w:hint="eastAsia" w:ascii="Times New Roman" w:hAnsi="Times New Roman" w:eastAsia="方正仿宋_GBK"/>
          <w:spacing w:val="0"/>
          <w:sz w:val="32"/>
          <w:szCs w:val="32"/>
          <w:highlight w:val="none"/>
        </w:rPr>
        <w:t>支出</w:t>
      </w:r>
      <w:r>
        <w:rPr>
          <w:rFonts w:hint="eastAsia" w:ascii="Times New Roman" w:hAnsi="Times New Roman" w:eastAsia="方正仿宋_GBK"/>
          <w:spacing w:val="0"/>
          <w:sz w:val="32"/>
          <w:szCs w:val="32"/>
          <w:highlight w:val="none"/>
          <w:lang w:val="en-US" w:eastAsia="zh-CN"/>
        </w:rPr>
        <w:t>46439.99</w:t>
      </w:r>
      <w:r>
        <w:rPr>
          <w:rFonts w:hint="eastAsia" w:ascii="Times New Roman" w:hAnsi="Times New Roman" w:eastAsia="方正仿宋_GBK"/>
          <w:spacing w:val="0"/>
          <w:sz w:val="32"/>
          <w:szCs w:val="32"/>
          <w:highlight w:val="none"/>
        </w:rPr>
        <w:t>万元，占本年支出的</w:t>
      </w:r>
      <w:r>
        <w:rPr>
          <w:rFonts w:hint="eastAsia" w:ascii="Times New Roman" w:hAnsi="Times New Roman" w:eastAsia="方正仿宋_GBK"/>
          <w:spacing w:val="0"/>
          <w:sz w:val="32"/>
          <w:szCs w:val="32"/>
          <w:highlight w:val="none"/>
          <w:lang w:val="en-US" w:eastAsia="zh-CN"/>
        </w:rPr>
        <w:t>9.34</w:t>
      </w:r>
      <w:r>
        <w:rPr>
          <w:rFonts w:hint="eastAsia" w:ascii="Times New Roman" w:hAnsi="Times New Roman" w:eastAsia="方正仿宋_GBK"/>
          <w:spacing w:val="0"/>
          <w:sz w:val="32"/>
          <w:szCs w:val="32"/>
          <w:highlight w:val="none"/>
        </w:rPr>
        <w:t>%。</w:t>
      </w:r>
    </w:p>
    <w:p>
      <w:pPr>
        <w:keepNext w:val="0"/>
        <w:keepLines w:val="0"/>
        <w:pageBreakBefore w:val="0"/>
        <w:widowControl w:val="0"/>
        <w:kinsoku/>
        <w:wordWrap/>
        <w:overflowPunct/>
        <w:topLinePunct w:val="0"/>
        <w:autoSpaceDN/>
        <w:bidi w:val="0"/>
        <w:adjustRightInd/>
        <w:snapToGrid/>
        <w:spacing w:line="570" w:lineRule="exact"/>
        <w:ind w:left="0" w:leftChars="0" w:firstLine="640" w:firstLineChars="200"/>
        <w:textAlignment w:val="auto"/>
        <w:rPr>
          <w:rFonts w:ascii="Times New Roman" w:hAnsi="Times New Roman" w:eastAsia="方正仿宋_GBK"/>
          <w:spacing w:val="0"/>
          <w:sz w:val="32"/>
          <w:szCs w:val="32"/>
          <w:highlight w:val="none"/>
        </w:rPr>
      </w:pPr>
      <w:r>
        <w:rPr>
          <w:rFonts w:hint="eastAsia" w:ascii="Times New Roman" w:hAnsi="Times New Roman" w:eastAsia="方正仿宋_GBK"/>
          <w:spacing w:val="0"/>
          <w:sz w:val="32"/>
          <w:szCs w:val="32"/>
          <w:highlight w:val="none"/>
        </w:rPr>
        <w:t>按支出性质划分：基本支出177079</w:t>
      </w:r>
      <w:r>
        <w:rPr>
          <w:rFonts w:hint="eastAsia" w:ascii="Times New Roman" w:hAnsi="Times New Roman" w:eastAsia="方正仿宋_GBK"/>
          <w:spacing w:val="0"/>
          <w:sz w:val="32"/>
          <w:szCs w:val="32"/>
          <w:highlight w:val="none"/>
          <w:lang w:val="en-US" w:eastAsia="zh-CN"/>
        </w:rPr>
        <w:t>.17</w:t>
      </w:r>
      <w:r>
        <w:rPr>
          <w:rFonts w:hint="eastAsia" w:ascii="Times New Roman" w:hAnsi="Times New Roman" w:eastAsia="方正仿宋_GBK"/>
          <w:spacing w:val="0"/>
          <w:sz w:val="32"/>
          <w:szCs w:val="32"/>
          <w:highlight w:val="none"/>
          <w:lang w:eastAsia="zh-CN"/>
        </w:rPr>
        <w:t>万</w:t>
      </w:r>
      <w:r>
        <w:rPr>
          <w:rFonts w:hint="eastAsia" w:ascii="Times New Roman" w:hAnsi="Times New Roman" w:eastAsia="方正仿宋_GBK"/>
          <w:spacing w:val="0"/>
          <w:sz w:val="32"/>
          <w:szCs w:val="32"/>
          <w:highlight w:val="none"/>
        </w:rPr>
        <w:t>元</w:t>
      </w:r>
      <w:r>
        <w:rPr>
          <w:rFonts w:hint="eastAsia" w:ascii="Times New Roman" w:hAnsi="Times New Roman" w:eastAsia="方正仿宋_GBK"/>
          <w:spacing w:val="0"/>
          <w:sz w:val="32"/>
          <w:szCs w:val="32"/>
          <w:highlight w:val="none"/>
          <w:lang w:eastAsia="zh-CN"/>
        </w:rPr>
        <w:t>（</w:t>
      </w:r>
      <w:r>
        <w:rPr>
          <w:rFonts w:hint="eastAsia" w:ascii="Times New Roman" w:hAnsi="Times New Roman" w:eastAsia="方正仿宋_GBK"/>
          <w:spacing w:val="0"/>
          <w:sz w:val="32"/>
          <w:szCs w:val="32"/>
          <w:highlight w:val="none"/>
        </w:rPr>
        <w:t>其中:人员经费支出159119</w:t>
      </w:r>
      <w:r>
        <w:rPr>
          <w:rFonts w:hint="eastAsia" w:ascii="Times New Roman" w:hAnsi="Times New Roman" w:eastAsia="方正仿宋_GBK"/>
          <w:spacing w:val="0"/>
          <w:sz w:val="32"/>
          <w:szCs w:val="32"/>
          <w:highlight w:val="none"/>
          <w:lang w:val="en-US" w:eastAsia="zh-CN"/>
        </w:rPr>
        <w:t>.10</w:t>
      </w:r>
      <w:r>
        <w:rPr>
          <w:rFonts w:hint="eastAsia" w:ascii="Times New Roman" w:hAnsi="Times New Roman" w:eastAsia="方正仿宋_GBK"/>
          <w:spacing w:val="0"/>
          <w:sz w:val="32"/>
          <w:szCs w:val="32"/>
          <w:highlight w:val="none"/>
          <w:lang w:eastAsia="zh-CN"/>
        </w:rPr>
        <w:t>万元</w:t>
      </w:r>
      <w:r>
        <w:rPr>
          <w:rFonts w:hint="eastAsia" w:ascii="Times New Roman" w:hAnsi="Times New Roman" w:eastAsia="方正仿宋_GBK"/>
          <w:spacing w:val="0"/>
          <w:sz w:val="32"/>
          <w:szCs w:val="32"/>
          <w:highlight w:val="none"/>
        </w:rPr>
        <w:t>，公用经费支出17960</w:t>
      </w:r>
      <w:r>
        <w:rPr>
          <w:rFonts w:hint="eastAsia" w:ascii="Times New Roman" w:hAnsi="Times New Roman" w:eastAsia="方正仿宋_GBK"/>
          <w:spacing w:val="0"/>
          <w:sz w:val="32"/>
          <w:szCs w:val="32"/>
          <w:highlight w:val="none"/>
          <w:lang w:val="en-US" w:eastAsia="zh-CN"/>
        </w:rPr>
        <w:t>.07</w:t>
      </w:r>
      <w:r>
        <w:rPr>
          <w:rFonts w:hint="eastAsia" w:ascii="Times New Roman" w:hAnsi="Times New Roman" w:eastAsia="方正仿宋_GBK"/>
          <w:spacing w:val="0"/>
          <w:sz w:val="32"/>
          <w:szCs w:val="32"/>
          <w:highlight w:val="none"/>
          <w:lang w:eastAsia="zh-CN"/>
        </w:rPr>
        <w:t>万</w:t>
      </w:r>
      <w:r>
        <w:rPr>
          <w:rFonts w:hint="eastAsia" w:ascii="Times New Roman" w:hAnsi="Times New Roman" w:eastAsia="方正仿宋_GBK"/>
          <w:spacing w:val="0"/>
          <w:sz w:val="32"/>
          <w:szCs w:val="32"/>
          <w:highlight w:val="none"/>
        </w:rPr>
        <w:t>元</w:t>
      </w:r>
      <w:r>
        <w:rPr>
          <w:rFonts w:hint="eastAsia" w:ascii="Times New Roman" w:hAnsi="Times New Roman" w:eastAsia="方正仿宋_GBK"/>
          <w:spacing w:val="0"/>
          <w:sz w:val="32"/>
          <w:szCs w:val="32"/>
          <w:highlight w:val="none"/>
          <w:lang w:eastAsia="zh-CN"/>
        </w:rPr>
        <w:t>）</w:t>
      </w:r>
      <w:r>
        <w:rPr>
          <w:rFonts w:hint="eastAsia" w:ascii="Times New Roman" w:hAnsi="Times New Roman" w:eastAsia="方正仿宋_GBK"/>
          <w:spacing w:val="0"/>
          <w:sz w:val="32"/>
          <w:szCs w:val="32"/>
          <w:highlight w:val="none"/>
        </w:rPr>
        <w:t>，较上年增支</w:t>
      </w:r>
      <w:r>
        <w:rPr>
          <w:rFonts w:hint="eastAsia" w:ascii="Times New Roman" w:hAnsi="Times New Roman" w:eastAsia="方正仿宋_GBK"/>
          <w:spacing w:val="0"/>
          <w:sz w:val="32"/>
          <w:szCs w:val="32"/>
          <w:highlight w:val="none"/>
          <w:lang w:val="en-US" w:eastAsia="zh-CN"/>
        </w:rPr>
        <w:t>18734.69</w:t>
      </w:r>
      <w:r>
        <w:rPr>
          <w:rFonts w:hint="eastAsia" w:ascii="Times New Roman" w:hAnsi="Times New Roman" w:eastAsia="方正仿宋_GBK"/>
          <w:spacing w:val="0"/>
          <w:sz w:val="32"/>
          <w:szCs w:val="32"/>
          <w:highlight w:val="none"/>
        </w:rPr>
        <w:t>万元，增长</w:t>
      </w:r>
      <w:r>
        <w:rPr>
          <w:rFonts w:hint="eastAsia" w:ascii="Times New Roman" w:hAnsi="Times New Roman" w:eastAsia="方正仿宋_GBK"/>
          <w:spacing w:val="0"/>
          <w:sz w:val="32"/>
          <w:szCs w:val="32"/>
          <w:highlight w:val="none"/>
          <w:lang w:val="en-US" w:eastAsia="zh-CN"/>
        </w:rPr>
        <w:t>11.83</w:t>
      </w:r>
      <w:r>
        <w:rPr>
          <w:rFonts w:hint="eastAsia" w:ascii="Times New Roman" w:hAnsi="Times New Roman" w:eastAsia="方正仿宋_GBK"/>
          <w:spacing w:val="0"/>
          <w:sz w:val="32"/>
          <w:szCs w:val="32"/>
          <w:highlight w:val="none"/>
        </w:rPr>
        <w:t>%，占本年支出的</w:t>
      </w:r>
      <w:r>
        <w:rPr>
          <w:rFonts w:hint="eastAsia" w:ascii="Times New Roman" w:hAnsi="Times New Roman" w:eastAsia="方正仿宋_GBK"/>
          <w:spacing w:val="0"/>
          <w:sz w:val="32"/>
          <w:szCs w:val="32"/>
          <w:highlight w:val="none"/>
          <w:lang w:val="en-US" w:eastAsia="zh-CN"/>
        </w:rPr>
        <w:t>35.62</w:t>
      </w:r>
      <w:r>
        <w:rPr>
          <w:rFonts w:hint="eastAsia" w:ascii="Times New Roman" w:hAnsi="Times New Roman" w:eastAsia="方正仿宋_GBK"/>
          <w:spacing w:val="0"/>
          <w:sz w:val="32"/>
          <w:szCs w:val="32"/>
          <w:highlight w:val="none"/>
        </w:rPr>
        <w:t>%；项目支出32005</w:t>
      </w:r>
      <w:r>
        <w:rPr>
          <w:rFonts w:hint="eastAsia" w:ascii="Times New Roman" w:hAnsi="Times New Roman" w:eastAsia="方正仿宋_GBK"/>
          <w:spacing w:val="0"/>
          <w:sz w:val="32"/>
          <w:szCs w:val="32"/>
          <w:highlight w:val="none"/>
          <w:lang w:val="en-US" w:eastAsia="zh-CN"/>
        </w:rPr>
        <w:t>3.42万</w:t>
      </w:r>
      <w:r>
        <w:rPr>
          <w:rFonts w:hint="eastAsia" w:ascii="Times New Roman" w:hAnsi="Times New Roman" w:eastAsia="方正仿宋_GBK"/>
          <w:spacing w:val="0"/>
          <w:sz w:val="32"/>
          <w:szCs w:val="32"/>
          <w:highlight w:val="none"/>
        </w:rPr>
        <w:t>元</w:t>
      </w:r>
      <w:r>
        <w:rPr>
          <w:rFonts w:hint="eastAsia" w:ascii="Times New Roman" w:hAnsi="Times New Roman" w:eastAsia="方正仿宋_GBK"/>
          <w:spacing w:val="0"/>
          <w:sz w:val="32"/>
          <w:szCs w:val="32"/>
          <w:highlight w:val="none"/>
          <w:lang w:eastAsia="zh-CN"/>
        </w:rPr>
        <w:t>（</w:t>
      </w:r>
      <w:r>
        <w:rPr>
          <w:rFonts w:hint="eastAsia" w:ascii="Times New Roman" w:hAnsi="Times New Roman" w:eastAsia="方正仿宋_GBK"/>
          <w:spacing w:val="0"/>
          <w:sz w:val="32"/>
          <w:szCs w:val="32"/>
          <w:highlight w:val="none"/>
        </w:rPr>
        <w:t>其中：基本建设类项目1445</w:t>
      </w:r>
      <w:r>
        <w:rPr>
          <w:rFonts w:hint="eastAsia" w:ascii="Times New Roman" w:hAnsi="Times New Roman" w:eastAsia="方正仿宋_GBK"/>
          <w:spacing w:val="0"/>
          <w:sz w:val="32"/>
          <w:szCs w:val="32"/>
          <w:highlight w:val="none"/>
          <w:lang w:val="en-US" w:eastAsia="zh-CN"/>
        </w:rPr>
        <w:t>09.79万</w:t>
      </w:r>
      <w:r>
        <w:rPr>
          <w:rFonts w:hint="eastAsia" w:ascii="Times New Roman" w:hAnsi="Times New Roman" w:eastAsia="方正仿宋_GBK"/>
          <w:spacing w:val="0"/>
          <w:sz w:val="32"/>
          <w:szCs w:val="32"/>
          <w:highlight w:val="none"/>
        </w:rPr>
        <w:t>元</w:t>
      </w:r>
      <w:r>
        <w:rPr>
          <w:rFonts w:hint="eastAsia" w:ascii="Times New Roman" w:hAnsi="Times New Roman" w:eastAsia="方正仿宋_GBK"/>
          <w:spacing w:val="0"/>
          <w:sz w:val="32"/>
          <w:szCs w:val="32"/>
          <w:highlight w:val="none"/>
          <w:lang w:eastAsia="zh-CN"/>
        </w:rPr>
        <w:t>）</w:t>
      </w:r>
      <w:r>
        <w:rPr>
          <w:rFonts w:hint="eastAsia" w:ascii="Times New Roman" w:hAnsi="Times New Roman" w:eastAsia="方正仿宋_GBK"/>
          <w:spacing w:val="0"/>
          <w:sz w:val="32"/>
          <w:szCs w:val="32"/>
          <w:highlight w:val="none"/>
        </w:rPr>
        <w:t>，较上年</w:t>
      </w:r>
      <w:r>
        <w:rPr>
          <w:rFonts w:hint="eastAsia" w:ascii="Times New Roman" w:hAnsi="Times New Roman" w:eastAsia="方正仿宋_GBK"/>
          <w:spacing w:val="0"/>
          <w:sz w:val="32"/>
          <w:szCs w:val="32"/>
          <w:highlight w:val="none"/>
          <w:lang w:eastAsia="zh-CN"/>
        </w:rPr>
        <w:t>减</w:t>
      </w:r>
      <w:r>
        <w:rPr>
          <w:rFonts w:hint="eastAsia" w:ascii="Times New Roman" w:hAnsi="Times New Roman" w:eastAsia="方正仿宋_GBK"/>
          <w:spacing w:val="0"/>
          <w:sz w:val="32"/>
          <w:szCs w:val="32"/>
          <w:highlight w:val="none"/>
        </w:rPr>
        <w:t>支</w:t>
      </w:r>
      <w:r>
        <w:rPr>
          <w:rFonts w:hint="eastAsia" w:ascii="Times New Roman" w:hAnsi="Times New Roman" w:eastAsia="方正仿宋_GBK"/>
          <w:spacing w:val="0"/>
          <w:sz w:val="32"/>
          <w:szCs w:val="32"/>
          <w:highlight w:val="none"/>
          <w:lang w:val="en-US" w:eastAsia="zh-CN"/>
        </w:rPr>
        <w:t>72301.25</w:t>
      </w:r>
      <w:r>
        <w:rPr>
          <w:rFonts w:hint="eastAsia" w:ascii="Times New Roman" w:hAnsi="Times New Roman" w:eastAsia="方正仿宋_GBK"/>
          <w:spacing w:val="0"/>
          <w:sz w:val="32"/>
          <w:szCs w:val="32"/>
          <w:highlight w:val="none"/>
        </w:rPr>
        <w:t>万元，</w:t>
      </w:r>
      <w:r>
        <w:rPr>
          <w:rFonts w:hint="eastAsia" w:ascii="Times New Roman" w:hAnsi="Times New Roman" w:eastAsia="方正仿宋_GBK"/>
          <w:spacing w:val="0"/>
          <w:sz w:val="32"/>
          <w:szCs w:val="32"/>
          <w:highlight w:val="none"/>
          <w:lang w:eastAsia="zh-CN"/>
        </w:rPr>
        <w:t>下降</w:t>
      </w:r>
      <w:r>
        <w:rPr>
          <w:rFonts w:hint="eastAsia" w:ascii="Times New Roman" w:hAnsi="Times New Roman" w:eastAsia="方正仿宋_GBK"/>
          <w:spacing w:val="0"/>
          <w:sz w:val="32"/>
          <w:szCs w:val="32"/>
          <w:highlight w:val="none"/>
          <w:lang w:val="en-US" w:eastAsia="zh-CN"/>
        </w:rPr>
        <w:t>18.43</w:t>
      </w:r>
      <w:r>
        <w:rPr>
          <w:rFonts w:hint="eastAsia" w:ascii="Times New Roman" w:hAnsi="Times New Roman" w:eastAsia="方正仿宋_GBK"/>
          <w:spacing w:val="0"/>
          <w:sz w:val="32"/>
          <w:szCs w:val="32"/>
          <w:highlight w:val="none"/>
        </w:rPr>
        <w:t>%，占本年支出的</w:t>
      </w:r>
      <w:r>
        <w:rPr>
          <w:rFonts w:hint="eastAsia" w:ascii="Times New Roman" w:hAnsi="Times New Roman" w:eastAsia="方正仿宋_GBK"/>
          <w:spacing w:val="0"/>
          <w:sz w:val="32"/>
          <w:szCs w:val="32"/>
          <w:highlight w:val="none"/>
          <w:lang w:val="en-US" w:eastAsia="zh-CN"/>
        </w:rPr>
        <w:t>64.38</w:t>
      </w:r>
      <w:r>
        <w:rPr>
          <w:rFonts w:hint="eastAsia" w:ascii="Times New Roman" w:hAnsi="Times New Roman" w:eastAsia="方正仿宋_GBK"/>
          <w:spacing w:val="0"/>
          <w:sz w:val="32"/>
          <w:szCs w:val="32"/>
          <w:highlight w:val="none"/>
        </w:rPr>
        <w:t>%。</w:t>
      </w:r>
    </w:p>
    <w:p>
      <w:pPr>
        <w:keepNext w:val="0"/>
        <w:keepLines w:val="0"/>
        <w:pageBreakBefore w:val="0"/>
        <w:widowControl w:val="0"/>
        <w:kinsoku/>
        <w:wordWrap/>
        <w:overflowPunct/>
        <w:topLinePunct w:val="0"/>
        <w:autoSpaceDN/>
        <w:bidi w:val="0"/>
        <w:adjustRightInd/>
        <w:snapToGrid/>
        <w:spacing w:line="570" w:lineRule="exact"/>
        <w:ind w:left="0" w:leftChars="0" w:firstLine="643" w:firstLineChars="200"/>
        <w:textAlignment w:val="auto"/>
        <w:rPr>
          <w:rFonts w:ascii="Times New Roman" w:hAnsi="Times New Roman" w:eastAsia="方正仿宋_GBK"/>
          <w:b/>
          <w:spacing w:val="0"/>
          <w:sz w:val="32"/>
          <w:szCs w:val="32"/>
          <w:highlight w:val="none"/>
        </w:rPr>
      </w:pPr>
      <w:r>
        <w:rPr>
          <w:rFonts w:hint="eastAsia" w:ascii="Times New Roman" w:hAnsi="Times New Roman" w:eastAsia="方正仿宋_GBK"/>
          <w:b/>
          <w:spacing w:val="0"/>
          <w:sz w:val="32"/>
          <w:szCs w:val="32"/>
          <w:highlight w:val="none"/>
        </w:rPr>
        <w:t>（3）结转结余情况</w:t>
      </w:r>
    </w:p>
    <w:p>
      <w:pPr>
        <w:keepNext w:val="0"/>
        <w:keepLines w:val="0"/>
        <w:pageBreakBefore w:val="0"/>
        <w:widowControl w:val="0"/>
        <w:kinsoku/>
        <w:wordWrap/>
        <w:overflowPunct/>
        <w:topLinePunct w:val="0"/>
        <w:autoSpaceDN/>
        <w:bidi w:val="0"/>
        <w:adjustRightInd/>
        <w:snapToGrid/>
        <w:spacing w:line="570" w:lineRule="exact"/>
        <w:ind w:left="0" w:leftChars="0" w:firstLine="640" w:firstLineChars="200"/>
        <w:textAlignment w:val="auto"/>
        <w:rPr>
          <w:rFonts w:ascii="Times New Roman" w:hAnsi="Times New Roman" w:eastAsia="方正仿宋_GBK"/>
          <w:spacing w:val="0"/>
          <w:sz w:val="32"/>
          <w:szCs w:val="32"/>
          <w:highlight w:val="none"/>
        </w:rPr>
      </w:pPr>
      <w:r>
        <w:rPr>
          <w:rFonts w:hint="eastAsia" w:ascii="Times New Roman" w:hAnsi="Times New Roman" w:eastAsia="方正仿宋_GBK"/>
          <w:spacing w:val="0"/>
          <w:sz w:val="32"/>
          <w:szCs w:val="32"/>
          <w:highlight w:val="none"/>
          <w:lang w:eastAsia="zh-CN"/>
        </w:rPr>
        <w:t>2022年</w:t>
      </w:r>
      <w:r>
        <w:rPr>
          <w:rFonts w:hint="eastAsia" w:ascii="Times New Roman" w:hAnsi="Times New Roman" w:eastAsia="方正仿宋_GBK"/>
          <w:spacing w:val="0"/>
          <w:sz w:val="32"/>
          <w:szCs w:val="32"/>
          <w:highlight w:val="none"/>
        </w:rPr>
        <w:t>英吉沙县财政部门决算</w:t>
      </w:r>
      <w:r>
        <w:rPr>
          <w:rFonts w:hint="eastAsia" w:ascii="Times New Roman" w:hAnsi="Times New Roman" w:eastAsia="方正仿宋_GBK"/>
          <w:spacing w:val="0"/>
          <w:sz w:val="32"/>
          <w:szCs w:val="32"/>
          <w:highlight w:val="none"/>
          <w:lang w:eastAsia="zh-CN"/>
        </w:rPr>
        <w:t>年末</w:t>
      </w:r>
      <w:r>
        <w:rPr>
          <w:rFonts w:hint="eastAsia" w:ascii="Times New Roman" w:hAnsi="Times New Roman" w:eastAsia="方正仿宋_GBK"/>
          <w:spacing w:val="0"/>
          <w:sz w:val="32"/>
          <w:szCs w:val="32"/>
          <w:highlight w:val="none"/>
        </w:rPr>
        <w:t>结转结余</w:t>
      </w:r>
      <w:r>
        <w:rPr>
          <w:rFonts w:hint="eastAsia" w:ascii="Times New Roman" w:hAnsi="Times New Roman" w:eastAsia="方正仿宋_GBK"/>
          <w:spacing w:val="0"/>
          <w:sz w:val="32"/>
          <w:szCs w:val="32"/>
          <w:highlight w:val="none"/>
          <w:lang w:val="en-US" w:eastAsia="zh-CN"/>
        </w:rPr>
        <w:t>738.69</w:t>
      </w:r>
      <w:r>
        <w:rPr>
          <w:rFonts w:hint="eastAsia" w:ascii="Times New Roman" w:hAnsi="Times New Roman" w:eastAsia="方正仿宋_GBK"/>
          <w:spacing w:val="0"/>
          <w:sz w:val="32"/>
          <w:szCs w:val="32"/>
          <w:highlight w:val="none"/>
        </w:rPr>
        <w:t>万元，较上年155</w:t>
      </w:r>
      <w:r>
        <w:rPr>
          <w:rFonts w:hint="eastAsia" w:ascii="Times New Roman" w:hAnsi="Times New Roman" w:eastAsia="方正仿宋_GBK"/>
          <w:spacing w:val="0"/>
          <w:sz w:val="32"/>
          <w:szCs w:val="32"/>
          <w:highlight w:val="none"/>
          <w:lang w:val="en-US" w:eastAsia="zh-CN"/>
        </w:rPr>
        <w:t>6.72</w:t>
      </w:r>
      <w:r>
        <w:rPr>
          <w:rFonts w:hint="eastAsia" w:ascii="Times New Roman" w:hAnsi="Times New Roman" w:eastAsia="方正仿宋_GBK"/>
          <w:spacing w:val="0"/>
          <w:sz w:val="32"/>
          <w:szCs w:val="32"/>
          <w:highlight w:val="none"/>
        </w:rPr>
        <w:t>万元减少</w:t>
      </w:r>
      <w:r>
        <w:rPr>
          <w:rFonts w:hint="eastAsia" w:ascii="Times New Roman" w:hAnsi="Times New Roman" w:eastAsia="方正仿宋_GBK"/>
          <w:spacing w:val="0"/>
          <w:sz w:val="32"/>
          <w:szCs w:val="32"/>
          <w:highlight w:val="none"/>
          <w:lang w:val="en-US" w:eastAsia="zh-CN"/>
        </w:rPr>
        <w:t>818.03</w:t>
      </w:r>
      <w:r>
        <w:rPr>
          <w:rFonts w:hint="eastAsia" w:ascii="Times New Roman" w:hAnsi="Times New Roman" w:eastAsia="方正仿宋_GBK"/>
          <w:spacing w:val="0"/>
          <w:sz w:val="32"/>
          <w:szCs w:val="32"/>
          <w:highlight w:val="none"/>
        </w:rPr>
        <w:t>万元，下降</w:t>
      </w:r>
      <w:r>
        <w:rPr>
          <w:rFonts w:hint="eastAsia" w:ascii="Times New Roman" w:hAnsi="Times New Roman" w:eastAsia="方正仿宋_GBK"/>
          <w:spacing w:val="0"/>
          <w:sz w:val="32"/>
          <w:szCs w:val="32"/>
          <w:highlight w:val="none"/>
          <w:lang w:val="en-US" w:eastAsia="zh-CN"/>
        </w:rPr>
        <w:t>52.55</w:t>
      </w:r>
      <w:r>
        <w:rPr>
          <w:rFonts w:hint="eastAsia" w:ascii="Times New Roman" w:hAnsi="Times New Roman" w:eastAsia="方正仿宋_GBK"/>
          <w:spacing w:val="0"/>
          <w:sz w:val="32"/>
          <w:szCs w:val="32"/>
          <w:highlight w:val="none"/>
        </w:rPr>
        <w:t>%。其中：基本支出结转</w:t>
      </w:r>
      <w:r>
        <w:rPr>
          <w:rFonts w:hint="eastAsia" w:ascii="Times New Roman" w:hAnsi="Times New Roman" w:eastAsia="方正仿宋_GBK"/>
          <w:spacing w:val="0"/>
          <w:sz w:val="32"/>
          <w:szCs w:val="32"/>
          <w:highlight w:val="none"/>
          <w:lang w:val="en-US" w:eastAsia="zh-CN"/>
        </w:rPr>
        <w:t>29.67</w:t>
      </w:r>
      <w:r>
        <w:rPr>
          <w:rFonts w:hint="eastAsia" w:ascii="Times New Roman" w:hAnsi="Times New Roman" w:eastAsia="方正仿宋_GBK"/>
          <w:spacing w:val="0"/>
          <w:sz w:val="32"/>
          <w:szCs w:val="32"/>
          <w:highlight w:val="none"/>
        </w:rPr>
        <w:t>万元，较上年</w:t>
      </w:r>
      <w:r>
        <w:rPr>
          <w:rFonts w:hint="eastAsia" w:ascii="Times New Roman" w:hAnsi="Times New Roman" w:eastAsia="方正仿宋_GBK"/>
          <w:spacing w:val="0"/>
          <w:sz w:val="32"/>
          <w:szCs w:val="32"/>
          <w:highlight w:val="none"/>
          <w:lang w:val="en-US" w:eastAsia="zh-CN"/>
        </w:rPr>
        <w:t>99.95</w:t>
      </w:r>
      <w:r>
        <w:rPr>
          <w:rFonts w:hint="eastAsia" w:ascii="Times New Roman" w:hAnsi="Times New Roman" w:eastAsia="方正仿宋_GBK"/>
          <w:spacing w:val="0"/>
          <w:sz w:val="32"/>
          <w:szCs w:val="32"/>
          <w:highlight w:val="none"/>
        </w:rPr>
        <w:t>万元</w:t>
      </w:r>
      <w:r>
        <w:rPr>
          <w:rFonts w:hint="eastAsia" w:ascii="Times New Roman" w:hAnsi="Times New Roman" w:eastAsia="方正仿宋_GBK"/>
          <w:spacing w:val="0"/>
          <w:sz w:val="32"/>
          <w:szCs w:val="32"/>
          <w:highlight w:val="none"/>
          <w:lang w:eastAsia="zh-CN"/>
        </w:rPr>
        <w:t>减少</w:t>
      </w:r>
      <w:r>
        <w:rPr>
          <w:rFonts w:hint="eastAsia" w:ascii="Times New Roman" w:hAnsi="Times New Roman" w:eastAsia="方正仿宋_GBK"/>
          <w:spacing w:val="0"/>
          <w:sz w:val="32"/>
          <w:szCs w:val="32"/>
          <w:highlight w:val="none"/>
          <w:lang w:val="en-US" w:eastAsia="zh-CN"/>
        </w:rPr>
        <w:t>70.28</w:t>
      </w:r>
      <w:r>
        <w:rPr>
          <w:rFonts w:hint="eastAsia" w:ascii="Times New Roman" w:hAnsi="Times New Roman" w:eastAsia="方正仿宋_GBK"/>
          <w:spacing w:val="0"/>
          <w:sz w:val="32"/>
          <w:szCs w:val="32"/>
          <w:highlight w:val="none"/>
        </w:rPr>
        <w:t>万元，</w:t>
      </w:r>
      <w:r>
        <w:rPr>
          <w:rFonts w:hint="eastAsia" w:ascii="Times New Roman" w:hAnsi="Times New Roman" w:eastAsia="方正仿宋_GBK"/>
          <w:spacing w:val="0"/>
          <w:sz w:val="32"/>
          <w:szCs w:val="32"/>
          <w:highlight w:val="none"/>
          <w:lang w:eastAsia="zh-CN"/>
        </w:rPr>
        <w:t>下降</w:t>
      </w:r>
      <w:r>
        <w:rPr>
          <w:rFonts w:hint="eastAsia" w:ascii="Times New Roman" w:hAnsi="Times New Roman" w:eastAsia="方正仿宋_GBK"/>
          <w:spacing w:val="0"/>
          <w:sz w:val="32"/>
          <w:szCs w:val="32"/>
          <w:highlight w:val="none"/>
          <w:lang w:val="en-US" w:eastAsia="zh-CN"/>
        </w:rPr>
        <w:t>70.32</w:t>
      </w:r>
      <w:r>
        <w:rPr>
          <w:rFonts w:hint="eastAsia" w:ascii="Times New Roman" w:hAnsi="Times New Roman" w:eastAsia="方正仿宋_GBK"/>
          <w:spacing w:val="0"/>
          <w:sz w:val="32"/>
          <w:szCs w:val="32"/>
          <w:highlight w:val="none"/>
        </w:rPr>
        <w:t>%；项目支出结转和结余</w:t>
      </w:r>
      <w:r>
        <w:rPr>
          <w:rFonts w:hint="eastAsia" w:ascii="Times New Roman" w:hAnsi="Times New Roman" w:eastAsia="方正仿宋_GBK"/>
          <w:spacing w:val="0"/>
          <w:sz w:val="32"/>
          <w:szCs w:val="32"/>
          <w:highlight w:val="none"/>
          <w:lang w:val="en-US" w:eastAsia="zh-CN"/>
        </w:rPr>
        <w:t>709.02</w:t>
      </w:r>
      <w:r>
        <w:rPr>
          <w:rFonts w:hint="eastAsia" w:ascii="Times New Roman" w:hAnsi="Times New Roman" w:eastAsia="方正仿宋_GBK"/>
          <w:spacing w:val="0"/>
          <w:sz w:val="32"/>
          <w:szCs w:val="32"/>
          <w:highlight w:val="none"/>
        </w:rPr>
        <w:t>万元，较上年145</w:t>
      </w:r>
      <w:r>
        <w:rPr>
          <w:rFonts w:hint="eastAsia" w:ascii="Times New Roman" w:hAnsi="Times New Roman" w:eastAsia="方正仿宋_GBK"/>
          <w:spacing w:val="0"/>
          <w:sz w:val="32"/>
          <w:szCs w:val="32"/>
          <w:highlight w:val="none"/>
          <w:lang w:val="en-US" w:eastAsia="zh-CN"/>
        </w:rPr>
        <w:t>6.77</w:t>
      </w:r>
      <w:r>
        <w:rPr>
          <w:rFonts w:hint="eastAsia" w:ascii="Times New Roman" w:hAnsi="Times New Roman" w:eastAsia="方正仿宋_GBK"/>
          <w:spacing w:val="0"/>
          <w:sz w:val="32"/>
          <w:szCs w:val="32"/>
          <w:highlight w:val="none"/>
        </w:rPr>
        <w:t>万元减少</w:t>
      </w:r>
      <w:r>
        <w:rPr>
          <w:rFonts w:hint="eastAsia" w:ascii="Times New Roman" w:hAnsi="Times New Roman" w:eastAsia="方正仿宋_GBK"/>
          <w:spacing w:val="0"/>
          <w:sz w:val="32"/>
          <w:szCs w:val="32"/>
          <w:highlight w:val="none"/>
          <w:lang w:val="en-US" w:eastAsia="zh-CN"/>
        </w:rPr>
        <w:t>747.75</w:t>
      </w:r>
      <w:r>
        <w:rPr>
          <w:rFonts w:hint="eastAsia" w:ascii="Times New Roman" w:hAnsi="Times New Roman" w:eastAsia="方正仿宋_GBK"/>
          <w:spacing w:val="0"/>
          <w:sz w:val="32"/>
          <w:szCs w:val="32"/>
          <w:highlight w:val="none"/>
        </w:rPr>
        <w:t>万元，下降</w:t>
      </w:r>
      <w:r>
        <w:rPr>
          <w:rFonts w:hint="eastAsia" w:ascii="Times New Roman" w:hAnsi="Times New Roman" w:eastAsia="方正仿宋_GBK"/>
          <w:spacing w:val="0"/>
          <w:sz w:val="32"/>
          <w:szCs w:val="32"/>
          <w:highlight w:val="none"/>
          <w:lang w:val="en-US" w:eastAsia="zh-CN"/>
        </w:rPr>
        <w:t>51.33</w:t>
      </w:r>
      <w:r>
        <w:rPr>
          <w:rFonts w:hint="eastAsia" w:ascii="Times New Roman" w:hAnsi="Times New Roman" w:eastAsia="方正仿宋_GBK"/>
          <w:spacing w:val="0"/>
          <w:sz w:val="32"/>
          <w:szCs w:val="32"/>
          <w:highlight w:val="none"/>
        </w:rPr>
        <w:t>%。</w:t>
      </w:r>
    </w:p>
    <w:p>
      <w:pPr>
        <w:keepNext w:val="0"/>
        <w:keepLines w:val="0"/>
        <w:pageBreakBefore w:val="0"/>
        <w:widowControl w:val="0"/>
        <w:kinsoku/>
        <w:wordWrap/>
        <w:overflowPunct/>
        <w:topLinePunct w:val="0"/>
        <w:autoSpaceDN/>
        <w:bidi w:val="0"/>
        <w:adjustRightInd/>
        <w:snapToGrid/>
        <w:spacing w:line="570" w:lineRule="exact"/>
        <w:ind w:left="0" w:leftChars="0" w:firstLine="643" w:firstLineChars="200"/>
        <w:textAlignment w:val="auto"/>
        <w:rPr>
          <w:rFonts w:ascii="Times New Roman" w:hAnsi="Times New Roman" w:eastAsia="方正仿宋_GBK"/>
          <w:b/>
          <w:spacing w:val="0"/>
          <w:sz w:val="32"/>
          <w:szCs w:val="32"/>
          <w:highlight w:val="none"/>
        </w:rPr>
      </w:pPr>
      <w:r>
        <w:rPr>
          <w:rFonts w:hint="eastAsia" w:ascii="Times New Roman" w:hAnsi="Times New Roman" w:eastAsia="方正仿宋_GBK"/>
          <w:b/>
          <w:spacing w:val="0"/>
          <w:sz w:val="32"/>
          <w:szCs w:val="32"/>
          <w:highlight w:val="none"/>
        </w:rPr>
        <w:t>2.一般公共预算财政拨款“三公经费”支出情况</w:t>
      </w:r>
    </w:p>
    <w:p>
      <w:pPr>
        <w:keepNext w:val="0"/>
        <w:keepLines w:val="0"/>
        <w:pageBreakBefore w:val="0"/>
        <w:widowControl w:val="0"/>
        <w:kinsoku/>
        <w:wordWrap/>
        <w:overflowPunct/>
        <w:topLinePunct w:val="0"/>
        <w:autoSpaceDN/>
        <w:bidi w:val="0"/>
        <w:adjustRightInd/>
        <w:snapToGrid/>
        <w:spacing w:line="570" w:lineRule="exact"/>
        <w:ind w:left="0" w:leftChars="0" w:firstLine="640" w:firstLineChars="200"/>
        <w:textAlignment w:val="auto"/>
        <w:rPr>
          <w:rFonts w:hint="eastAsia" w:ascii="Times New Roman" w:hAnsi="Times New Roman" w:eastAsia="方正仿宋_GBK"/>
          <w:spacing w:val="0"/>
          <w:sz w:val="32"/>
          <w:szCs w:val="32"/>
          <w:highlight w:val="none"/>
        </w:rPr>
      </w:pPr>
      <w:r>
        <w:rPr>
          <w:rFonts w:hint="eastAsia" w:ascii="Times New Roman" w:hAnsi="Times New Roman" w:eastAsia="方正仿宋_GBK"/>
          <w:spacing w:val="0"/>
          <w:sz w:val="32"/>
          <w:szCs w:val="32"/>
          <w:highlight w:val="none"/>
          <w:lang w:eastAsia="zh-CN"/>
        </w:rPr>
        <w:t>2022年</w:t>
      </w:r>
      <w:r>
        <w:rPr>
          <w:rFonts w:hint="eastAsia" w:ascii="Times New Roman" w:hAnsi="Times New Roman" w:eastAsia="方正仿宋_GBK"/>
          <w:spacing w:val="0"/>
          <w:sz w:val="32"/>
          <w:szCs w:val="32"/>
          <w:highlight w:val="none"/>
        </w:rPr>
        <w:t>，英吉沙县各级财政部门继续贯彻执行中央自治区有关落实厉行节约、反对铺张浪费规定，采取有效措施，加强对因公外出学习考察、公务用车购置及公务接待费用的控制和管理，取得了明显的成效。</w:t>
      </w:r>
      <w:r>
        <w:rPr>
          <w:rFonts w:hint="eastAsia" w:ascii="Times New Roman" w:hAnsi="Times New Roman" w:eastAsia="方正仿宋_GBK"/>
          <w:spacing w:val="0"/>
          <w:sz w:val="32"/>
          <w:szCs w:val="32"/>
          <w:highlight w:val="none"/>
          <w:lang w:eastAsia="zh-CN"/>
        </w:rPr>
        <w:t>2022年</w:t>
      </w:r>
      <w:r>
        <w:rPr>
          <w:rFonts w:hint="eastAsia" w:ascii="Times New Roman" w:hAnsi="Times New Roman" w:eastAsia="方正仿宋_GBK"/>
          <w:spacing w:val="0"/>
          <w:sz w:val="32"/>
          <w:szCs w:val="32"/>
          <w:highlight w:val="none"/>
        </w:rPr>
        <w:t>英吉沙县一般公共预算财政拨款“三公经费”支出</w:t>
      </w:r>
      <w:r>
        <w:rPr>
          <w:rFonts w:hint="eastAsia" w:ascii="Times New Roman" w:hAnsi="Times New Roman" w:eastAsia="方正仿宋_GBK"/>
          <w:spacing w:val="0"/>
          <w:sz w:val="32"/>
          <w:szCs w:val="32"/>
          <w:highlight w:val="none"/>
          <w:lang w:val="en-US" w:eastAsia="zh-CN"/>
        </w:rPr>
        <w:t>240.31万元</w:t>
      </w:r>
      <w:r>
        <w:rPr>
          <w:rFonts w:hint="eastAsia" w:ascii="Times New Roman" w:hAnsi="Times New Roman" w:eastAsia="方正仿宋_GBK"/>
          <w:spacing w:val="0"/>
          <w:sz w:val="32"/>
          <w:szCs w:val="32"/>
          <w:highlight w:val="none"/>
        </w:rPr>
        <w:t>，较上年</w:t>
      </w:r>
      <w:r>
        <w:rPr>
          <w:rFonts w:hint="eastAsia" w:ascii="Times New Roman" w:hAnsi="Times New Roman" w:eastAsia="方正仿宋_GBK"/>
          <w:spacing w:val="0"/>
          <w:sz w:val="32"/>
          <w:szCs w:val="32"/>
          <w:highlight w:val="none"/>
          <w:lang w:val="en-US" w:eastAsia="zh-CN"/>
        </w:rPr>
        <w:t>264.85万元</w:t>
      </w:r>
      <w:r>
        <w:rPr>
          <w:rFonts w:hint="eastAsia" w:ascii="Times New Roman" w:hAnsi="Times New Roman" w:eastAsia="方正仿宋_GBK"/>
          <w:spacing w:val="0"/>
          <w:sz w:val="32"/>
          <w:szCs w:val="32"/>
          <w:highlight w:val="none"/>
        </w:rPr>
        <w:t>减支</w:t>
      </w:r>
      <w:r>
        <w:rPr>
          <w:rFonts w:hint="eastAsia" w:ascii="Times New Roman" w:hAnsi="Times New Roman" w:eastAsia="方正仿宋_GBK"/>
          <w:spacing w:val="0"/>
          <w:sz w:val="32"/>
          <w:szCs w:val="32"/>
          <w:highlight w:val="none"/>
          <w:lang w:val="en-US" w:eastAsia="zh-CN"/>
        </w:rPr>
        <w:t>24.54</w:t>
      </w:r>
      <w:r>
        <w:rPr>
          <w:rFonts w:hint="eastAsia" w:ascii="Times New Roman" w:hAnsi="Times New Roman" w:eastAsia="方正仿宋_GBK"/>
          <w:spacing w:val="0"/>
          <w:sz w:val="32"/>
          <w:szCs w:val="32"/>
          <w:highlight w:val="none"/>
        </w:rPr>
        <w:t>万元，下降</w:t>
      </w:r>
      <w:r>
        <w:rPr>
          <w:rFonts w:hint="eastAsia" w:ascii="Times New Roman" w:hAnsi="Times New Roman" w:eastAsia="方正仿宋_GBK"/>
          <w:spacing w:val="0"/>
          <w:sz w:val="32"/>
          <w:szCs w:val="32"/>
          <w:highlight w:val="none"/>
          <w:lang w:val="en-US" w:eastAsia="zh-CN"/>
        </w:rPr>
        <w:t>9.27</w:t>
      </w:r>
      <w:r>
        <w:rPr>
          <w:rFonts w:hint="eastAsia" w:ascii="Times New Roman" w:hAnsi="Times New Roman" w:eastAsia="方正仿宋_GBK"/>
          <w:spacing w:val="0"/>
          <w:sz w:val="32"/>
          <w:szCs w:val="32"/>
          <w:highlight w:val="none"/>
        </w:rPr>
        <w:t>%</w:t>
      </w:r>
      <w:r>
        <w:rPr>
          <w:rFonts w:hint="eastAsia" w:ascii="Times New Roman" w:hAnsi="Times New Roman" w:eastAsia="方正仿宋_GBK"/>
          <w:spacing w:val="0"/>
          <w:sz w:val="32"/>
          <w:szCs w:val="32"/>
          <w:highlight w:val="none"/>
          <w:lang w:eastAsia="zh-CN"/>
        </w:rPr>
        <w:t>，</w:t>
      </w:r>
      <w:r>
        <w:rPr>
          <w:rFonts w:hint="eastAsia" w:ascii="Times New Roman" w:hAnsi="Times New Roman" w:eastAsia="方正仿宋_GBK"/>
          <w:spacing w:val="0"/>
          <w:sz w:val="32"/>
          <w:szCs w:val="32"/>
          <w:highlight w:val="none"/>
        </w:rPr>
        <w:t>其中：公务用车运行维护费支出</w:t>
      </w:r>
      <w:r>
        <w:rPr>
          <w:rFonts w:hint="eastAsia" w:ascii="Times New Roman" w:hAnsi="Times New Roman" w:eastAsia="方正仿宋_GBK"/>
          <w:spacing w:val="0"/>
          <w:sz w:val="32"/>
          <w:szCs w:val="32"/>
          <w:highlight w:val="none"/>
          <w:lang w:val="en-US" w:eastAsia="zh-CN"/>
        </w:rPr>
        <w:t>193.29万元</w:t>
      </w:r>
      <w:r>
        <w:rPr>
          <w:rFonts w:hint="eastAsia" w:ascii="Times New Roman" w:hAnsi="Times New Roman" w:eastAsia="方正仿宋_GBK"/>
          <w:spacing w:val="0"/>
          <w:sz w:val="32"/>
          <w:szCs w:val="32"/>
          <w:highlight w:val="none"/>
        </w:rPr>
        <w:t>，比上年减支</w:t>
      </w:r>
      <w:r>
        <w:rPr>
          <w:rFonts w:hint="eastAsia" w:ascii="Times New Roman" w:hAnsi="Times New Roman" w:eastAsia="方正仿宋_GBK"/>
          <w:spacing w:val="0"/>
          <w:sz w:val="32"/>
          <w:szCs w:val="32"/>
          <w:highlight w:val="none"/>
          <w:lang w:val="en-US" w:eastAsia="zh-CN"/>
        </w:rPr>
        <w:t>23.36</w:t>
      </w:r>
      <w:r>
        <w:rPr>
          <w:rFonts w:hint="eastAsia" w:ascii="Times New Roman" w:hAnsi="Times New Roman" w:eastAsia="方正仿宋_GBK"/>
          <w:spacing w:val="0"/>
          <w:sz w:val="32"/>
          <w:szCs w:val="32"/>
          <w:highlight w:val="none"/>
        </w:rPr>
        <w:t>万元，下降</w:t>
      </w:r>
      <w:r>
        <w:rPr>
          <w:rFonts w:hint="eastAsia" w:ascii="Times New Roman" w:hAnsi="Times New Roman" w:eastAsia="方正仿宋_GBK"/>
          <w:spacing w:val="0"/>
          <w:sz w:val="32"/>
          <w:szCs w:val="32"/>
          <w:highlight w:val="none"/>
          <w:lang w:val="en-US" w:eastAsia="zh-CN"/>
        </w:rPr>
        <w:t>10.78</w:t>
      </w:r>
      <w:r>
        <w:rPr>
          <w:rFonts w:hint="eastAsia" w:ascii="Times New Roman" w:hAnsi="Times New Roman" w:eastAsia="方正仿宋_GBK"/>
          <w:spacing w:val="0"/>
          <w:sz w:val="32"/>
          <w:szCs w:val="32"/>
          <w:highlight w:val="none"/>
        </w:rPr>
        <w:t>%；公务接待费</w:t>
      </w:r>
      <w:r>
        <w:rPr>
          <w:rFonts w:hint="eastAsia" w:ascii="Times New Roman" w:hAnsi="Times New Roman" w:eastAsia="方正仿宋_GBK"/>
          <w:spacing w:val="0"/>
          <w:sz w:val="32"/>
          <w:szCs w:val="32"/>
          <w:highlight w:val="none"/>
          <w:lang w:val="en-US" w:eastAsia="zh-CN"/>
        </w:rPr>
        <w:t>47.02</w:t>
      </w:r>
      <w:r>
        <w:rPr>
          <w:rFonts w:hint="eastAsia" w:ascii="Times New Roman" w:hAnsi="Times New Roman" w:eastAsia="方正仿宋_GBK"/>
          <w:spacing w:val="0"/>
          <w:sz w:val="32"/>
          <w:szCs w:val="32"/>
          <w:highlight w:val="none"/>
        </w:rPr>
        <w:t>万元，比上年</w:t>
      </w:r>
      <w:r>
        <w:rPr>
          <w:rFonts w:hint="eastAsia" w:ascii="Times New Roman" w:hAnsi="Times New Roman" w:eastAsia="方正仿宋_GBK"/>
          <w:spacing w:val="0"/>
          <w:sz w:val="32"/>
          <w:szCs w:val="32"/>
          <w:highlight w:val="none"/>
          <w:lang w:eastAsia="zh-CN"/>
        </w:rPr>
        <w:t>减支</w:t>
      </w:r>
      <w:r>
        <w:rPr>
          <w:rFonts w:hint="eastAsia" w:ascii="Times New Roman" w:hAnsi="Times New Roman" w:eastAsia="方正仿宋_GBK"/>
          <w:spacing w:val="0"/>
          <w:sz w:val="32"/>
          <w:szCs w:val="32"/>
          <w:highlight w:val="none"/>
          <w:lang w:val="en-US" w:eastAsia="zh-CN"/>
        </w:rPr>
        <w:t>1.18</w:t>
      </w:r>
      <w:r>
        <w:rPr>
          <w:rFonts w:hint="eastAsia" w:ascii="Times New Roman" w:hAnsi="Times New Roman" w:eastAsia="方正仿宋_GBK"/>
          <w:spacing w:val="0"/>
          <w:sz w:val="32"/>
          <w:szCs w:val="32"/>
          <w:highlight w:val="none"/>
        </w:rPr>
        <w:t>万元，</w:t>
      </w:r>
      <w:r>
        <w:rPr>
          <w:rFonts w:hint="eastAsia" w:ascii="Times New Roman" w:hAnsi="Times New Roman" w:eastAsia="方正仿宋_GBK"/>
          <w:spacing w:val="0"/>
          <w:sz w:val="32"/>
          <w:szCs w:val="32"/>
          <w:highlight w:val="none"/>
          <w:lang w:eastAsia="zh-CN"/>
        </w:rPr>
        <w:t>下降</w:t>
      </w:r>
      <w:r>
        <w:rPr>
          <w:rFonts w:hint="eastAsia" w:ascii="Times New Roman" w:hAnsi="Times New Roman" w:eastAsia="方正仿宋_GBK"/>
          <w:spacing w:val="0"/>
          <w:sz w:val="32"/>
          <w:szCs w:val="32"/>
          <w:highlight w:val="none"/>
          <w:lang w:val="en-US" w:eastAsia="zh-CN"/>
        </w:rPr>
        <w:t>2.45</w:t>
      </w:r>
      <w:r>
        <w:rPr>
          <w:rFonts w:hint="eastAsia" w:ascii="Times New Roman" w:hAnsi="Times New Roman" w:eastAsia="方正仿宋_GBK"/>
          <w:spacing w:val="0"/>
          <w:sz w:val="32"/>
          <w:szCs w:val="32"/>
          <w:highlight w:val="none"/>
        </w:rPr>
        <w:t>%。</w:t>
      </w:r>
    </w:p>
    <w:p>
      <w:pPr>
        <w:keepNext w:val="0"/>
        <w:keepLines w:val="0"/>
        <w:pageBreakBefore w:val="0"/>
        <w:widowControl w:val="0"/>
        <w:kinsoku/>
        <w:wordWrap/>
        <w:overflowPunct/>
        <w:topLinePunct w:val="0"/>
        <w:autoSpaceDN/>
        <w:bidi w:val="0"/>
        <w:adjustRightInd/>
        <w:snapToGrid/>
        <w:spacing w:line="570" w:lineRule="exact"/>
        <w:ind w:left="0" w:leftChars="0" w:firstLine="643" w:firstLineChars="200"/>
        <w:textAlignment w:val="auto"/>
        <w:rPr>
          <w:rFonts w:hint="eastAsia" w:ascii="Times New Roman" w:hAnsi="Times New Roman" w:eastAsia="方正仿宋_GBK"/>
          <w:b/>
          <w:spacing w:val="0"/>
          <w:sz w:val="32"/>
          <w:szCs w:val="32"/>
          <w:highlight w:val="none"/>
        </w:rPr>
      </w:pPr>
      <w:r>
        <w:rPr>
          <w:rFonts w:hint="eastAsia" w:ascii="Times New Roman" w:hAnsi="Times New Roman" w:eastAsia="方正仿宋_GBK"/>
          <w:b/>
          <w:spacing w:val="0"/>
          <w:sz w:val="32"/>
          <w:szCs w:val="32"/>
          <w:highlight w:val="none"/>
          <w:lang w:val="en-US" w:eastAsia="zh-CN"/>
        </w:rPr>
        <w:t>3.</w:t>
      </w:r>
      <w:r>
        <w:rPr>
          <w:rFonts w:hint="eastAsia" w:ascii="Times New Roman" w:hAnsi="Times New Roman" w:eastAsia="方正仿宋_GBK"/>
          <w:b/>
          <w:spacing w:val="0"/>
          <w:sz w:val="32"/>
          <w:szCs w:val="32"/>
          <w:highlight w:val="none"/>
        </w:rPr>
        <w:t>202</w:t>
      </w:r>
      <w:r>
        <w:rPr>
          <w:rFonts w:hint="eastAsia" w:ascii="Times New Roman" w:hAnsi="Times New Roman" w:eastAsia="方正仿宋_GBK"/>
          <w:b/>
          <w:spacing w:val="0"/>
          <w:sz w:val="32"/>
          <w:szCs w:val="32"/>
          <w:highlight w:val="none"/>
          <w:lang w:val="en-US" w:eastAsia="zh-CN"/>
        </w:rPr>
        <w:t>2</w:t>
      </w:r>
      <w:r>
        <w:rPr>
          <w:rFonts w:hint="eastAsia" w:ascii="Times New Roman" w:hAnsi="Times New Roman" w:eastAsia="方正仿宋_GBK"/>
          <w:b/>
          <w:spacing w:val="0"/>
          <w:sz w:val="32"/>
          <w:szCs w:val="32"/>
          <w:highlight w:val="none"/>
        </w:rPr>
        <w:t>年人员情况</w:t>
      </w:r>
    </w:p>
    <w:p>
      <w:pPr>
        <w:keepNext w:val="0"/>
        <w:keepLines w:val="0"/>
        <w:pageBreakBefore w:val="0"/>
        <w:widowControl w:val="0"/>
        <w:kinsoku/>
        <w:wordWrap/>
        <w:overflowPunct/>
        <w:topLinePunct w:val="0"/>
        <w:autoSpaceDN/>
        <w:bidi w:val="0"/>
        <w:adjustRightInd/>
        <w:snapToGrid/>
        <w:spacing w:line="570" w:lineRule="exact"/>
        <w:ind w:left="0" w:leftChars="0" w:firstLine="640" w:firstLineChars="200"/>
        <w:textAlignment w:val="auto"/>
        <w:rPr>
          <w:rFonts w:ascii="Times New Roman" w:hAnsi="Times New Roman" w:eastAsia="方正仿宋_GBK"/>
          <w:spacing w:val="0"/>
          <w:sz w:val="32"/>
          <w:szCs w:val="32"/>
        </w:rPr>
      </w:pPr>
      <w:r>
        <w:rPr>
          <w:rFonts w:hint="eastAsia" w:ascii="Times New Roman" w:hAnsi="Times New Roman" w:eastAsia="方正仿宋_GBK"/>
          <w:spacing w:val="0"/>
          <w:sz w:val="32"/>
          <w:szCs w:val="32"/>
        </w:rPr>
        <w:t>202</w:t>
      </w:r>
      <w:r>
        <w:rPr>
          <w:rFonts w:hint="eastAsia" w:ascii="Times New Roman" w:hAnsi="Times New Roman" w:eastAsia="方正仿宋_GBK"/>
          <w:spacing w:val="0"/>
          <w:sz w:val="32"/>
          <w:szCs w:val="32"/>
          <w:lang w:val="en-US" w:eastAsia="zh-CN"/>
        </w:rPr>
        <w:t>2</w:t>
      </w:r>
      <w:r>
        <w:rPr>
          <w:rFonts w:hint="eastAsia" w:ascii="Times New Roman" w:hAnsi="Times New Roman" w:eastAsia="方正仿宋_GBK"/>
          <w:spacing w:val="0"/>
          <w:sz w:val="32"/>
          <w:szCs w:val="32"/>
        </w:rPr>
        <w:t>年年末全县实有在职人数925</w:t>
      </w:r>
      <w:r>
        <w:rPr>
          <w:rFonts w:hint="eastAsia" w:ascii="Times New Roman" w:hAnsi="Times New Roman" w:eastAsia="方正仿宋_GBK"/>
          <w:spacing w:val="0"/>
          <w:sz w:val="32"/>
          <w:szCs w:val="32"/>
          <w:lang w:val="en-US" w:eastAsia="zh-CN"/>
        </w:rPr>
        <w:t>7</w:t>
      </w:r>
      <w:r>
        <w:rPr>
          <w:rFonts w:hint="eastAsia" w:ascii="Times New Roman" w:hAnsi="Times New Roman" w:eastAsia="方正仿宋_GBK"/>
          <w:spacing w:val="0"/>
          <w:sz w:val="32"/>
          <w:szCs w:val="32"/>
        </w:rPr>
        <w:t>人。一般公共预算财政拨款开支人数9090人，其中：行政人员1667人，较上年减少</w:t>
      </w:r>
      <w:r>
        <w:rPr>
          <w:rFonts w:hint="eastAsia" w:ascii="Times New Roman" w:hAnsi="Times New Roman" w:eastAsia="方正仿宋_GBK"/>
          <w:spacing w:val="0"/>
          <w:sz w:val="32"/>
          <w:szCs w:val="32"/>
          <w:lang w:val="en-US" w:eastAsia="zh-CN"/>
        </w:rPr>
        <w:t>89</w:t>
      </w:r>
      <w:r>
        <w:rPr>
          <w:rFonts w:hint="eastAsia" w:ascii="Times New Roman" w:hAnsi="Times New Roman" w:eastAsia="方正仿宋_GBK"/>
          <w:spacing w:val="0"/>
          <w:sz w:val="32"/>
          <w:szCs w:val="32"/>
        </w:rPr>
        <w:t>人，参照公务员法管理事业人员632人，较上年增加</w:t>
      </w:r>
      <w:r>
        <w:rPr>
          <w:rFonts w:hint="eastAsia" w:ascii="Times New Roman" w:hAnsi="Times New Roman" w:eastAsia="方正仿宋_GBK"/>
          <w:spacing w:val="0"/>
          <w:sz w:val="32"/>
          <w:szCs w:val="32"/>
          <w:lang w:val="en-US" w:eastAsia="zh-CN"/>
        </w:rPr>
        <w:t>31</w:t>
      </w:r>
      <w:r>
        <w:rPr>
          <w:rFonts w:hint="eastAsia" w:ascii="Times New Roman" w:hAnsi="Times New Roman" w:eastAsia="方正仿宋_GBK"/>
          <w:spacing w:val="0"/>
          <w:sz w:val="32"/>
          <w:szCs w:val="32"/>
        </w:rPr>
        <w:t>人，非参公事业人员6791</w:t>
      </w:r>
      <w:r>
        <w:rPr>
          <w:rFonts w:hint="eastAsia" w:ascii="Times New Roman" w:hAnsi="Times New Roman" w:eastAsia="方正仿宋_GBK"/>
          <w:spacing w:val="0"/>
          <w:sz w:val="32"/>
          <w:szCs w:val="32"/>
          <w:lang w:eastAsia="zh-CN"/>
        </w:rPr>
        <w:t>人</w:t>
      </w:r>
      <w:r>
        <w:rPr>
          <w:rFonts w:hint="eastAsia" w:ascii="Times New Roman" w:hAnsi="Times New Roman" w:eastAsia="方正仿宋_GBK"/>
          <w:spacing w:val="0"/>
          <w:sz w:val="32"/>
          <w:szCs w:val="32"/>
        </w:rPr>
        <w:t>，较上年</w:t>
      </w:r>
      <w:r>
        <w:rPr>
          <w:rFonts w:hint="eastAsia" w:ascii="Times New Roman" w:hAnsi="Times New Roman" w:eastAsia="方正仿宋_GBK"/>
          <w:spacing w:val="0"/>
          <w:sz w:val="32"/>
          <w:szCs w:val="32"/>
          <w:lang w:eastAsia="zh-CN"/>
        </w:rPr>
        <w:t>减少</w:t>
      </w:r>
      <w:r>
        <w:rPr>
          <w:rFonts w:hint="eastAsia" w:ascii="Times New Roman" w:hAnsi="Times New Roman" w:eastAsia="方正仿宋_GBK"/>
          <w:spacing w:val="0"/>
          <w:sz w:val="32"/>
          <w:szCs w:val="32"/>
          <w:lang w:val="en-US" w:eastAsia="zh-CN"/>
        </w:rPr>
        <w:t>71</w:t>
      </w:r>
      <w:r>
        <w:rPr>
          <w:rFonts w:hint="eastAsia" w:ascii="Times New Roman" w:hAnsi="Times New Roman" w:eastAsia="方正仿宋_GBK"/>
          <w:spacing w:val="0"/>
          <w:sz w:val="32"/>
          <w:szCs w:val="32"/>
        </w:rPr>
        <w:t>人；经费自理人员167人，较上年减少</w:t>
      </w:r>
      <w:r>
        <w:rPr>
          <w:rFonts w:hint="eastAsia" w:ascii="Times New Roman" w:hAnsi="Times New Roman" w:eastAsia="方正仿宋_GBK"/>
          <w:spacing w:val="0"/>
          <w:sz w:val="32"/>
          <w:szCs w:val="32"/>
          <w:lang w:val="en-US" w:eastAsia="zh-CN"/>
        </w:rPr>
        <w:t>10</w:t>
      </w:r>
      <w:r>
        <w:rPr>
          <w:rFonts w:hint="eastAsia" w:ascii="Times New Roman" w:hAnsi="Times New Roman" w:eastAsia="方正仿宋_GBK"/>
          <w:spacing w:val="0"/>
          <w:sz w:val="32"/>
          <w:szCs w:val="32"/>
        </w:rPr>
        <w:t>人。</w:t>
      </w:r>
    </w:p>
    <w:p>
      <w:pPr>
        <w:keepNext w:val="0"/>
        <w:keepLines w:val="0"/>
        <w:pageBreakBefore w:val="0"/>
        <w:widowControl w:val="0"/>
        <w:kinsoku/>
        <w:wordWrap/>
        <w:overflowPunct/>
        <w:topLinePunct w:val="0"/>
        <w:autoSpaceDN/>
        <w:bidi w:val="0"/>
        <w:adjustRightInd/>
        <w:snapToGrid/>
        <w:spacing w:line="570" w:lineRule="exact"/>
        <w:ind w:left="0" w:leftChars="0" w:firstLine="640" w:firstLineChars="200"/>
        <w:textAlignment w:val="auto"/>
        <w:rPr>
          <w:rFonts w:hint="eastAsia" w:ascii="Times New Roman" w:hAnsi="Times New Roman" w:eastAsia="方正仿宋_GBK"/>
          <w:spacing w:val="0"/>
          <w:sz w:val="32"/>
          <w:szCs w:val="32"/>
        </w:rPr>
      </w:pPr>
      <w:r>
        <w:rPr>
          <w:rFonts w:hint="eastAsia" w:ascii="Times New Roman" w:hAnsi="Times New Roman" w:eastAsia="方正仿宋_GBK"/>
          <w:spacing w:val="0"/>
          <w:sz w:val="32"/>
          <w:szCs w:val="32"/>
        </w:rPr>
        <w:t>其他人员6397人，较上年减少1142人；年末学生人数85586人。</w:t>
      </w:r>
    </w:p>
    <w:p>
      <w:pPr>
        <w:keepNext w:val="0"/>
        <w:keepLines w:val="0"/>
        <w:pageBreakBefore w:val="0"/>
        <w:widowControl w:val="0"/>
        <w:kinsoku/>
        <w:wordWrap/>
        <w:overflowPunct/>
        <w:topLinePunct w:val="0"/>
        <w:autoSpaceDN/>
        <w:bidi w:val="0"/>
        <w:adjustRightInd/>
        <w:snapToGrid/>
        <w:spacing w:line="570" w:lineRule="exact"/>
        <w:ind w:left="0" w:leftChars="0" w:firstLine="643" w:firstLineChars="200"/>
        <w:textAlignment w:val="auto"/>
        <w:rPr>
          <w:rFonts w:hint="eastAsia" w:ascii="Times New Roman" w:hAnsi="Times New Roman" w:eastAsia="方正黑体_GBK" w:cs="方正黑体_GBK"/>
          <w:b/>
          <w:spacing w:val="0"/>
          <w:sz w:val="32"/>
          <w:szCs w:val="32"/>
          <w:highlight w:val="none"/>
          <w:lang w:eastAsia="zh-CN"/>
        </w:rPr>
      </w:pPr>
      <w:r>
        <w:rPr>
          <w:rFonts w:hint="eastAsia" w:ascii="Times New Roman" w:hAnsi="Times New Roman" w:eastAsia="方正黑体_GBK" w:cs="方正黑体_GBK"/>
          <w:b/>
          <w:spacing w:val="0"/>
          <w:sz w:val="32"/>
          <w:szCs w:val="32"/>
          <w:highlight w:val="none"/>
          <w:lang w:eastAsia="zh-CN"/>
        </w:rPr>
        <w:t>二、202</w:t>
      </w:r>
      <w:r>
        <w:rPr>
          <w:rFonts w:hint="eastAsia" w:ascii="Times New Roman" w:hAnsi="Times New Roman" w:eastAsia="方正黑体_GBK" w:cs="方正黑体_GBK"/>
          <w:b/>
          <w:spacing w:val="0"/>
          <w:sz w:val="32"/>
          <w:szCs w:val="32"/>
          <w:highlight w:val="none"/>
          <w:lang w:val="en-US" w:eastAsia="zh-CN"/>
        </w:rPr>
        <w:t>2</w:t>
      </w:r>
      <w:r>
        <w:rPr>
          <w:rFonts w:hint="eastAsia" w:ascii="Times New Roman" w:hAnsi="Times New Roman" w:eastAsia="方正黑体_GBK" w:cs="方正黑体_GBK"/>
          <w:b/>
          <w:spacing w:val="0"/>
          <w:sz w:val="32"/>
          <w:szCs w:val="32"/>
          <w:highlight w:val="none"/>
          <w:lang w:eastAsia="zh-CN"/>
        </w:rPr>
        <w:t>年预算绩效评价管理工作</w:t>
      </w:r>
    </w:p>
    <w:p>
      <w:pPr>
        <w:keepNext w:val="0"/>
        <w:keepLines w:val="0"/>
        <w:pageBreakBefore w:val="0"/>
        <w:widowControl w:val="0"/>
        <w:kinsoku/>
        <w:wordWrap/>
        <w:overflowPunct/>
        <w:topLinePunct w:val="0"/>
        <w:autoSpaceDN/>
        <w:bidi w:val="0"/>
        <w:adjustRightInd/>
        <w:snapToGrid/>
        <w:spacing w:line="570" w:lineRule="exact"/>
        <w:ind w:left="0" w:leftChars="0" w:firstLine="643" w:firstLineChars="200"/>
        <w:textAlignment w:val="auto"/>
        <w:rPr>
          <w:rFonts w:hint="eastAsia" w:ascii="Times New Roman" w:hAnsi="Times New Roman" w:eastAsia="方正楷体_GBK" w:cs="方正楷体_GBK"/>
          <w:b/>
          <w:spacing w:val="0"/>
          <w:sz w:val="32"/>
          <w:szCs w:val="32"/>
          <w:highlight w:val="none"/>
          <w:lang w:val="en-US" w:eastAsia="zh-CN"/>
        </w:rPr>
      </w:pPr>
      <w:r>
        <w:rPr>
          <w:rFonts w:hint="eastAsia" w:ascii="Times New Roman" w:hAnsi="Times New Roman" w:eastAsia="方正楷体_GBK" w:cs="方正楷体_GBK"/>
          <w:b/>
          <w:spacing w:val="0"/>
          <w:sz w:val="32"/>
          <w:szCs w:val="32"/>
          <w:highlight w:val="none"/>
          <w:lang w:val="en-US" w:eastAsia="zh-CN"/>
        </w:rPr>
        <w:t>（一）2022年部门整体绩效评价工作</w:t>
      </w:r>
    </w:p>
    <w:p>
      <w:pPr>
        <w:keepNext w:val="0"/>
        <w:keepLines w:val="0"/>
        <w:pageBreakBefore w:val="0"/>
        <w:widowControl w:val="0"/>
        <w:kinsoku/>
        <w:wordWrap/>
        <w:overflowPunct/>
        <w:topLinePunct w:val="0"/>
        <w:autoSpaceDN/>
        <w:bidi w:val="0"/>
        <w:adjustRightInd/>
        <w:snapToGrid/>
        <w:spacing w:line="570" w:lineRule="exact"/>
        <w:ind w:left="0" w:leftChars="0" w:firstLine="640" w:firstLineChars="200"/>
        <w:textAlignment w:val="auto"/>
        <w:rPr>
          <w:rFonts w:hint="default" w:ascii="Times New Roman" w:hAnsi="Times New Roman" w:eastAsia="方正仿宋_GBK"/>
          <w:spacing w:val="0"/>
          <w:sz w:val="32"/>
          <w:szCs w:val="32"/>
          <w:lang w:val="en-US" w:eastAsia="zh-CN"/>
        </w:rPr>
      </w:pPr>
      <w:r>
        <w:rPr>
          <w:rFonts w:hint="eastAsia" w:ascii="Times New Roman" w:hAnsi="Times New Roman" w:eastAsia="方正仿宋_GBK"/>
          <w:spacing w:val="0"/>
          <w:sz w:val="32"/>
          <w:szCs w:val="32"/>
          <w:lang w:val="en-US" w:eastAsia="zh-CN"/>
        </w:rPr>
        <w:t>英吉沙县2022年组织开展部门整体绩效评价68个，涉及资金总额159403.09万元，实际执行157713.29万元，总体执行率为98.94%，总体完成率为97.98%，自评表平均得分为98.33分，撰写绩效评价报告68个，评价报告平均得分为98.12分。</w:t>
      </w:r>
    </w:p>
    <w:p>
      <w:pPr>
        <w:keepNext w:val="0"/>
        <w:keepLines w:val="0"/>
        <w:pageBreakBefore w:val="0"/>
        <w:widowControl w:val="0"/>
        <w:kinsoku/>
        <w:wordWrap/>
        <w:overflowPunct/>
        <w:topLinePunct w:val="0"/>
        <w:autoSpaceDN/>
        <w:bidi w:val="0"/>
        <w:adjustRightInd/>
        <w:snapToGrid/>
        <w:spacing w:line="570" w:lineRule="exact"/>
        <w:ind w:left="0" w:leftChars="0" w:firstLine="643" w:firstLineChars="200"/>
        <w:textAlignment w:val="auto"/>
        <w:rPr>
          <w:rFonts w:hint="eastAsia" w:ascii="Times New Roman" w:hAnsi="Times New Roman" w:eastAsia="方正楷体_GBK" w:cs="方正楷体_GBK"/>
          <w:b/>
          <w:spacing w:val="0"/>
          <w:sz w:val="32"/>
          <w:szCs w:val="32"/>
          <w:highlight w:val="none"/>
          <w:lang w:val="en-US" w:eastAsia="zh-CN"/>
        </w:rPr>
      </w:pPr>
      <w:r>
        <w:rPr>
          <w:rFonts w:hint="eastAsia" w:ascii="Times New Roman" w:hAnsi="Times New Roman" w:eastAsia="方正楷体_GBK" w:cs="方正楷体_GBK"/>
          <w:b/>
          <w:spacing w:val="0"/>
          <w:sz w:val="32"/>
          <w:szCs w:val="32"/>
          <w:highlight w:val="none"/>
          <w:lang w:val="en-US" w:eastAsia="zh-CN"/>
        </w:rPr>
        <w:t>（</w:t>
      </w:r>
      <w:r>
        <w:rPr>
          <w:rFonts w:hint="eastAsia" w:ascii="Times New Roman" w:hAnsi="Times New Roman" w:eastAsia="方正楷体_GBK" w:cs="方正楷体_GBK"/>
          <w:b/>
          <w:spacing w:val="0"/>
          <w:sz w:val="32"/>
          <w:szCs w:val="32"/>
          <w:highlight w:val="none"/>
          <w:lang w:eastAsia="zh-CN"/>
        </w:rPr>
        <w:t>二）</w:t>
      </w:r>
      <w:r>
        <w:rPr>
          <w:rFonts w:hint="eastAsia" w:ascii="Times New Roman" w:hAnsi="Times New Roman" w:eastAsia="方正楷体_GBK" w:cs="方正楷体_GBK"/>
          <w:b/>
          <w:spacing w:val="0"/>
          <w:sz w:val="32"/>
          <w:szCs w:val="32"/>
          <w:highlight w:val="none"/>
          <w:lang w:val="en-US" w:eastAsia="zh-CN"/>
        </w:rPr>
        <w:t>2022年项目绩效评价工作</w:t>
      </w:r>
    </w:p>
    <w:p>
      <w:pPr>
        <w:keepNext w:val="0"/>
        <w:keepLines w:val="0"/>
        <w:pageBreakBefore w:val="0"/>
        <w:widowControl w:val="0"/>
        <w:kinsoku/>
        <w:wordWrap/>
        <w:overflowPunct/>
        <w:topLinePunct w:val="0"/>
        <w:autoSpaceDN/>
        <w:bidi w:val="0"/>
        <w:adjustRightInd/>
        <w:snapToGrid/>
        <w:spacing w:line="570" w:lineRule="exact"/>
        <w:ind w:left="0" w:leftChars="0" w:firstLine="640" w:firstLineChars="200"/>
        <w:textAlignment w:val="auto"/>
        <w:rPr>
          <w:rFonts w:hint="eastAsia" w:ascii="Times New Roman" w:hAnsi="Times New Roman" w:eastAsia="方正仿宋_GBK"/>
          <w:spacing w:val="0"/>
          <w:sz w:val="32"/>
          <w:szCs w:val="32"/>
          <w:lang w:val="en-US" w:eastAsia="zh-CN"/>
        </w:rPr>
      </w:pPr>
      <w:r>
        <w:rPr>
          <w:rFonts w:hint="eastAsia" w:ascii="Times New Roman" w:hAnsi="Times New Roman" w:eastAsia="方正仿宋_GBK"/>
          <w:spacing w:val="0"/>
          <w:sz w:val="32"/>
          <w:szCs w:val="32"/>
          <w:lang w:val="en-US" w:eastAsia="zh-CN"/>
        </w:rPr>
        <w:t>英吉沙县2022年组织开展项目绩效评价482个，涉及资金总额251358.76万元。一是专项项目70个，全年预算总额11735.35万元，实际执行7943.52万元，总体执行率为67.69%，绩效目标总体完成率为91.46%，绩效自评表平均得分为93.05分；二是四本预算项目412个，年初预算总额238968.27万元，全年预算总额239627.41万元，实际执行217890.51万元，总体执行率为90.93%，绩效目标总体完成率为97.90%，绩效自评表平均得分为97.60分，抽取74个项目撰写绩效评价报告，绩效评价报告平均得分为99.54分。</w:t>
      </w:r>
    </w:p>
    <w:p>
      <w:pPr>
        <w:keepNext w:val="0"/>
        <w:keepLines w:val="0"/>
        <w:pageBreakBefore w:val="0"/>
        <w:widowControl w:val="0"/>
        <w:kinsoku/>
        <w:wordWrap/>
        <w:overflowPunct/>
        <w:topLinePunct w:val="0"/>
        <w:autoSpaceDN/>
        <w:bidi w:val="0"/>
        <w:adjustRightInd/>
        <w:snapToGrid/>
        <w:spacing w:line="570" w:lineRule="exact"/>
        <w:ind w:left="0" w:leftChars="0" w:firstLine="643" w:firstLineChars="200"/>
        <w:textAlignment w:val="auto"/>
        <w:rPr>
          <w:rFonts w:hint="eastAsia" w:ascii="Times New Roman" w:hAnsi="Times New Roman" w:eastAsia="方正黑体_GBK" w:cs="方正黑体_GBK"/>
          <w:b/>
          <w:spacing w:val="0"/>
          <w:sz w:val="32"/>
          <w:szCs w:val="32"/>
          <w:highlight w:val="none"/>
        </w:rPr>
      </w:pPr>
      <w:r>
        <w:rPr>
          <w:rFonts w:hint="eastAsia" w:ascii="Times New Roman" w:hAnsi="Times New Roman" w:eastAsia="方正黑体_GBK" w:cs="方正黑体_GBK"/>
          <w:b/>
          <w:spacing w:val="0"/>
          <w:sz w:val="32"/>
          <w:szCs w:val="32"/>
          <w:highlight w:val="none"/>
          <w:lang w:eastAsia="zh-CN"/>
        </w:rPr>
        <w:t>三</w:t>
      </w:r>
      <w:r>
        <w:rPr>
          <w:rFonts w:hint="eastAsia" w:ascii="Times New Roman" w:hAnsi="Times New Roman" w:eastAsia="方正黑体_GBK" w:cs="方正黑体_GBK"/>
          <w:b/>
          <w:spacing w:val="0"/>
          <w:sz w:val="32"/>
          <w:szCs w:val="32"/>
          <w:highlight w:val="none"/>
        </w:rPr>
        <w:t>、</w:t>
      </w:r>
      <w:r>
        <w:rPr>
          <w:rFonts w:hint="eastAsia" w:ascii="Times New Roman" w:hAnsi="Times New Roman" w:eastAsia="方正黑体_GBK" w:cs="方正黑体_GBK"/>
          <w:b/>
          <w:spacing w:val="0"/>
          <w:sz w:val="32"/>
          <w:szCs w:val="32"/>
          <w:highlight w:val="none"/>
          <w:lang w:eastAsia="zh-CN"/>
        </w:rPr>
        <w:t>2022年</w:t>
      </w:r>
      <w:r>
        <w:rPr>
          <w:rFonts w:hint="eastAsia" w:ascii="Times New Roman" w:hAnsi="Times New Roman" w:eastAsia="方正黑体_GBK" w:cs="方正黑体_GBK"/>
          <w:b/>
          <w:spacing w:val="0"/>
          <w:sz w:val="32"/>
          <w:szCs w:val="32"/>
          <w:highlight w:val="none"/>
        </w:rPr>
        <w:t>财政工作落实情况</w:t>
      </w:r>
    </w:p>
    <w:p>
      <w:pPr>
        <w:pStyle w:val="20"/>
        <w:keepNext w:val="0"/>
        <w:keepLines w:val="0"/>
        <w:pageBreakBefore w:val="0"/>
        <w:widowControl w:val="0"/>
        <w:kinsoku/>
        <w:wordWrap/>
        <w:overflowPunct/>
        <w:topLinePunct w:val="0"/>
        <w:autoSpaceDN/>
        <w:bidi w:val="0"/>
        <w:adjustRightInd/>
        <w:snapToGrid/>
        <w:spacing w:line="570" w:lineRule="exact"/>
        <w:ind w:left="0" w:leftChars="0" w:firstLine="640" w:firstLineChars="200"/>
        <w:jc w:val="left"/>
        <w:textAlignment w:val="auto"/>
        <w:rPr>
          <w:rFonts w:ascii="Times New Roman" w:hAnsi="Times New Roman" w:eastAsia="方正仿宋_GBK" w:cs="Times New Roman"/>
          <w:spacing w:val="0"/>
          <w:sz w:val="32"/>
          <w:szCs w:val="32"/>
          <w:highlight w:val="none"/>
        </w:rPr>
      </w:pPr>
      <w:r>
        <w:rPr>
          <w:rFonts w:hint="eastAsia" w:ascii="Times New Roman" w:hAnsi="Times New Roman" w:eastAsia="方正仿宋_GBK" w:cs="Times New Roman"/>
          <w:spacing w:val="0"/>
          <w:sz w:val="32"/>
          <w:szCs w:val="32"/>
          <w:highlight w:val="none"/>
          <w:lang w:eastAsia="zh-CN"/>
        </w:rPr>
        <w:t>2022年</w:t>
      </w:r>
      <w:r>
        <w:rPr>
          <w:rFonts w:hint="eastAsia" w:ascii="Times New Roman" w:hAnsi="Times New Roman" w:eastAsia="方正仿宋_GBK" w:cs="Times New Roman"/>
          <w:spacing w:val="0"/>
          <w:sz w:val="32"/>
          <w:szCs w:val="32"/>
          <w:highlight w:val="none"/>
        </w:rPr>
        <w:t>财政部门在县委、政府的坚强领导下，扎实做好“六稳”工作、全面落实“六保”任务，以积极的财政政策有效作为，真正发挥稳定经济的关键作用，有力维护了社会稳定大局。</w:t>
      </w:r>
    </w:p>
    <w:p>
      <w:pPr>
        <w:keepNext w:val="0"/>
        <w:keepLines w:val="0"/>
        <w:pageBreakBefore w:val="0"/>
        <w:widowControl w:val="0"/>
        <w:kinsoku/>
        <w:wordWrap/>
        <w:overflowPunct/>
        <w:topLinePunct w:val="0"/>
        <w:autoSpaceDN/>
        <w:bidi w:val="0"/>
        <w:adjustRightInd/>
        <w:snapToGrid/>
        <w:spacing w:line="570" w:lineRule="exact"/>
        <w:ind w:left="0" w:leftChars="0" w:firstLine="643" w:firstLineChars="200"/>
        <w:textAlignment w:val="auto"/>
        <w:rPr>
          <w:rFonts w:hint="eastAsia" w:ascii="Times New Roman" w:hAnsi="Times New Roman" w:eastAsia="方正楷体_GBK" w:cs="方正楷体_GBK"/>
          <w:b/>
          <w:spacing w:val="0"/>
          <w:sz w:val="32"/>
          <w:szCs w:val="32"/>
          <w:highlight w:val="none"/>
        </w:rPr>
      </w:pPr>
      <w:r>
        <w:rPr>
          <w:rFonts w:hint="eastAsia" w:ascii="Times New Roman" w:hAnsi="Times New Roman" w:eastAsia="方正楷体_GBK" w:cs="方正楷体_GBK"/>
          <w:b/>
          <w:spacing w:val="0"/>
          <w:sz w:val="32"/>
          <w:szCs w:val="32"/>
          <w:highlight w:val="none"/>
        </w:rPr>
        <w:t>（一）财政收入实现稳定增收</w:t>
      </w:r>
    </w:p>
    <w:p>
      <w:pPr>
        <w:keepNext w:val="0"/>
        <w:keepLines w:val="0"/>
        <w:pageBreakBefore w:val="0"/>
        <w:widowControl w:val="0"/>
        <w:kinsoku/>
        <w:wordWrap/>
        <w:overflowPunct/>
        <w:topLinePunct w:val="0"/>
        <w:autoSpaceDN/>
        <w:bidi w:val="0"/>
        <w:adjustRightInd/>
        <w:snapToGrid/>
        <w:spacing w:line="570" w:lineRule="exact"/>
        <w:ind w:left="0" w:leftChars="0" w:firstLine="640" w:firstLineChars="200"/>
        <w:textAlignment w:val="auto"/>
        <w:rPr>
          <w:rFonts w:ascii="Times New Roman" w:hAnsi="Times New Roman" w:eastAsia="方正仿宋_GBK" w:cs="Times New Roman"/>
          <w:spacing w:val="0"/>
          <w:sz w:val="32"/>
          <w:szCs w:val="32"/>
          <w:highlight w:val="none"/>
        </w:rPr>
      </w:pPr>
      <w:r>
        <w:rPr>
          <w:rFonts w:hint="eastAsia" w:ascii="Times New Roman" w:hAnsi="Times New Roman" w:eastAsia="方正仿宋_GBK" w:cs="Times New Roman"/>
          <w:spacing w:val="0"/>
          <w:sz w:val="32"/>
          <w:szCs w:val="32"/>
          <w:highlight w:val="none"/>
        </w:rPr>
        <w:t>严格落实组织收入责任，坚持预算执行分析，强化税收和非税收入征管，坚决做到依法依规、应收尽收，确保各项收入及时入库。一般公共预算收入完成</w:t>
      </w:r>
      <w:r>
        <w:rPr>
          <w:rFonts w:hint="eastAsia" w:ascii="Times New Roman" w:hAnsi="Times New Roman" w:eastAsia="方正仿宋_GBK" w:cs="Times New Roman"/>
          <w:spacing w:val="0"/>
          <w:sz w:val="32"/>
          <w:szCs w:val="32"/>
          <w:highlight w:val="none"/>
          <w:lang w:val="en-US" w:eastAsia="zh-CN"/>
        </w:rPr>
        <w:t>21846</w:t>
      </w:r>
      <w:r>
        <w:rPr>
          <w:rFonts w:hint="eastAsia" w:ascii="Times New Roman" w:hAnsi="Times New Roman" w:eastAsia="方正仿宋_GBK" w:cs="Times New Roman"/>
          <w:spacing w:val="0"/>
          <w:sz w:val="32"/>
          <w:szCs w:val="32"/>
          <w:highlight w:val="none"/>
        </w:rPr>
        <w:t>万元，</w:t>
      </w:r>
      <w:r>
        <w:rPr>
          <w:rFonts w:hint="eastAsia" w:ascii="Times New Roman" w:hAnsi="Times New Roman" w:eastAsia="方正仿宋_GBK" w:cs="Times New Roman"/>
          <w:spacing w:val="0"/>
          <w:sz w:val="32"/>
          <w:szCs w:val="32"/>
          <w:highlight w:val="none"/>
          <w:lang w:eastAsia="zh-CN"/>
        </w:rPr>
        <w:t>增收</w:t>
      </w:r>
      <w:r>
        <w:rPr>
          <w:rFonts w:hint="eastAsia" w:ascii="Times New Roman" w:hAnsi="Times New Roman" w:eastAsia="方正仿宋_GBK" w:cs="Times New Roman"/>
          <w:spacing w:val="0"/>
          <w:sz w:val="32"/>
          <w:szCs w:val="32"/>
          <w:highlight w:val="none"/>
          <w:lang w:val="en-US" w:eastAsia="zh-CN"/>
        </w:rPr>
        <w:t>2959万元，</w:t>
      </w:r>
      <w:r>
        <w:rPr>
          <w:rFonts w:hint="eastAsia" w:ascii="Times New Roman" w:hAnsi="Times New Roman" w:eastAsia="方正仿宋_GBK" w:cs="Times New Roman"/>
          <w:spacing w:val="0"/>
          <w:sz w:val="32"/>
          <w:szCs w:val="32"/>
          <w:highlight w:val="none"/>
        </w:rPr>
        <w:t>增长</w:t>
      </w:r>
      <w:r>
        <w:rPr>
          <w:rFonts w:hint="eastAsia" w:ascii="Times New Roman" w:hAnsi="Times New Roman" w:eastAsia="方正仿宋_GBK" w:cs="Times New Roman"/>
          <w:spacing w:val="0"/>
          <w:sz w:val="32"/>
          <w:szCs w:val="32"/>
          <w:highlight w:val="none"/>
          <w:lang w:val="en-US" w:eastAsia="zh-CN"/>
        </w:rPr>
        <w:t>15.67</w:t>
      </w:r>
      <w:r>
        <w:rPr>
          <w:rFonts w:hint="eastAsia" w:ascii="Times New Roman" w:hAnsi="Times New Roman" w:eastAsia="方正仿宋_GBK" w:cs="Times New Roman"/>
          <w:spacing w:val="0"/>
          <w:sz w:val="32"/>
          <w:szCs w:val="32"/>
          <w:highlight w:val="none"/>
        </w:rPr>
        <w:t>%。</w:t>
      </w:r>
    </w:p>
    <w:p>
      <w:pPr>
        <w:pStyle w:val="20"/>
        <w:keepNext w:val="0"/>
        <w:keepLines w:val="0"/>
        <w:pageBreakBefore w:val="0"/>
        <w:widowControl w:val="0"/>
        <w:kinsoku/>
        <w:wordWrap/>
        <w:overflowPunct/>
        <w:topLinePunct w:val="0"/>
        <w:autoSpaceDN/>
        <w:bidi w:val="0"/>
        <w:adjustRightInd/>
        <w:snapToGrid/>
        <w:spacing w:line="570" w:lineRule="exact"/>
        <w:ind w:left="0" w:leftChars="0" w:firstLine="643" w:firstLineChars="200"/>
        <w:jc w:val="left"/>
        <w:textAlignment w:val="auto"/>
        <w:rPr>
          <w:rFonts w:hint="eastAsia" w:ascii="Times New Roman" w:hAnsi="Times New Roman" w:eastAsia="方正楷体_GBK" w:cs="方正楷体_GBK"/>
          <w:b/>
          <w:spacing w:val="0"/>
          <w:sz w:val="32"/>
          <w:szCs w:val="32"/>
          <w:highlight w:val="none"/>
        </w:rPr>
      </w:pPr>
      <w:r>
        <w:rPr>
          <w:rFonts w:hint="eastAsia" w:ascii="Times New Roman" w:hAnsi="Times New Roman" w:eastAsia="方正楷体_GBK" w:cs="方正楷体_GBK"/>
          <w:b/>
          <w:spacing w:val="0"/>
          <w:sz w:val="32"/>
          <w:szCs w:val="32"/>
          <w:highlight w:val="none"/>
        </w:rPr>
        <w:t>（二）切实兜牢县级 “三保”底线</w:t>
      </w:r>
    </w:p>
    <w:p>
      <w:pPr>
        <w:pStyle w:val="11"/>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70" w:lineRule="exact"/>
        <w:ind w:left="0" w:leftChars="0" w:right="0" w:rightChars="0" w:firstLine="640" w:firstLineChars="200"/>
        <w:textAlignment w:val="auto"/>
        <w:outlineLvl w:val="9"/>
        <w:rPr>
          <w:rFonts w:ascii="Times New Roman" w:hAnsi="Times New Roman" w:eastAsia="方正仿宋_GBK" w:cs="Times New Roman"/>
          <w:spacing w:val="0"/>
          <w:sz w:val="32"/>
          <w:szCs w:val="32"/>
          <w:highlight w:val="none"/>
        </w:rPr>
      </w:pPr>
      <w:r>
        <w:rPr>
          <w:rFonts w:hint="eastAsia" w:ascii="Times New Roman" w:hAnsi="Times New Roman" w:eastAsia="方正仿宋_GBK" w:cs="方正仿宋_GBK"/>
          <w:color w:val="auto"/>
          <w:spacing w:val="0"/>
          <w:kern w:val="2"/>
          <w:sz w:val="32"/>
          <w:szCs w:val="32"/>
          <w:highlight w:val="none"/>
          <w:lang w:val="en-US" w:eastAsia="zh-CN" w:bidi="ar"/>
        </w:rPr>
        <w:t>今年以来财政部门认真贯彻落实中央和自治区党委关于“三保”的各项决策部署，狠抓落实，通过预算编制、资金统筹、增收节支、库款调度等多项措施，缓解县级“三保”保障压力。</w:t>
      </w:r>
      <w:r>
        <w:rPr>
          <w:rFonts w:hint="eastAsia" w:ascii="Times New Roman" w:hAnsi="Times New Roman" w:eastAsia="方正仿宋_GBK" w:cs="方正仿宋_GBK"/>
          <w:color w:val="auto"/>
          <w:spacing w:val="0"/>
          <w:kern w:val="0"/>
          <w:sz w:val="32"/>
          <w:szCs w:val="32"/>
          <w:highlight w:val="none"/>
          <w:lang w:val="en-US" w:eastAsia="zh-CN"/>
        </w:rPr>
        <w:t>认真做好直达资金公开、“三保”监测、财政运行等工作，“三保”监测系统执行数为198423万元，其中：保工资113738万元，保运转1472万元，保基本民生83213万</w:t>
      </w:r>
      <w:r>
        <w:rPr>
          <w:rFonts w:hint="eastAsia" w:ascii="Times New Roman" w:hAnsi="Times New Roman" w:eastAsia="方正仿宋_GBK" w:cs="方正仿宋_GBK"/>
          <w:bCs/>
          <w:snapToGrid w:val="0"/>
          <w:color w:val="auto"/>
          <w:spacing w:val="0"/>
          <w:kern w:val="0"/>
          <w:sz w:val="32"/>
          <w:szCs w:val="32"/>
          <w:highlight w:val="none"/>
          <w:shd w:val="clear" w:color="auto" w:fill="auto"/>
          <w:lang w:val="en-US" w:eastAsia="zh-CN" w:bidi="ar"/>
        </w:rPr>
        <w:t>元，各类“三保”资金足额及时拨付。</w:t>
      </w:r>
      <w:r>
        <w:rPr>
          <w:rFonts w:hint="eastAsia" w:ascii="Times New Roman" w:hAnsi="Times New Roman" w:eastAsia="方正仿宋_GBK" w:cs="Times New Roman"/>
          <w:spacing w:val="0"/>
          <w:sz w:val="32"/>
          <w:szCs w:val="32"/>
          <w:highlight w:val="none"/>
        </w:rPr>
        <w:t xml:space="preserve">                                                                                                                                                                                                                                                                                                                                                                                                                                                                                                                                                                                                                                                                                                                                                                                                                                                                                                                                                                                                                                                                                                                                                                                                                                                                                                                                                                                                                                                                                                                                                                                                                                                                                                                                                                                                                                                                                                                                                                                                                                                                                                                                                                                                                                                                                                                                                                                                                                                                                                                                                                                                                                                                                                                                                                                                                                                                                                                                                                                                                                                                                                                                                                                                                                                                                       </w:t>
      </w:r>
    </w:p>
    <w:p>
      <w:pPr>
        <w:keepNext w:val="0"/>
        <w:keepLines w:val="0"/>
        <w:pageBreakBefore w:val="0"/>
        <w:widowControl w:val="0"/>
        <w:kinsoku/>
        <w:wordWrap/>
        <w:overflowPunct/>
        <w:topLinePunct w:val="0"/>
        <w:autoSpaceDN/>
        <w:bidi w:val="0"/>
        <w:adjustRightInd/>
        <w:snapToGrid/>
        <w:spacing w:line="570" w:lineRule="exact"/>
        <w:ind w:left="0" w:leftChars="0" w:firstLine="643" w:firstLineChars="200"/>
        <w:textAlignment w:val="auto"/>
        <w:rPr>
          <w:rFonts w:hint="eastAsia" w:ascii="Times New Roman" w:hAnsi="Times New Roman" w:eastAsia="方正楷体_GBK" w:cs="方正楷体_GBK"/>
          <w:b/>
          <w:spacing w:val="0"/>
          <w:sz w:val="32"/>
          <w:szCs w:val="32"/>
          <w:highlight w:val="none"/>
        </w:rPr>
      </w:pPr>
      <w:r>
        <w:rPr>
          <w:rFonts w:hint="eastAsia" w:ascii="Times New Roman" w:hAnsi="Times New Roman" w:eastAsia="方正楷体_GBK" w:cs="方正楷体_GBK"/>
          <w:b/>
          <w:spacing w:val="0"/>
          <w:sz w:val="32"/>
          <w:szCs w:val="32"/>
          <w:highlight w:val="none"/>
        </w:rPr>
        <w:t>（三）积极推进预算管理，牢牢把控资金关口</w:t>
      </w:r>
    </w:p>
    <w:p>
      <w:pPr>
        <w:keepNext w:val="0"/>
        <w:keepLines w:val="0"/>
        <w:pageBreakBefore w:val="0"/>
        <w:widowControl w:val="0"/>
        <w:kinsoku/>
        <w:wordWrap/>
        <w:overflowPunct/>
        <w:topLinePunct w:val="0"/>
        <w:autoSpaceDN/>
        <w:bidi w:val="0"/>
        <w:adjustRightInd/>
        <w:snapToGrid/>
        <w:spacing w:line="570" w:lineRule="exact"/>
        <w:ind w:left="0" w:leftChars="0" w:firstLine="643" w:firstLineChars="200"/>
        <w:jc w:val="both"/>
        <w:textAlignment w:val="auto"/>
        <w:rPr>
          <w:rFonts w:hint="eastAsia" w:ascii="Times New Roman" w:hAnsi="Times New Roman" w:eastAsia="方正仿宋_GBK" w:cs="Times New Roman"/>
          <w:b w:val="0"/>
          <w:bCs/>
          <w:spacing w:val="0"/>
          <w:sz w:val="32"/>
          <w:szCs w:val="32"/>
          <w:highlight w:val="none"/>
        </w:rPr>
      </w:pPr>
      <w:r>
        <w:rPr>
          <w:rFonts w:hint="eastAsia" w:ascii="Times New Roman" w:hAnsi="Times New Roman" w:eastAsia="方正仿宋_GBK" w:cs="Times New Roman"/>
          <w:b/>
          <w:bCs w:val="0"/>
          <w:spacing w:val="0"/>
          <w:sz w:val="32"/>
          <w:szCs w:val="32"/>
          <w:highlight w:val="none"/>
        </w:rPr>
        <w:t>一是</w:t>
      </w:r>
      <w:r>
        <w:rPr>
          <w:rFonts w:hint="eastAsia" w:ascii="Times New Roman" w:hAnsi="Times New Roman" w:eastAsia="方正仿宋_GBK" w:cs="Times New Roman"/>
          <w:b w:val="0"/>
          <w:bCs/>
          <w:spacing w:val="0"/>
          <w:sz w:val="32"/>
          <w:szCs w:val="32"/>
          <w:highlight w:val="none"/>
        </w:rPr>
        <w:t>积极推进预算管理一体化</w:t>
      </w:r>
      <w:r>
        <w:rPr>
          <w:rFonts w:hint="eastAsia" w:ascii="Times New Roman" w:hAnsi="Times New Roman" w:eastAsia="方正仿宋_GBK" w:cs="方正仿宋_GBK"/>
          <w:bCs/>
          <w:color w:val="auto"/>
          <w:spacing w:val="0"/>
          <w:kern w:val="0"/>
          <w:sz w:val="32"/>
          <w:szCs w:val="32"/>
          <w:highlight w:val="none"/>
          <w:lang w:val="en-US" w:eastAsia="zh-CN" w:bidi="ar-SA"/>
        </w:rPr>
        <w:t>2.0系统，督促预算单位及时做好会计核算工作，保证单位预算会计账做到日清月结，实时监控各预算单位资金流向。</w:t>
      </w:r>
      <w:r>
        <w:rPr>
          <w:rFonts w:hint="eastAsia" w:ascii="Times New Roman" w:hAnsi="Times New Roman" w:eastAsia="方正仿宋_GBK" w:cs="方正仿宋_GBK"/>
          <w:b/>
          <w:bCs w:val="0"/>
          <w:color w:val="auto"/>
          <w:spacing w:val="0"/>
          <w:kern w:val="0"/>
          <w:sz w:val="32"/>
          <w:szCs w:val="32"/>
          <w:highlight w:val="none"/>
          <w:lang w:val="en-US" w:eastAsia="zh-CN" w:bidi="ar-SA"/>
        </w:rPr>
        <w:t>二是</w:t>
      </w:r>
      <w:r>
        <w:rPr>
          <w:rFonts w:hint="eastAsia" w:ascii="Times New Roman" w:hAnsi="Times New Roman" w:eastAsia="方正仿宋_GBK" w:cs="方正仿宋_GBK"/>
          <w:bCs/>
          <w:color w:val="auto"/>
          <w:spacing w:val="0"/>
          <w:kern w:val="0"/>
          <w:sz w:val="32"/>
          <w:szCs w:val="32"/>
          <w:highlight w:val="none"/>
          <w:lang w:val="en-US" w:eastAsia="zh-CN" w:bidi="ar-SA"/>
        </w:rPr>
        <w:t>认真做好2022年部门预算执行及2023年部门预算编制工作，确保当年工资及运转经费顺利拨付，所有财政资金支出均要经过财经会议研究决定，2022年已召开会议6次，累计过会申请资金51250万元，为英吉沙县各项重点工作顺利推进做好资金保障。同时积极配合做好各预算单位专项、县级资金等各类项目的申报、审核等前期流程，确保各重点支出保障，统筹做好2023年部门预算编制工作。</w:t>
      </w:r>
      <w:r>
        <w:rPr>
          <w:rFonts w:hint="eastAsia" w:ascii="Times New Roman" w:hAnsi="Times New Roman" w:eastAsia="方正仿宋_GBK" w:cs="方正仿宋_GBK"/>
          <w:b/>
          <w:bCs w:val="0"/>
          <w:color w:val="auto"/>
          <w:spacing w:val="0"/>
          <w:kern w:val="0"/>
          <w:sz w:val="32"/>
          <w:szCs w:val="32"/>
          <w:highlight w:val="none"/>
          <w:lang w:val="en-US" w:eastAsia="zh-CN" w:bidi="ar-SA"/>
        </w:rPr>
        <w:t>三是</w:t>
      </w:r>
      <w:r>
        <w:rPr>
          <w:rFonts w:hint="eastAsia" w:ascii="Times New Roman" w:hAnsi="Times New Roman" w:eastAsia="方正仿宋_GBK" w:cs="方正仿宋_GBK"/>
          <w:bCs/>
          <w:color w:val="auto"/>
          <w:spacing w:val="0"/>
          <w:kern w:val="0"/>
          <w:sz w:val="32"/>
          <w:szCs w:val="32"/>
          <w:highlight w:val="none"/>
          <w:lang w:val="en-US" w:eastAsia="zh-CN" w:bidi="ar-SA"/>
        </w:rPr>
        <w:t>积极做好2022年政府预算及部门预算公开，于2022年3月份在政府门户网址公开了政府预算及全县</w:t>
      </w:r>
      <w:r>
        <w:rPr>
          <w:rFonts w:hint="eastAsia" w:ascii="Times New Roman" w:hAnsi="Times New Roman" w:eastAsia="方正仿宋_GBK" w:cs="Times New Roman"/>
          <w:b w:val="0"/>
          <w:bCs/>
          <w:spacing w:val="0"/>
          <w:sz w:val="32"/>
          <w:szCs w:val="32"/>
          <w:highlight w:val="none"/>
        </w:rPr>
        <w:t>127个单位部门预算，以及2021年部门决算公开，增强了财政的透明度，在广大人民群众中取得了很好的呼声，进一步增进了党和政府在人民群众中的凝聚力。</w:t>
      </w:r>
      <w:r>
        <w:rPr>
          <w:rFonts w:hint="eastAsia" w:ascii="Times New Roman" w:hAnsi="Times New Roman" w:eastAsia="方正仿宋_GBK" w:cs="Times New Roman"/>
          <w:b/>
          <w:bCs w:val="0"/>
          <w:spacing w:val="0"/>
          <w:sz w:val="32"/>
          <w:szCs w:val="32"/>
          <w:highlight w:val="none"/>
        </w:rPr>
        <w:t>四是</w:t>
      </w:r>
      <w:r>
        <w:rPr>
          <w:rFonts w:hint="eastAsia" w:ascii="Times New Roman" w:hAnsi="Times New Roman" w:eastAsia="方正仿宋_GBK" w:cs="Times New Roman"/>
          <w:b w:val="0"/>
          <w:bCs/>
          <w:spacing w:val="0"/>
          <w:sz w:val="32"/>
          <w:szCs w:val="32"/>
          <w:highlight w:val="none"/>
        </w:rPr>
        <w:t>根据《喀什地区2023年部门预算编制工作方案》相关要求，按照时间节点开展2023年度128个单位部门预算编制工作，确保预算编制完整、准确、真实。</w:t>
      </w:r>
    </w:p>
    <w:p>
      <w:pPr>
        <w:keepNext w:val="0"/>
        <w:keepLines w:val="0"/>
        <w:pageBreakBefore w:val="0"/>
        <w:widowControl w:val="0"/>
        <w:kinsoku/>
        <w:wordWrap/>
        <w:overflowPunct/>
        <w:topLinePunct w:val="0"/>
        <w:autoSpaceDN/>
        <w:bidi w:val="0"/>
        <w:adjustRightInd/>
        <w:snapToGrid/>
        <w:spacing w:line="570" w:lineRule="exact"/>
        <w:ind w:left="0" w:leftChars="0" w:firstLine="643" w:firstLineChars="200"/>
        <w:textAlignment w:val="auto"/>
        <w:rPr>
          <w:rFonts w:hint="eastAsia" w:ascii="Times New Roman" w:hAnsi="Times New Roman" w:eastAsia="方正楷体_GBK" w:cs="方正楷体_GBK"/>
          <w:spacing w:val="0"/>
          <w:sz w:val="32"/>
          <w:szCs w:val="32"/>
          <w:highlight w:val="none"/>
        </w:rPr>
      </w:pPr>
      <w:r>
        <w:rPr>
          <w:rFonts w:hint="eastAsia" w:ascii="Times New Roman" w:hAnsi="Times New Roman" w:eastAsia="方正楷体_GBK" w:cs="方正楷体_GBK"/>
          <w:b/>
          <w:spacing w:val="0"/>
          <w:sz w:val="32"/>
          <w:szCs w:val="32"/>
          <w:highlight w:val="none"/>
        </w:rPr>
        <w:t>（四）进一步优化资金支出结构，合理调度资金</w:t>
      </w:r>
    </w:p>
    <w:p>
      <w:pPr>
        <w:pStyle w:val="20"/>
        <w:keepNext w:val="0"/>
        <w:keepLines w:val="0"/>
        <w:pageBreakBefore w:val="0"/>
        <w:widowControl w:val="0"/>
        <w:kinsoku/>
        <w:wordWrap/>
        <w:overflowPunct/>
        <w:topLinePunct w:val="0"/>
        <w:autoSpaceDN/>
        <w:bidi w:val="0"/>
        <w:adjustRightInd/>
        <w:snapToGrid/>
        <w:spacing w:line="570" w:lineRule="exact"/>
        <w:ind w:left="0" w:leftChars="0" w:firstLine="643" w:firstLineChars="200"/>
        <w:jc w:val="left"/>
        <w:textAlignment w:val="auto"/>
        <w:rPr>
          <w:rFonts w:hint="eastAsia" w:ascii="Times New Roman" w:hAnsi="Times New Roman" w:eastAsia="方正仿宋_GBK" w:cs="方正仿宋_GBK"/>
          <w:bCs/>
          <w:color w:val="auto"/>
          <w:spacing w:val="0"/>
          <w:kern w:val="0"/>
          <w:sz w:val="32"/>
          <w:szCs w:val="32"/>
          <w:highlight w:val="none"/>
        </w:rPr>
      </w:pPr>
      <w:r>
        <w:rPr>
          <w:rFonts w:hint="eastAsia" w:ascii="Times New Roman" w:hAnsi="Times New Roman" w:eastAsia="方正仿宋_GBK" w:cs="方正仿宋_GBK"/>
          <w:b/>
          <w:bCs w:val="0"/>
          <w:color w:val="auto"/>
          <w:spacing w:val="0"/>
          <w:kern w:val="0"/>
          <w:sz w:val="32"/>
          <w:szCs w:val="32"/>
          <w:highlight w:val="none"/>
          <w:lang w:eastAsia="zh-CN"/>
        </w:rPr>
        <w:t>一是</w:t>
      </w:r>
      <w:r>
        <w:rPr>
          <w:rFonts w:hint="eastAsia" w:ascii="Times New Roman" w:hAnsi="Times New Roman" w:eastAsia="方正仿宋_GBK" w:cs="方正仿宋_GBK"/>
          <w:b w:val="0"/>
          <w:bCs w:val="0"/>
          <w:color w:val="auto"/>
          <w:spacing w:val="0"/>
          <w:kern w:val="0"/>
          <w:sz w:val="32"/>
          <w:szCs w:val="32"/>
          <w:highlight w:val="none"/>
        </w:rPr>
        <w:t>努力做好资金调度工作。</w:t>
      </w:r>
      <w:r>
        <w:rPr>
          <w:rFonts w:hint="eastAsia" w:ascii="Times New Roman" w:hAnsi="Times New Roman" w:eastAsia="方正仿宋_GBK" w:cs="方正仿宋_GBK"/>
          <w:bCs/>
          <w:color w:val="auto"/>
          <w:spacing w:val="0"/>
          <w:kern w:val="0"/>
          <w:sz w:val="32"/>
          <w:szCs w:val="32"/>
          <w:highlight w:val="none"/>
        </w:rPr>
        <w:t>受</w:t>
      </w:r>
      <w:r>
        <w:rPr>
          <w:rFonts w:hint="eastAsia" w:ascii="Times New Roman" w:hAnsi="Times New Roman" w:eastAsia="方正仿宋_GBK" w:cs="方正仿宋_GBK"/>
          <w:snapToGrid w:val="0"/>
          <w:color w:val="auto"/>
          <w:spacing w:val="0"/>
          <w:kern w:val="0"/>
          <w:sz w:val="32"/>
          <w:szCs w:val="32"/>
          <w:highlight w:val="none"/>
        </w:rPr>
        <w:t>减税降费的影响</w:t>
      </w:r>
      <w:r>
        <w:rPr>
          <w:rFonts w:hint="eastAsia" w:ascii="Times New Roman" w:hAnsi="Times New Roman" w:eastAsia="方正仿宋_GBK" w:cs="方正仿宋_GBK"/>
          <w:bCs/>
          <w:color w:val="auto"/>
          <w:spacing w:val="0"/>
          <w:kern w:val="0"/>
          <w:sz w:val="32"/>
          <w:szCs w:val="32"/>
          <w:highlight w:val="none"/>
        </w:rPr>
        <w:t>，我县财政收入增长</w:t>
      </w:r>
      <w:r>
        <w:rPr>
          <w:rFonts w:hint="eastAsia" w:ascii="Times New Roman" w:hAnsi="Times New Roman" w:eastAsia="方正仿宋_GBK" w:cs="方正仿宋_GBK"/>
          <w:bCs/>
          <w:color w:val="auto"/>
          <w:spacing w:val="0"/>
          <w:kern w:val="0"/>
          <w:sz w:val="32"/>
          <w:szCs w:val="32"/>
          <w:highlight w:val="none"/>
          <w:lang w:eastAsia="zh-CN"/>
        </w:rPr>
        <w:t>空间有限</w:t>
      </w:r>
      <w:r>
        <w:rPr>
          <w:rFonts w:hint="eastAsia" w:ascii="Times New Roman" w:hAnsi="Times New Roman" w:eastAsia="方正仿宋_GBK" w:cs="方正仿宋_GBK"/>
          <w:bCs/>
          <w:color w:val="auto"/>
          <w:spacing w:val="0"/>
          <w:kern w:val="0"/>
          <w:sz w:val="32"/>
          <w:szCs w:val="32"/>
          <w:highlight w:val="none"/>
        </w:rPr>
        <w:t>，而财政支出增支因素较多，支出压力大，资金调度异常艰难。在确保全县干部职工工资按时足额发放前提下，合理预测各月收入情况，及时掌握库款变化情况，</w:t>
      </w:r>
      <w:r>
        <w:rPr>
          <w:rFonts w:hint="eastAsia" w:ascii="Times New Roman" w:hAnsi="Times New Roman" w:eastAsia="方正仿宋_GBK" w:cs="方正仿宋_GBK"/>
          <w:bCs/>
          <w:color w:val="auto"/>
          <w:spacing w:val="0"/>
          <w:kern w:val="0"/>
          <w:sz w:val="32"/>
          <w:szCs w:val="32"/>
          <w:highlight w:val="none"/>
          <w:lang w:eastAsia="zh-CN"/>
        </w:rPr>
        <w:t>按照轻重缓急的原则，</w:t>
      </w:r>
      <w:r>
        <w:rPr>
          <w:rFonts w:hint="eastAsia" w:ascii="Times New Roman" w:hAnsi="Times New Roman" w:eastAsia="方正仿宋_GBK" w:cs="方正仿宋_GBK"/>
          <w:bCs/>
          <w:color w:val="auto"/>
          <w:spacing w:val="0"/>
          <w:kern w:val="0"/>
          <w:sz w:val="32"/>
          <w:szCs w:val="32"/>
          <w:highlight w:val="none"/>
        </w:rPr>
        <w:t>努力解决各项重点</w:t>
      </w:r>
      <w:r>
        <w:rPr>
          <w:rFonts w:hint="eastAsia" w:ascii="Times New Roman" w:hAnsi="Times New Roman" w:eastAsia="方正仿宋_GBK" w:cs="方正仿宋_GBK"/>
          <w:bCs/>
          <w:color w:val="auto"/>
          <w:spacing w:val="0"/>
          <w:kern w:val="0"/>
          <w:sz w:val="32"/>
          <w:szCs w:val="32"/>
          <w:highlight w:val="none"/>
          <w:lang w:eastAsia="zh-CN"/>
        </w:rPr>
        <w:t>刚性</w:t>
      </w:r>
      <w:r>
        <w:rPr>
          <w:rFonts w:hint="eastAsia" w:ascii="Times New Roman" w:hAnsi="Times New Roman" w:eastAsia="方正仿宋_GBK" w:cs="方正仿宋_GBK"/>
          <w:bCs/>
          <w:color w:val="auto"/>
          <w:spacing w:val="0"/>
          <w:kern w:val="0"/>
          <w:sz w:val="32"/>
          <w:szCs w:val="32"/>
          <w:highlight w:val="none"/>
        </w:rPr>
        <w:t>支出。</w:t>
      </w:r>
      <w:r>
        <w:rPr>
          <w:rFonts w:hint="eastAsia" w:ascii="Times New Roman" w:hAnsi="Times New Roman" w:eastAsia="方正仿宋_GBK" w:cs="方正仿宋_GBK"/>
          <w:b/>
          <w:bCs w:val="0"/>
          <w:color w:val="auto"/>
          <w:spacing w:val="0"/>
          <w:kern w:val="0"/>
          <w:sz w:val="32"/>
          <w:szCs w:val="32"/>
          <w:highlight w:val="none"/>
          <w:lang w:eastAsia="zh-CN"/>
        </w:rPr>
        <w:t>二是</w:t>
      </w:r>
      <w:r>
        <w:rPr>
          <w:rFonts w:hint="eastAsia" w:ascii="Times New Roman" w:hAnsi="Times New Roman" w:eastAsia="方正仿宋_GBK" w:cs="方正仿宋_GBK"/>
          <w:b w:val="0"/>
          <w:bCs w:val="0"/>
          <w:color w:val="auto"/>
          <w:spacing w:val="0"/>
          <w:kern w:val="0"/>
          <w:sz w:val="32"/>
          <w:szCs w:val="32"/>
          <w:highlight w:val="none"/>
        </w:rPr>
        <w:t>不断强化预算执行工作</w:t>
      </w:r>
      <w:r>
        <w:rPr>
          <w:rFonts w:hint="eastAsia" w:ascii="Times New Roman" w:hAnsi="Times New Roman" w:eastAsia="方正仿宋_GBK" w:cs="方正仿宋_GBK"/>
          <w:b w:val="0"/>
          <w:bCs w:val="0"/>
          <w:color w:val="auto"/>
          <w:spacing w:val="0"/>
          <w:kern w:val="0"/>
          <w:sz w:val="32"/>
          <w:szCs w:val="32"/>
          <w:highlight w:val="none"/>
          <w:lang w:eastAsia="zh-CN"/>
        </w:rPr>
        <w:t>，</w:t>
      </w:r>
      <w:r>
        <w:rPr>
          <w:rFonts w:hint="eastAsia" w:ascii="Times New Roman" w:hAnsi="Times New Roman" w:eastAsia="方正仿宋_GBK" w:cs="方正仿宋_GBK"/>
          <w:bCs/>
          <w:color w:val="auto"/>
          <w:spacing w:val="0"/>
          <w:kern w:val="0"/>
          <w:sz w:val="32"/>
          <w:szCs w:val="32"/>
          <w:highlight w:val="none"/>
        </w:rPr>
        <w:t>在库款资金允许的情况下加快支出进度，确保资金早到位、早见效。</w:t>
      </w:r>
      <w:r>
        <w:rPr>
          <w:rFonts w:hint="eastAsia" w:ascii="Times New Roman" w:hAnsi="Times New Roman" w:eastAsia="方正仿宋_GBK" w:cs="方正仿宋_GBK"/>
          <w:b/>
          <w:bCs w:val="0"/>
          <w:color w:val="auto"/>
          <w:spacing w:val="0"/>
          <w:kern w:val="0"/>
          <w:sz w:val="32"/>
          <w:szCs w:val="32"/>
          <w:highlight w:val="none"/>
        </w:rPr>
        <w:t>三是</w:t>
      </w:r>
      <w:r>
        <w:rPr>
          <w:rFonts w:hint="eastAsia" w:ascii="Times New Roman" w:hAnsi="Times New Roman" w:eastAsia="方正仿宋_GBK" w:cs="方正仿宋_GBK"/>
          <w:bCs/>
          <w:color w:val="auto"/>
          <w:spacing w:val="0"/>
          <w:kern w:val="0"/>
          <w:sz w:val="32"/>
          <w:szCs w:val="32"/>
          <w:highlight w:val="none"/>
        </w:rPr>
        <w:t>加强预算执行分析。坚持拓宽信息来源渠道、改进分析方法、提高分析质量上下功夫，加强与税务、人行等部门的信息交流，同时，对重点问题加强调研分析，把财政收支分析与经济运行态势有机结合起来，准确把握规律和实质。</w:t>
      </w:r>
    </w:p>
    <w:p>
      <w:pPr>
        <w:pStyle w:val="20"/>
        <w:keepNext w:val="0"/>
        <w:keepLines w:val="0"/>
        <w:pageBreakBefore w:val="0"/>
        <w:widowControl w:val="0"/>
        <w:kinsoku/>
        <w:wordWrap/>
        <w:overflowPunct/>
        <w:topLinePunct w:val="0"/>
        <w:autoSpaceDN/>
        <w:bidi w:val="0"/>
        <w:adjustRightInd/>
        <w:snapToGrid/>
        <w:spacing w:line="570" w:lineRule="exact"/>
        <w:ind w:left="0" w:leftChars="0" w:firstLine="643" w:firstLineChars="200"/>
        <w:jc w:val="left"/>
        <w:textAlignment w:val="auto"/>
        <w:rPr>
          <w:rFonts w:ascii="Times New Roman" w:hAnsi="Times New Roman" w:eastAsia="方正仿宋_GBK" w:cs="Times New Roman"/>
          <w:b/>
          <w:spacing w:val="0"/>
          <w:sz w:val="32"/>
          <w:szCs w:val="32"/>
          <w:highlight w:val="none"/>
        </w:rPr>
      </w:pPr>
      <w:r>
        <w:rPr>
          <w:rFonts w:hint="eastAsia" w:ascii="Times New Roman" w:hAnsi="Times New Roman" w:eastAsia="方正楷体_GBK" w:cs="方正楷体_GBK"/>
          <w:b/>
          <w:spacing w:val="0"/>
          <w:sz w:val="32"/>
          <w:szCs w:val="32"/>
          <w:highlight w:val="none"/>
        </w:rPr>
        <w:t>（五）强化资金监管，提高资金使用效率</w:t>
      </w:r>
    </w:p>
    <w:p>
      <w:pPr>
        <w:pStyle w:val="20"/>
        <w:keepNext w:val="0"/>
        <w:keepLines w:val="0"/>
        <w:pageBreakBefore w:val="0"/>
        <w:widowControl w:val="0"/>
        <w:kinsoku/>
        <w:wordWrap/>
        <w:overflowPunct/>
        <w:topLinePunct w:val="0"/>
        <w:autoSpaceDE/>
        <w:autoSpaceDN/>
        <w:bidi w:val="0"/>
        <w:adjustRightInd/>
        <w:snapToGrid/>
        <w:spacing w:line="570" w:lineRule="exact"/>
        <w:ind w:left="0" w:leftChars="0" w:firstLine="643" w:firstLineChars="200"/>
        <w:jc w:val="left"/>
        <w:textAlignment w:val="auto"/>
        <w:rPr>
          <w:rFonts w:hint="eastAsia" w:ascii="Times New Roman" w:hAnsi="Times New Roman" w:eastAsia="方正仿宋_GBK" w:cs="Times New Roman"/>
          <w:b w:val="0"/>
          <w:bCs/>
          <w:spacing w:val="0"/>
          <w:sz w:val="32"/>
          <w:szCs w:val="32"/>
          <w:highlight w:val="none"/>
          <w:lang w:eastAsia="zh-CN"/>
        </w:rPr>
      </w:pPr>
      <w:r>
        <w:rPr>
          <w:rFonts w:hint="eastAsia" w:ascii="Times New Roman" w:hAnsi="Times New Roman" w:eastAsia="方正仿宋_GBK" w:cs="Times New Roman"/>
          <w:b/>
          <w:bCs w:val="0"/>
          <w:spacing w:val="0"/>
          <w:sz w:val="32"/>
          <w:szCs w:val="32"/>
          <w:highlight w:val="none"/>
          <w:lang w:eastAsia="zh-CN"/>
        </w:rPr>
        <w:t>一是</w:t>
      </w:r>
      <w:r>
        <w:rPr>
          <w:rFonts w:hint="eastAsia" w:ascii="Times New Roman" w:hAnsi="Times New Roman" w:eastAsia="方正仿宋_GBK" w:cs="Times New Roman"/>
          <w:b w:val="0"/>
          <w:bCs/>
          <w:spacing w:val="0"/>
          <w:sz w:val="32"/>
          <w:szCs w:val="32"/>
          <w:highlight w:val="none"/>
          <w:lang w:eastAsia="zh-CN"/>
        </w:rPr>
        <w:t>全面实施预算绩效管理工作，聘请第三方机构独立开展绩效评价服务，严格预算绩效审核流程，开展重点领域项目实地检查工作，确保项目按计划推进，夯实项目绩效管理和实施过程监督管理，确保财政资金高效使用。</w:t>
      </w:r>
      <w:r>
        <w:rPr>
          <w:rFonts w:hint="eastAsia" w:ascii="Times New Roman" w:hAnsi="Times New Roman" w:eastAsia="方正仿宋_GBK" w:cs="Times New Roman"/>
          <w:b/>
          <w:bCs w:val="0"/>
          <w:spacing w:val="0"/>
          <w:sz w:val="32"/>
          <w:szCs w:val="32"/>
          <w:highlight w:val="none"/>
          <w:lang w:eastAsia="zh-CN"/>
        </w:rPr>
        <w:t>二是</w:t>
      </w:r>
      <w:r>
        <w:rPr>
          <w:rFonts w:hint="eastAsia" w:ascii="Times New Roman" w:hAnsi="Times New Roman" w:eastAsia="方正仿宋_GBK" w:cs="Times New Roman"/>
          <w:b w:val="0"/>
          <w:bCs/>
          <w:spacing w:val="0"/>
          <w:sz w:val="32"/>
          <w:szCs w:val="32"/>
          <w:highlight w:val="none"/>
          <w:lang w:eastAsia="zh-CN"/>
        </w:rPr>
        <w:t>加强财政监督管理，规范各行政事业单位会计核算和内部控制水平。</w:t>
      </w:r>
      <w:r>
        <w:rPr>
          <w:rFonts w:hint="eastAsia" w:ascii="Times New Roman" w:hAnsi="Times New Roman" w:eastAsia="方正仿宋_GBK" w:cs="Times New Roman"/>
          <w:b/>
          <w:bCs w:val="0"/>
          <w:spacing w:val="0"/>
          <w:sz w:val="32"/>
          <w:szCs w:val="32"/>
          <w:highlight w:val="none"/>
          <w:lang w:eastAsia="zh-CN"/>
        </w:rPr>
        <w:t>三是</w:t>
      </w:r>
      <w:r>
        <w:rPr>
          <w:rFonts w:hint="eastAsia" w:ascii="Times New Roman" w:hAnsi="Times New Roman" w:eastAsia="方正仿宋_GBK" w:cs="Times New Roman"/>
          <w:b w:val="0"/>
          <w:bCs/>
          <w:spacing w:val="0"/>
          <w:sz w:val="32"/>
          <w:szCs w:val="32"/>
          <w:highlight w:val="none"/>
          <w:lang w:eastAsia="zh-CN"/>
        </w:rPr>
        <w:t>加强政府采购监督，受理并处理质疑投诉2件，确保采购过程合法公正。</w:t>
      </w:r>
      <w:r>
        <w:rPr>
          <w:rFonts w:hint="eastAsia" w:ascii="Times New Roman" w:hAnsi="Times New Roman" w:eastAsia="方正仿宋_GBK" w:cs="Times New Roman"/>
          <w:b/>
          <w:bCs w:val="0"/>
          <w:spacing w:val="0"/>
          <w:sz w:val="32"/>
          <w:szCs w:val="32"/>
          <w:highlight w:val="none"/>
          <w:lang w:eastAsia="zh-CN"/>
        </w:rPr>
        <w:t>四是</w:t>
      </w:r>
      <w:r>
        <w:rPr>
          <w:rFonts w:hint="eastAsia" w:ascii="Times New Roman" w:hAnsi="Times New Roman" w:eastAsia="方正仿宋_GBK" w:cs="Times New Roman"/>
          <w:b w:val="0"/>
          <w:bCs/>
          <w:spacing w:val="0"/>
          <w:sz w:val="32"/>
          <w:szCs w:val="32"/>
          <w:highlight w:val="none"/>
          <w:lang w:eastAsia="zh-CN"/>
        </w:rPr>
        <w:t>配合各类审计部门认真做好经济责任、乡村振兴、“煤改电”、财政财务收支等审计工作，确保上报数据真实准确，并对反馈的各项问题扎实整改。</w:t>
      </w:r>
      <w:r>
        <w:rPr>
          <w:rFonts w:hint="eastAsia" w:ascii="Times New Roman" w:hAnsi="Times New Roman" w:eastAsia="方正仿宋_GBK" w:cs="Times New Roman"/>
          <w:b/>
          <w:bCs w:val="0"/>
          <w:spacing w:val="0"/>
          <w:sz w:val="32"/>
          <w:szCs w:val="32"/>
          <w:highlight w:val="none"/>
          <w:lang w:eastAsia="zh-CN"/>
        </w:rPr>
        <w:t>五是</w:t>
      </w:r>
      <w:r>
        <w:rPr>
          <w:rFonts w:hint="eastAsia" w:ascii="Times New Roman" w:hAnsi="Times New Roman" w:eastAsia="方正仿宋_GBK" w:cs="Times New Roman"/>
          <w:b w:val="0"/>
          <w:bCs/>
          <w:spacing w:val="0"/>
          <w:sz w:val="32"/>
          <w:szCs w:val="32"/>
          <w:highlight w:val="none"/>
          <w:lang w:eastAsia="zh-CN"/>
        </w:rPr>
        <w:t>认真开展财经秩序专项整治工作，开展了落实国家减税降费政策、落实政府过“紧日子”、加强基层“三保”保障、规范国库管理、加强资产管理、防范债务风险、防范中介机构变相截留相关涉农资金等七个方面。</w:t>
      </w:r>
    </w:p>
    <w:p>
      <w:pPr>
        <w:pStyle w:val="20"/>
        <w:keepNext w:val="0"/>
        <w:keepLines w:val="0"/>
        <w:pageBreakBefore w:val="0"/>
        <w:widowControl w:val="0"/>
        <w:kinsoku/>
        <w:wordWrap/>
        <w:overflowPunct/>
        <w:topLinePunct w:val="0"/>
        <w:autoSpaceDE/>
        <w:autoSpaceDN/>
        <w:bidi w:val="0"/>
        <w:adjustRightInd/>
        <w:snapToGrid/>
        <w:spacing w:line="570" w:lineRule="exact"/>
        <w:ind w:left="0" w:leftChars="0" w:firstLine="643" w:firstLineChars="200"/>
        <w:jc w:val="left"/>
        <w:textAlignment w:val="auto"/>
        <w:rPr>
          <w:rFonts w:hint="eastAsia" w:ascii="Times New Roman" w:hAnsi="Times New Roman" w:eastAsia="方正楷体_GBK" w:cs="方正楷体_GBK"/>
          <w:b/>
          <w:spacing w:val="0"/>
          <w:sz w:val="32"/>
          <w:szCs w:val="32"/>
          <w:highlight w:val="none"/>
        </w:rPr>
      </w:pPr>
      <w:r>
        <w:rPr>
          <w:rFonts w:hint="eastAsia" w:ascii="Times New Roman" w:hAnsi="Times New Roman" w:eastAsia="方正楷体_GBK" w:cs="方正楷体_GBK"/>
          <w:b/>
          <w:spacing w:val="0"/>
          <w:sz w:val="32"/>
          <w:szCs w:val="32"/>
          <w:highlight w:val="none"/>
        </w:rPr>
        <w:t>（六）地方政府防范化解债务风险情况</w:t>
      </w:r>
    </w:p>
    <w:p>
      <w:pPr>
        <w:keepNext w:val="0"/>
        <w:keepLines w:val="0"/>
        <w:pageBreakBefore w:val="0"/>
        <w:widowControl w:val="0"/>
        <w:kinsoku/>
        <w:wordWrap/>
        <w:overflowPunct/>
        <w:topLinePunct w:val="0"/>
        <w:autoSpaceDN/>
        <w:bidi w:val="0"/>
        <w:adjustRightInd/>
        <w:snapToGrid/>
        <w:spacing w:line="570" w:lineRule="exact"/>
        <w:ind w:left="0" w:leftChars="0" w:firstLine="643" w:firstLineChars="200"/>
        <w:jc w:val="left"/>
        <w:textAlignment w:val="auto"/>
        <w:rPr>
          <w:rFonts w:hint="eastAsia" w:ascii="Times New Roman" w:hAnsi="Times New Roman" w:eastAsia="方正仿宋_GBK" w:cs="Times New Roman"/>
          <w:b w:val="0"/>
          <w:bCs w:val="0"/>
          <w:spacing w:val="0"/>
          <w:sz w:val="32"/>
          <w:szCs w:val="32"/>
          <w:highlight w:val="none"/>
          <w:lang w:eastAsia="zh-CN"/>
        </w:rPr>
      </w:pPr>
      <w:r>
        <w:rPr>
          <w:rFonts w:hint="eastAsia" w:ascii="Times New Roman" w:hAnsi="Times New Roman" w:eastAsia="方正仿宋_GBK" w:cs="Times New Roman"/>
          <w:b/>
          <w:bCs/>
          <w:spacing w:val="0"/>
          <w:sz w:val="32"/>
          <w:szCs w:val="32"/>
          <w:highlight w:val="none"/>
          <w:lang w:eastAsia="zh-CN"/>
        </w:rPr>
        <w:t>一是</w:t>
      </w:r>
      <w:r>
        <w:rPr>
          <w:rFonts w:hint="eastAsia" w:ascii="Times New Roman" w:hAnsi="Times New Roman" w:eastAsia="方正仿宋_GBK" w:cs="Times New Roman"/>
          <w:b w:val="0"/>
          <w:bCs w:val="0"/>
          <w:spacing w:val="0"/>
          <w:sz w:val="32"/>
          <w:szCs w:val="32"/>
          <w:highlight w:val="none"/>
          <w:lang w:eastAsia="zh-CN"/>
        </w:rPr>
        <w:t>严格地方政府债务管理。严禁任何单位和个人以任何形式违法违规举债，坚决做到零举债。</w:t>
      </w:r>
      <w:r>
        <w:rPr>
          <w:rFonts w:hint="eastAsia" w:ascii="Times New Roman" w:hAnsi="Times New Roman" w:eastAsia="方正仿宋_GBK" w:cs="Times New Roman"/>
          <w:b/>
          <w:bCs/>
          <w:spacing w:val="0"/>
          <w:sz w:val="32"/>
          <w:szCs w:val="32"/>
          <w:highlight w:val="none"/>
          <w:lang w:eastAsia="zh-CN"/>
        </w:rPr>
        <w:t>二是</w:t>
      </w:r>
      <w:r>
        <w:rPr>
          <w:rFonts w:hint="eastAsia" w:ascii="Times New Roman" w:hAnsi="Times New Roman" w:eastAsia="方正仿宋_GBK" w:cs="Times New Roman"/>
          <w:b w:val="0"/>
          <w:bCs w:val="0"/>
          <w:spacing w:val="0"/>
          <w:sz w:val="32"/>
          <w:szCs w:val="32"/>
          <w:highlight w:val="none"/>
          <w:lang w:eastAsia="zh-CN"/>
        </w:rPr>
        <w:t>严格化解隐性债务。按照隐性债务化解方案，将年度隐性债务化解任务明确到月、落实到人，</w:t>
      </w:r>
      <w:bookmarkStart w:id="0" w:name="OLE_LINK1"/>
      <w:r>
        <w:rPr>
          <w:rFonts w:hint="eastAsia" w:ascii="Times New Roman" w:hAnsi="Times New Roman" w:eastAsia="方正仿宋_GBK" w:cs="Times New Roman"/>
          <w:b w:val="0"/>
          <w:bCs w:val="0"/>
          <w:spacing w:val="0"/>
          <w:sz w:val="32"/>
          <w:szCs w:val="32"/>
          <w:highlight w:val="none"/>
          <w:lang w:eastAsia="zh-CN"/>
        </w:rPr>
        <w:t>202</w:t>
      </w:r>
      <w:r>
        <w:rPr>
          <w:rFonts w:hint="eastAsia" w:ascii="Times New Roman" w:hAnsi="Times New Roman" w:eastAsia="方正仿宋_GBK" w:cs="Times New Roman"/>
          <w:b w:val="0"/>
          <w:bCs w:val="0"/>
          <w:spacing w:val="0"/>
          <w:sz w:val="32"/>
          <w:szCs w:val="32"/>
          <w:highlight w:val="none"/>
          <w:lang w:val="en-US" w:eastAsia="zh-CN"/>
        </w:rPr>
        <w:t>2</w:t>
      </w:r>
      <w:r>
        <w:rPr>
          <w:rFonts w:hint="eastAsia" w:ascii="Times New Roman" w:hAnsi="Times New Roman" w:eastAsia="方正仿宋_GBK" w:cs="Times New Roman"/>
          <w:b w:val="0"/>
          <w:bCs w:val="0"/>
          <w:spacing w:val="0"/>
          <w:sz w:val="32"/>
          <w:szCs w:val="32"/>
          <w:highlight w:val="none"/>
          <w:lang w:eastAsia="zh-CN"/>
        </w:rPr>
        <w:t>年共计化解11260.84万元。</w:t>
      </w:r>
      <w:bookmarkEnd w:id="0"/>
      <w:r>
        <w:rPr>
          <w:rFonts w:hint="eastAsia" w:ascii="Times New Roman" w:hAnsi="Times New Roman" w:eastAsia="方正仿宋_GBK" w:cs="Times New Roman"/>
          <w:b/>
          <w:bCs/>
          <w:spacing w:val="0"/>
          <w:sz w:val="32"/>
          <w:szCs w:val="32"/>
          <w:highlight w:val="none"/>
          <w:lang w:eastAsia="zh-CN"/>
        </w:rPr>
        <w:t>三是</w:t>
      </w:r>
      <w:r>
        <w:rPr>
          <w:rFonts w:hint="eastAsia" w:ascii="Times New Roman" w:hAnsi="Times New Roman" w:eastAsia="方正仿宋_GBK" w:cs="Times New Roman"/>
          <w:b w:val="0"/>
          <w:bCs w:val="0"/>
          <w:spacing w:val="0"/>
          <w:sz w:val="32"/>
          <w:szCs w:val="32"/>
          <w:highlight w:val="none"/>
          <w:lang w:eastAsia="zh-CN"/>
        </w:rPr>
        <w:t>严格地方政府债券资金管理。对到位债券资金实施动态监控，加快支出进度，尽早发挥债券资金促进投资的作用。</w:t>
      </w:r>
      <w:r>
        <w:rPr>
          <w:rFonts w:hint="eastAsia" w:ascii="Times New Roman" w:hAnsi="Times New Roman" w:eastAsia="方正仿宋_GBK" w:cs="Times New Roman"/>
          <w:b/>
          <w:bCs/>
          <w:spacing w:val="0"/>
          <w:sz w:val="32"/>
          <w:szCs w:val="32"/>
          <w:highlight w:val="none"/>
          <w:lang w:eastAsia="zh-CN"/>
        </w:rPr>
        <w:t>四是</w:t>
      </w:r>
      <w:r>
        <w:rPr>
          <w:rFonts w:hint="eastAsia" w:ascii="Times New Roman" w:hAnsi="Times New Roman" w:eastAsia="方正仿宋_GBK" w:cs="Times New Roman"/>
          <w:b w:val="0"/>
          <w:bCs w:val="0"/>
          <w:spacing w:val="0"/>
          <w:sz w:val="32"/>
          <w:szCs w:val="32"/>
          <w:highlight w:val="none"/>
          <w:lang w:eastAsia="zh-CN"/>
        </w:rPr>
        <w:t>强化地方政府债务风险评估和预警。做到风险早发现、早应对、早处置，确保不出现债务风险。</w:t>
      </w:r>
    </w:p>
    <w:p>
      <w:pPr>
        <w:keepNext w:val="0"/>
        <w:keepLines w:val="0"/>
        <w:pageBreakBefore w:val="0"/>
        <w:widowControl w:val="0"/>
        <w:kinsoku/>
        <w:wordWrap/>
        <w:overflowPunct/>
        <w:topLinePunct w:val="0"/>
        <w:autoSpaceDN/>
        <w:bidi w:val="0"/>
        <w:adjustRightInd/>
        <w:snapToGrid/>
        <w:spacing w:line="570" w:lineRule="exact"/>
        <w:ind w:left="0" w:leftChars="0" w:firstLine="643" w:firstLineChars="200"/>
        <w:jc w:val="left"/>
        <w:textAlignment w:val="auto"/>
        <w:rPr>
          <w:rFonts w:ascii="Times New Roman" w:hAnsi="Times New Roman" w:eastAsia="方正仿宋_GBK" w:cs="方正楷体_GBK"/>
          <w:b/>
          <w:bCs/>
          <w:spacing w:val="0"/>
          <w:sz w:val="32"/>
          <w:szCs w:val="32"/>
          <w:highlight w:val="none"/>
        </w:rPr>
      </w:pPr>
      <w:r>
        <w:rPr>
          <w:rFonts w:hint="eastAsia" w:ascii="Times New Roman" w:hAnsi="Times New Roman" w:eastAsia="方正楷体_GBK" w:cs="方正楷体_GBK"/>
          <w:b/>
          <w:bCs/>
          <w:spacing w:val="0"/>
          <w:sz w:val="32"/>
          <w:szCs w:val="32"/>
          <w:highlight w:val="none"/>
        </w:rPr>
        <w:t>（七）做好乡村振兴衔接资金管理，推动乡村振兴</w:t>
      </w:r>
    </w:p>
    <w:p>
      <w:pPr>
        <w:pStyle w:val="11"/>
        <w:keepNext w:val="0"/>
        <w:keepLines w:val="0"/>
        <w:pageBreakBefore w:val="0"/>
        <w:widowControl w:val="0"/>
        <w:kinsoku/>
        <w:wordWrap/>
        <w:overflowPunct/>
        <w:topLinePunct w:val="0"/>
        <w:autoSpaceDE w:val="0"/>
        <w:autoSpaceDN/>
        <w:bidi w:val="0"/>
        <w:adjustRightInd/>
        <w:snapToGrid/>
        <w:spacing w:before="0" w:beforeAutospacing="0" w:after="0" w:afterAutospacing="0" w:line="570" w:lineRule="exact"/>
        <w:ind w:left="0" w:leftChars="0" w:firstLine="640" w:firstLineChars="200"/>
        <w:jc w:val="both"/>
        <w:textAlignment w:val="auto"/>
        <w:rPr>
          <w:rFonts w:ascii="Times New Roman" w:hAnsi="Times New Roman" w:eastAsia="方正仿宋_GBK" w:cs="Times New Roman"/>
          <w:b w:val="0"/>
          <w:bCs w:val="0"/>
          <w:color w:val="000000"/>
          <w:spacing w:val="0"/>
          <w:kern w:val="0"/>
          <w:sz w:val="32"/>
          <w:szCs w:val="32"/>
          <w:highlight w:val="none"/>
        </w:rPr>
      </w:pPr>
      <w:r>
        <w:rPr>
          <w:rFonts w:hint="eastAsia" w:ascii="Times New Roman" w:hAnsi="Times New Roman" w:eastAsia="方正仿宋_GBK" w:cs="Times New Roman"/>
          <w:b w:val="0"/>
          <w:bCs w:val="0"/>
          <w:spacing w:val="0"/>
          <w:kern w:val="2"/>
          <w:sz w:val="32"/>
          <w:szCs w:val="32"/>
          <w:highlight w:val="none"/>
          <w:lang w:val="en-US" w:eastAsia="zh-CN" w:bidi="ar-SA"/>
        </w:rPr>
        <w:t>今年以来，我县共到位各级各类乡村振兴衔接资金57273万元，各级各类资金主要用于发展特色产业、水利农田基础设施建设、巩固脱贫攻坚成果等方面，资金使用与支持乡村振兴工作的实际成效紧密结合，为巩固脱贫成果，加快推进乡村振</w:t>
      </w:r>
      <w:r>
        <w:rPr>
          <w:rFonts w:hint="eastAsia" w:ascii="Times New Roman" w:hAnsi="Times New Roman" w:eastAsia="方正仿宋_GBK" w:cs="Times New Roman"/>
          <w:b w:val="0"/>
          <w:bCs w:val="0"/>
          <w:color w:val="000000"/>
          <w:spacing w:val="0"/>
          <w:kern w:val="0"/>
          <w:sz w:val="32"/>
          <w:szCs w:val="32"/>
          <w:highlight w:val="none"/>
        </w:rPr>
        <w:t>兴提供了坚实的资金支持和保障。</w:t>
      </w:r>
    </w:p>
    <w:p>
      <w:pPr>
        <w:keepNext w:val="0"/>
        <w:keepLines w:val="0"/>
        <w:pageBreakBefore w:val="0"/>
        <w:widowControl w:val="0"/>
        <w:kinsoku/>
        <w:wordWrap/>
        <w:overflowPunct/>
        <w:topLinePunct w:val="0"/>
        <w:autoSpaceDN/>
        <w:bidi w:val="0"/>
        <w:adjustRightInd/>
        <w:snapToGrid/>
        <w:spacing w:line="570" w:lineRule="exact"/>
        <w:ind w:left="0" w:leftChars="0" w:firstLine="643" w:firstLineChars="200"/>
        <w:textAlignment w:val="auto"/>
        <w:rPr>
          <w:rFonts w:hint="eastAsia" w:ascii="Times New Roman" w:hAnsi="Times New Roman" w:eastAsia="方正楷体_GBK" w:cs="方正楷体_GBK"/>
          <w:b/>
          <w:bCs/>
          <w:spacing w:val="0"/>
          <w:sz w:val="32"/>
          <w:szCs w:val="32"/>
          <w:highlight w:val="none"/>
        </w:rPr>
      </w:pPr>
      <w:r>
        <w:rPr>
          <w:rFonts w:hint="eastAsia" w:ascii="Times New Roman" w:hAnsi="Times New Roman" w:eastAsia="方正楷体_GBK" w:cs="方正楷体_GBK"/>
          <w:b/>
          <w:bCs/>
          <w:spacing w:val="0"/>
          <w:sz w:val="32"/>
          <w:szCs w:val="32"/>
          <w:highlight w:val="none"/>
        </w:rPr>
        <w:t>（</w:t>
      </w:r>
      <w:r>
        <w:rPr>
          <w:rFonts w:hint="eastAsia" w:ascii="Times New Roman" w:hAnsi="Times New Roman" w:eastAsia="方正楷体_GBK" w:cs="方正楷体_GBK"/>
          <w:b/>
          <w:bCs/>
          <w:spacing w:val="0"/>
          <w:sz w:val="32"/>
          <w:szCs w:val="32"/>
          <w:highlight w:val="none"/>
          <w:lang w:eastAsia="zh-CN"/>
        </w:rPr>
        <w:t>八</w:t>
      </w:r>
      <w:r>
        <w:rPr>
          <w:rFonts w:hint="eastAsia" w:ascii="Times New Roman" w:hAnsi="Times New Roman" w:eastAsia="方正楷体_GBK" w:cs="方正楷体_GBK"/>
          <w:b/>
          <w:bCs/>
          <w:spacing w:val="0"/>
          <w:sz w:val="32"/>
          <w:szCs w:val="32"/>
          <w:highlight w:val="none"/>
        </w:rPr>
        <w:t>）加强对国有企业监管工作</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43" w:firstLineChars="200"/>
        <w:textAlignment w:val="auto"/>
        <w:rPr>
          <w:rFonts w:hint="eastAsia" w:ascii="Times New Roman" w:hAnsi="Times New Roman" w:eastAsia="方正仿宋_GBK" w:cs="方正仿宋_GBK"/>
          <w:b w:val="0"/>
          <w:bCs w:val="0"/>
          <w:color w:val="auto"/>
          <w:spacing w:val="0"/>
          <w:kern w:val="2"/>
          <w:sz w:val="32"/>
          <w:szCs w:val="32"/>
          <w:highlight w:val="none"/>
          <w:lang w:val="en-US" w:eastAsia="zh-CN" w:bidi="ar-SA"/>
        </w:rPr>
      </w:pPr>
      <w:r>
        <w:rPr>
          <w:rFonts w:hint="eastAsia" w:ascii="Times New Roman" w:hAnsi="Times New Roman" w:eastAsia="方正仿宋_GBK" w:cs="方正仿宋_GBK"/>
          <w:b/>
          <w:bCs w:val="0"/>
          <w:snapToGrid w:val="0"/>
          <w:color w:val="auto"/>
          <w:spacing w:val="0"/>
          <w:kern w:val="0"/>
          <w:sz w:val="32"/>
          <w:szCs w:val="32"/>
          <w:highlight w:val="none"/>
          <w:shd w:val="clear" w:color="auto" w:fill="auto"/>
          <w:lang w:val="en-US" w:eastAsia="zh-CN" w:bidi="ar"/>
        </w:rPr>
        <w:t>一是</w:t>
      </w:r>
      <w:r>
        <w:rPr>
          <w:rFonts w:hint="eastAsia" w:ascii="Times New Roman" w:hAnsi="Times New Roman" w:eastAsia="方正仿宋_GBK" w:cs="方正仿宋_GBK"/>
          <w:bCs/>
          <w:snapToGrid w:val="0"/>
          <w:color w:val="auto"/>
          <w:spacing w:val="0"/>
          <w:kern w:val="0"/>
          <w:sz w:val="32"/>
          <w:szCs w:val="32"/>
          <w:highlight w:val="none"/>
          <w:shd w:val="clear" w:color="auto" w:fill="auto"/>
          <w:lang w:val="en-US" w:eastAsia="zh-CN" w:bidi="ar"/>
        </w:rPr>
        <w:t>按照《英吉沙县国企改革三年行动方案》要求，做好了英吉沙县国有企业深化改革工作。</w:t>
      </w:r>
      <w:r>
        <w:rPr>
          <w:rFonts w:hint="eastAsia" w:ascii="Times New Roman" w:hAnsi="Times New Roman" w:eastAsia="方正仿宋_GBK" w:cs="方正仿宋_GBK"/>
          <w:color w:val="auto"/>
          <w:spacing w:val="0"/>
          <w:sz w:val="32"/>
          <w:szCs w:val="32"/>
          <w:highlight w:val="none"/>
        </w:rPr>
        <w:t>我县</w:t>
      </w:r>
      <w:r>
        <w:rPr>
          <w:rFonts w:hint="eastAsia" w:ascii="Times New Roman" w:hAnsi="Times New Roman" w:eastAsia="方正仿宋_GBK" w:cs="方正仿宋_GBK"/>
          <w:color w:val="auto"/>
          <w:spacing w:val="0"/>
          <w:sz w:val="32"/>
          <w:szCs w:val="32"/>
          <w:highlight w:val="none"/>
          <w:lang w:val="en-US" w:eastAsia="zh-CN"/>
        </w:rPr>
        <w:t>21家国有企业</w:t>
      </w:r>
      <w:r>
        <w:rPr>
          <w:rFonts w:hint="eastAsia" w:ascii="Times New Roman" w:hAnsi="Times New Roman" w:eastAsia="方正仿宋_GBK" w:cs="方正仿宋_GBK"/>
          <w:color w:val="auto"/>
          <w:spacing w:val="0"/>
          <w:sz w:val="32"/>
          <w:szCs w:val="32"/>
          <w:highlight w:val="none"/>
        </w:rPr>
        <w:t>已建立以公司章程为核心的企业制度体系，</w:t>
      </w:r>
      <w:r>
        <w:rPr>
          <w:rFonts w:hint="eastAsia" w:ascii="Times New Roman" w:hAnsi="Times New Roman" w:eastAsia="方正仿宋_GBK" w:cs="方正仿宋_GBK"/>
          <w:color w:val="auto"/>
          <w:spacing w:val="0"/>
          <w:sz w:val="32"/>
          <w:szCs w:val="32"/>
          <w:highlight w:val="none"/>
          <w:lang w:eastAsia="zh-CN"/>
        </w:rPr>
        <w:t>并制定完善董事会权责清单、监事会权责清单，</w:t>
      </w:r>
      <w:r>
        <w:rPr>
          <w:rFonts w:hint="eastAsia" w:ascii="Times New Roman" w:hAnsi="Times New Roman" w:eastAsia="方正仿宋_GBK" w:cs="方正仿宋_GBK"/>
          <w:color w:val="auto"/>
          <w:spacing w:val="0"/>
          <w:sz w:val="32"/>
          <w:szCs w:val="32"/>
          <w:highlight w:val="none"/>
        </w:rPr>
        <w:t>充分发挥公司章程在企业治理中的基础作用，依照法律法规和公司章程，强化权利责任对等，保障有效履职，完善符合市场经济规律和我国国情的国有企业法人治理结构，进一步提升国有企业运行效率。</w:t>
      </w:r>
      <w:r>
        <w:rPr>
          <w:rFonts w:hint="eastAsia" w:ascii="Times New Roman" w:hAnsi="Times New Roman" w:eastAsia="方正仿宋_GBK" w:cs="方正仿宋_GBK"/>
          <w:b/>
          <w:bCs/>
          <w:color w:val="auto"/>
          <w:spacing w:val="0"/>
          <w:sz w:val="32"/>
          <w:szCs w:val="32"/>
          <w:highlight w:val="none"/>
          <w:lang w:eastAsia="zh-CN"/>
        </w:rPr>
        <w:t>二是</w:t>
      </w:r>
      <w:r>
        <w:rPr>
          <w:rFonts w:hint="eastAsia" w:ascii="Times New Roman" w:hAnsi="Times New Roman" w:eastAsia="方正仿宋_GBK" w:cs="方正仿宋_GBK"/>
          <w:color w:val="auto"/>
          <w:spacing w:val="0"/>
          <w:sz w:val="32"/>
          <w:szCs w:val="32"/>
          <w:highlight w:val="none"/>
        </w:rPr>
        <w:t>因地制宜推进</w:t>
      </w:r>
      <w:r>
        <w:rPr>
          <w:rFonts w:hint="eastAsia" w:ascii="Times New Roman" w:hAnsi="Times New Roman" w:eastAsia="方正仿宋_GBK" w:cs="方正仿宋_GBK"/>
          <w:color w:val="auto"/>
          <w:spacing w:val="0"/>
          <w:sz w:val="32"/>
          <w:szCs w:val="32"/>
          <w:highlight w:val="none"/>
          <w:lang w:eastAsia="zh-CN"/>
        </w:rPr>
        <w:t>混合制</w:t>
      </w:r>
      <w:r>
        <w:rPr>
          <w:rFonts w:hint="eastAsia" w:ascii="Times New Roman" w:hAnsi="Times New Roman" w:eastAsia="方正仿宋_GBK" w:cs="方正仿宋_GBK"/>
          <w:color w:val="auto"/>
          <w:spacing w:val="0"/>
          <w:sz w:val="32"/>
          <w:szCs w:val="32"/>
          <w:highlight w:val="none"/>
        </w:rPr>
        <w:t>企业整合重组，促进资源向优势产业、优势企业聚集</w:t>
      </w:r>
      <w:r>
        <w:rPr>
          <w:rFonts w:hint="eastAsia" w:ascii="Times New Roman" w:hAnsi="Times New Roman" w:eastAsia="方正仿宋_GBK" w:cs="方正仿宋_GBK"/>
          <w:color w:val="auto"/>
          <w:spacing w:val="0"/>
          <w:sz w:val="32"/>
          <w:szCs w:val="32"/>
          <w:highlight w:val="none"/>
          <w:lang w:eastAsia="zh-CN"/>
        </w:rPr>
        <w:t>，</w:t>
      </w:r>
      <w:r>
        <w:rPr>
          <w:rFonts w:hint="eastAsia" w:ascii="Times New Roman" w:hAnsi="Times New Roman" w:eastAsia="方正仿宋_GBK" w:cs="方正仿宋_GBK"/>
          <w:color w:val="auto"/>
          <w:spacing w:val="0"/>
          <w:sz w:val="32"/>
          <w:szCs w:val="32"/>
          <w:highlight w:val="none"/>
        </w:rPr>
        <w:t>先后</w:t>
      </w:r>
      <w:r>
        <w:rPr>
          <w:rFonts w:hint="eastAsia" w:ascii="Times New Roman" w:hAnsi="Times New Roman" w:eastAsia="方正仿宋_GBK" w:cs="方正仿宋_GBK"/>
          <w:color w:val="auto"/>
          <w:spacing w:val="0"/>
          <w:sz w:val="32"/>
          <w:szCs w:val="32"/>
          <w:highlight w:val="none"/>
          <w:lang w:eastAsia="zh-CN"/>
        </w:rPr>
        <w:t>与</w:t>
      </w:r>
      <w:r>
        <w:rPr>
          <w:rFonts w:hint="eastAsia" w:ascii="Times New Roman" w:hAnsi="Times New Roman" w:eastAsia="方正仿宋_GBK" w:cs="方正仿宋_GBK"/>
          <w:color w:val="auto"/>
          <w:spacing w:val="0"/>
          <w:sz w:val="32"/>
          <w:szCs w:val="32"/>
          <w:highlight w:val="none"/>
          <w:lang w:val="en-US" w:eastAsia="zh-CN"/>
        </w:rPr>
        <w:t>3家</w:t>
      </w:r>
      <w:r>
        <w:rPr>
          <w:rFonts w:hint="eastAsia" w:ascii="Times New Roman" w:hAnsi="Times New Roman" w:eastAsia="方正仿宋_GBK" w:cs="方正仿宋_GBK"/>
          <w:color w:val="auto"/>
          <w:spacing w:val="0"/>
          <w:sz w:val="32"/>
          <w:szCs w:val="32"/>
          <w:highlight w:val="none"/>
          <w:lang w:eastAsia="zh-CN"/>
        </w:rPr>
        <w:t>民营企业合作，推进</w:t>
      </w:r>
      <w:r>
        <w:rPr>
          <w:rFonts w:hint="eastAsia" w:ascii="Times New Roman" w:hAnsi="Times New Roman" w:eastAsia="方正仿宋_GBK" w:cs="方正仿宋_GBK"/>
          <w:color w:val="auto"/>
          <w:spacing w:val="0"/>
          <w:sz w:val="32"/>
          <w:szCs w:val="32"/>
          <w:highlight w:val="none"/>
        </w:rPr>
        <w:t>混合所有制企业，确保相关国有企业持续保持活力</w:t>
      </w:r>
      <w:r>
        <w:rPr>
          <w:rFonts w:hint="eastAsia" w:ascii="Times New Roman" w:hAnsi="Times New Roman" w:eastAsia="方正仿宋_GBK" w:cs="方正仿宋_GBK"/>
          <w:color w:val="auto"/>
          <w:spacing w:val="0"/>
          <w:sz w:val="32"/>
          <w:szCs w:val="32"/>
          <w:highlight w:val="none"/>
          <w:lang w:eastAsia="zh-CN"/>
        </w:rPr>
        <w:t>、</w:t>
      </w:r>
      <w:r>
        <w:rPr>
          <w:rFonts w:hint="eastAsia" w:ascii="Times New Roman" w:hAnsi="Times New Roman" w:eastAsia="方正仿宋_GBK" w:cs="方正仿宋_GBK"/>
          <w:color w:val="auto"/>
          <w:spacing w:val="0"/>
          <w:sz w:val="32"/>
          <w:szCs w:val="32"/>
          <w:highlight w:val="none"/>
        </w:rPr>
        <w:t>切实的经济效益和民生保障。</w:t>
      </w:r>
      <w:r>
        <w:rPr>
          <w:rFonts w:hint="eastAsia" w:ascii="Times New Roman" w:hAnsi="Times New Roman" w:eastAsia="方正仿宋_GBK" w:cs="方正仿宋_GBK"/>
          <w:b/>
          <w:bCs/>
          <w:color w:val="auto"/>
          <w:spacing w:val="0"/>
          <w:sz w:val="32"/>
          <w:szCs w:val="32"/>
          <w:highlight w:val="none"/>
          <w:lang w:eastAsia="zh-CN"/>
        </w:rPr>
        <w:t>三是</w:t>
      </w:r>
      <w:r>
        <w:rPr>
          <w:rFonts w:hint="eastAsia" w:ascii="Times New Roman" w:hAnsi="Times New Roman" w:eastAsia="方正仿宋_GBK" w:cs="方正仿宋_GBK"/>
          <w:color w:val="auto"/>
          <w:spacing w:val="0"/>
          <w:sz w:val="32"/>
          <w:szCs w:val="32"/>
          <w:highlight w:val="none"/>
        </w:rPr>
        <w:t>形成以管资本为主的国有资产监管体制</w:t>
      </w:r>
      <w:r>
        <w:rPr>
          <w:rFonts w:hint="eastAsia" w:ascii="Times New Roman" w:hAnsi="Times New Roman" w:eastAsia="方正仿宋_GBK" w:cs="方正仿宋_GBK"/>
          <w:color w:val="auto"/>
          <w:spacing w:val="0"/>
          <w:sz w:val="32"/>
          <w:szCs w:val="32"/>
          <w:highlight w:val="none"/>
          <w:lang w:eastAsia="zh-CN"/>
        </w:rPr>
        <w:t>，</w:t>
      </w:r>
      <w:r>
        <w:rPr>
          <w:rFonts w:hint="eastAsia" w:ascii="Times New Roman" w:hAnsi="Times New Roman" w:eastAsia="方正仿宋_GBK" w:cs="方正仿宋_GBK"/>
          <w:color w:val="auto"/>
          <w:spacing w:val="0"/>
          <w:sz w:val="32"/>
          <w:szCs w:val="32"/>
          <w:highlight w:val="none"/>
        </w:rPr>
        <w:t>完善市场化薪酬分配机制</w:t>
      </w:r>
      <w:r>
        <w:rPr>
          <w:rFonts w:hint="eastAsia" w:ascii="Times New Roman" w:hAnsi="Times New Roman" w:eastAsia="方正仿宋_GBK" w:cs="方正仿宋_GBK"/>
          <w:color w:val="auto"/>
          <w:spacing w:val="0"/>
          <w:sz w:val="32"/>
          <w:szCs w:val="32"/>
          <w:highlight w:val="none"/>
          <w:lang w:eastAsia="zh-CN"/>
        </w:rPr>
        <w:t>，优化管资本的方式，</w:t>
      </w:r>
      <w:r>
        <w:rPr>
          <w:rFonts w:hint="eastAsia" w:ascii="Times New Roman" w:hAnsi="Times New Roman" w:eastAsia="方正仿宋_GBK" w:cs="方正仿宋_GBK"/>
          <w:color w:val="auto"/>
          <w:spacing w:val="0"/>
          <w:sz w:val="32"/>
          <w:szCs w:val="32"/>
          <w:highlight w:val="none"/>
        </w:rPr>
        <w:t>确保各项授权放权接得住、行得稳</w:t>
      </w:r>
      <w:r>
        <w:rPr>
          <w:rFonts w:hint="eastAsia" w:ascii="Times New Roman" w:hAnsi="Times New Roman" w:eastAsia="方正仿宋_GBK" w:cs="方正仿宋_GBK"/>
          <w:color w:val="auto"/>
          <w:spacing w:val="0"/>
          <w:sz w:val="32"/>
          <w:szCs w:val="32"/>
          <w:highlight w:val="none"/>
          <w:lang w:eastAsia="zh-CN"/>
        </w:rPr>
        <w:t>打下了坚实的基础</w:t>
      </w:r>
      <w:r>
        <w:rPr>
          <w:rFonts w:hint="eastAsia" w:ascii="Times New Roman" w:hAnsi="Times New Roman" w:eastAsia="方正仿宋_GBK" w:cs="方正仿宋_GBK"/>
          <w:color w:val="auto"/>
          <w:spacing w:val="0"/>
          <w:sz w:val="32"/>
          <w:szCs w:val="32"/>
          <w:highlight w:val="none"/>
        </w:rPr>
        <w:t>。</w:t>
      </w:r>
      <w:r>
        <w:rPr>
          <w:rFonts w:hint="eastAsia" w:ascii="Times New Roman" w:hAnsi="Times New Roman" w:eastAsia="方正仿宋_GBK" w:cs="方正仿宋_GBK"/>
          <w:b/>
          <w:bCs/>
          <w:color w:val="auto"/>
          <w:spacing w:val="0"/>
          <w:sz w:val="32"/>
          <w:szCs w:val="32"/>
          <w:highlight w:val="none"/>
          <w:lang w:eastAsia="zh-CN"/>
        </w:rPr>
        <w:t>四</w:t>
      </w:r>
      <w:r>
        <w:rPr>
          <w:rFonts w:hint="eastAsia" w:ascii="Times New Roman" w:hAnsi="Times New Roman" w:eastAsia="方正仿宋_GBK" w:cs="方正仿宋_GBK"/>
          <w:b/>
          <w:bCs/>
          <w:snapToGrid w:val="0"/>
          <w:color w:val="auto"/>
          <w:spacing w:val="0"/>
          <w:kern w:val="0"/>
          <w:sz w:val="32"/>
          <w:szCs w:val="32"/>
          <w:highlight w:val="none"/>
          <w:shd w:val="clear" w:color="auto" w:fill="auto"/>
          <w:lang w:val="en-US" w:eastAsia="zh-CN" w:bidi="ar"/>
        </w:rPr>
        <w:t>是</w:t>
      </w:r>
      <w:r>
        <w:rPr>
          <w:rFonts w:hint="eastAsia" w:ascii="Times New Roman" w:hAnsi="Times New Roman" w:eastAsia="方正仿宋_GBK" w:cs="方正仿宋_GBK"/>
          <w:b w:val="0"/>
          <w:bCs w:val="0"/>
          <w:color w:val="auto"/>
          <w:spacing w:val="0"/>
          <w:kern w:val="2"/>
          <w:sz w:val="32"/>
          <w:szCs w:val="32"/>
          <w:highlight w:val="none"/>
          <w:lang w:val="en-US" w:eastAsia="zh-CN" w:bidi="ar-SA"/>
        </w:rPr>
        <w:t>认真落实承租国有房屋的服务业小微企业和个体工商户减免租金政策，部分单位直接减免了3个月租金，已缴纳租金的按照合同签订日期进行延长。</w:t>
      </w:r>
    </w:p>
    <w:p>
      <w:pPr>
        <w:keepNext w:val="0"/>
        <w:keepLines w:val="0"/>
        <w:pageBreakBefore w:val="0"/>
        <w:widowControl w:val="0"/>
        <w:kinsoku/>
        <w:wordWrap/>
        <w:overflowPunct/>
        <w:topLinePunct w:val="0"/>
        <w:autoSpaceDN/>
        <w:bidi w:val="0"/>
        <w:adjustRightInd/>
        <w:snapToGrid/>
        <w:spacing w:line="570" w:lineRule="exact"/>
        <w:ind w:left="0" w:leftChars="0" w:firstLine="643" w:firstLineChars="200"/>
        <w:textAlignment w:val="auto"/>
        <w:rPr>
          <w:rFonts w:ascii="Times New Roman" w:hAnsi="Times New Roman" w:eastAsia="方正仿宋_GBK" w:cs="方正楷体_GBK"/>
          <w:b/>
          <w:bCs/>
          <w:spacing w:val="0"/>
          <w:sz w:val="32"/>
          <w:szCs w:val="32"/>
          <w:highlight w:val="none"/>
        </w:rPr>
      </w:pPr>
      <w:r>
        <w:rPr>
          <w:rFonts w:hint="eastAsia" w:ascii="Times New Roman" w:hAnsi="Times New Roman" w:eastAsia="方正楷体_GBK" w:cs="方正楷体_GBK"/>
          <w:b/>
          <w:bCs/>
          <w:spacing w:val="0"/>
          <w:sz w:val="32"/>
          <w:szCs w:val="32"/>
          <w:highlight w:val="none"/>
        </w:rPr>
        <w:t>（</w:t>
      </w:r>
      <w:r>
        <w:rPr>
          <w:rFonts w:hint="eastAsia" w:ascii="Times New Roman" w:hAnsi="Times New Roman" w:eastAsia="方正楷体_GBK" w:cs="方正楷体_GBK"/>
          <w:b/>
          <w:bCs/>
          <w:spacing w:val="0"/>
          <w:sz w:val="32"/>
          <w:szCs w:val="32"/>
          <w:highlight w:val="none"/>
          <w:lang w:eastAsia="zh-CN"/>
        </w:rPr>
        <w:t>九</w:t>
      </w:r>
      <w:r>
        <w:rPr>
          <w:rFonts w:hint="eastAsia" w:ascii="Times New Roman" w:hAnsi="Times New Roman" w:eastAsia="方正楷体_GBK" w:cs="方正楷体_GBK"/>
          <w:b/>
          <w:bCs/>
          <w:spacing w:val="0"/>
          <w:sz w:val="32"/>
          <w:szCs w:val="32"/>
          <w:highlight w:val="none"/>
        </w:rPr>
        <w:t>）进一步规范财政资金管理，严防财政运行风险</w:t>
      </w:r>
    </w:p>
    <w:p>
      <w:pPr>
        <w:keepNext w:val="0"/>
        <w:keepLines w:val="0"/>
        <w:pageBreakBefore w:val="0"/>
        <w:widowControl w:val="0"/>
        <w:kinsoku/>
        <w:wordWrap/>
        <w:overflowPunct/>
        <w:topLinePunct w:val="0"/>
        <w:autoSpaceDN/>
        <w:bidi w:val="0"/>
        <w:adjustRightInd/>
        <w:snapToGrid/>
        <w:spacing w:line="570" w:lineRule="exact"/>
        <w:ind w:left="0" w:leftChars="0" w:firstLine="643" w:firstLineChars="200"/>
        <w:textAlignment w:val="auto"/>
        <w:rPr>
          <w:rFonts w:hint="eastAsia" w:ascii="Times New Roman" w:hAnsi="Times New Roman" w:eastAsia="方正仿宋_GBK" w:cs="Times New Roman"/>
          <w:spacing w:val="0"/>
          <w:sz w:val="32"/>
          <w:szCs w:val="32"/>
          <w:highlight w:val="none"/>
        </w:rPr>
      </w:pPr>
      <w:r>
        <w:rPr>
          <w:rFonts w:hint="eastAsia" w:ascii="Times New Roman" w:hAnsi="Times New Roman" w:eastAsia="方正仿宋_GBK" w:cs="Times New Roman"/>
          <w:b/>
          <w:bCs/>
          <w:spacing w:val="0"/>
          <w:sz w:val="32"/>
          <w:szCs w:val="32"/>
          <w:highlight w:val="none"/>
        </w:rPr>
        <w:t>一是</w:t>
      </w:r>
      <w:r>
        <w:rPr>
          <w:rFonts w:hint="eastAsia" w:ascii="Times New Roman" w:hAnsi="Times New Roman" w:eastAsia="方正仿宋_GBK" w:cs="Times New Roman"/>
          <w:spacing w:val="0"/>
          <w:sz w:val="32"/>
          <w:szCs w:val="32"/>
          <w:highlight w:val="none"/>
        </w:rPr>
        <w:t>完成我县民贸民品企业贷款贴息、创业担保贷款贴息资金的审核及资金拨付工作。今年拨付创业担保贷款贴息资金5.18万元。</w:t>
      </w:r>
      <w:r>
        <w:rPr>
          <w:rFonts w:hint="eastAsia" w:ascii="Times New Roman" w:hAnsi="Times New Roman" w:eastAsia="方正仿宋_GBK" w:cs="Times New Roman"/>
          <w:b/>
          <w:bCs/>
          <w:spacing w:val="0"/>
          <w:sz w:val="32"/>
          <w:szCs w:val="32"/>
          <w:highlight w:val="none"/>
        </w:rPr>
        <w:t>二是</w:t>
      </w:r>
      <w:r>
        <w:rPr>
          <w:rFonts w:hint="eastAsia" w:ascii="Times New Roman" w:hAnsi="Times New Roman" w:eastAsia="方正仿宋_GBK" w:cs="Times New Roman"/>
          <w:spacing w:val="0"/>
          <w:sz w:val="32"/>
          <w:szCs w:val="32"/>
          <w:highlight w:val="none"/>
        </w:rPr>
        <w:t>协调各保险公司正常开展政策性农业保险工作，包括政策宣传、受损理赔、保单录入、审核等，开展2022年各农业保险经办机构考核工作，拨付财政补贴资金660万元。</w:t>
      </w:r>
      <w:r>
        <w:rPr>
          <w:rFonts w:hint="eastAsia" w:ascii="Times New Roman" w:hAnsi="Times New Roman" w:eastAsia="方正仿宋_GBK" w:cs="Times New Roman"/>
          <w:b/>
          <w:bCs/>
          <w:spacing w:val="0"/>
          <w:sz w:val="32"/>
          <w:szCs w:val="32"/>
          <w:highlight w:val="none"/>
        </w:rPr>
        <w:t>三是</w:t>
      </w:r>
      <w:r>
        <w:rPr>
          <w:rFonts w:hint="eastAsia" w:ascii="Times New Roman" w:hAnsi="Times New Roman" w:eastAsia="方正仿宋_GBK" w:cs="Times New Roman"/>
          <w:spacing w:val="0"/>
          <w:sz w:val="32"/>
          <w:szCs w:val="32"/>
          <w:highlight w:val="none"/>
        </w:rPr>
        <w:t>按季度拨付脱贫人口小额信贷贴息资金，拨付贴息资金115</w:t>
      </w:r>
      <w:r>
        <w:rPr>
          <w:rFonts w:hint="eastAsia" w:ascii="Times New Roman" w:hAnsi="Times New Roman" w:eastAsia="方正仿宋_GBK" w:cs="Times New Roman"/>
          <w:spacing w:val="0"/>
          <w:sz w:val="32"/>
          <w:szCs w:val="32"/>
          <w:highlight w:val="none"/>
          <w:lang w:val="en-US" w:eastAsia="zh-CN"/>
        </w:rPr>
        <w:t>9</w:t>
      </w:r>
      <w:r>
        <w:rPr>
          <w:rFonts w:hint="eastAsia" w:ascii="Times New Roman" w:hAnsi="Times New Roman" w:eastAsia="方正仿宋_GBK" w:cs="Times New Roman"/>
          <w:spacing w:val="0"/>
          <w:sz w:val="32"/>
          <w:szCs w:val="32"/>
          <w:highlight w:val="none"/>
        </w:rPr>
        <w:t>万元。</w:t>
      </w:r>
      <w:r>
        <w:rPr>
          <w:rFonts w:hint="eastAsia" w:ascii="Times New Roman" w:hAnsi="Times New Roman" w:eastAsia="方正仿宋_GBK" w:cs="Times New Roman"/>
          <w:b/>
          <w:bCs/>
          <w:spacing w:val="0"/>
          <w:sz w:val="32"/>
          <w:szCs w:val="32"/>
          <w:highlight w:val="none"/>
        </w:rPr>
        <w:t>四是</w:t>
      </w:r>
      <w:r>
        <w:rPr>
          <w:rFonts w:hint="eastAsia" w:ascii="Times New Roman" w:hAnsi="Times New Roman" w:eastAsia="方正仿宋_GBK" w:cs="Times New Roman"/>
          <w:spacing w:val="0"/>
          <w:sz w:val="32"/>
          <w:szCs w:val="32"/>
          <w:highlight w:val="none"/>
        </w:rPr>
        <w:t>联合县公安局、市监局、教育局等成员单位开展防范和处置非法集资常态化宣传及风险排查工作；督促、协调县公安局、法院、检察院等单位开展新疆百万芭益案件结案及资金兑付工作，目前已追缴资金1</w:t>
      </w:r>
      <w:r>
        <w:rPr>
          <w:rFonts w:hint="eastAsia" w:ascii="Times New Roman" w:hAnsi="Times New Roman" w:eastAsia="方正仿宋_GBK" w:cs="Times New Roman"/>
          <w:spacing w:val="0"/>
          <w:sz w:val="32"/>
          <w:szCs w:val="32"/>
          <w:highlight w:val="none"/>
          <w:lang w:val="en-US" w:eastAsia="zh-CN"/>
        </w:rPr>
        <w:t>1</w:t>
      </w:r>
      <w:r>
        <w:rPr>
          <w:rFonts w:hint="eastAsia" w:ascii="Times New Roman" w:hAnsi="Times New Roman" w:eastAsia="方正仿宋_GBK" w:cs="Times New Roman"/>
          <w:spacing w:val="0"/>
          <w:sz w:val="32"/>
          <w:szCs w:val="32"/>
          <w:highlight w:val="none"/>
        </w:rPr>
        <w:t>万元。</w:t>
      </w:r>
      <w:r>
        <w:rPr>
          <w:rFonts w:hint="eastAsia" w:ascii="Times New Roman" w:hAnsi="Times New Roman" w:eastAsia="方正仿宋_GBK" w:cs="Times New Roman"/>
          <w:b/>
          <w:bCs/>
          <w:spacing w:val="0"/>
          <w:sz w:val="32"/>
          <w:szCs w:val="32"/>
          <w:highlight w:val="none"/>
        </w:rPr>
        <w:t>五是</w:t>
      </w:r>
      <w:r>
        <w:rPr>
          <w:rFonts w:hint="eastAsia" w:ascii="Times New Roman" w:hAnsi="Times New Roman" w:eastAsia="方正仿宋_GBK" w:cs="Times New Roman"/>
          <w:spacing w:val="0"/>
          <w:sz w:val="32"/>
          <w:szCs w:val="32"/>
          <w:highlight w:val="none"/>
        </w:rPr>
        <w:t>成立金融资金支持重大项目建设领导小组，每月更新重大项目建设清单，上报重大项目落实情况报告。</w:t>
      </w:r>
      <w:r>
        <w:rPr>
          <w:rFonts w:hint="eastAsia" w:ascii="Times New Roman" w:hAnsi="Times New Roman" w:eastAsia="方正仿宋_GBK" w:cs="Times New Roman"/>
          <w:b/>
          <w:bCs/>
          <w:spacing w:val="0"/>
          <w:sz w:val="32"/>
          <w:szCs w:val="32"/>
          <w:highlight w:val="none"/>
        </w:rPr>
        <w:t>六是</w:t>
      </w:r>
      <w:r>
        <w:rPr>
          <w:rFonts w:hint="eastAsia" w:ascii="Times New Roman" w:hAnsi="Times New Roman" w:eastAsia="方正仿宋_GBK" w:cs="Times New Roman"/>
          <w:spacing w:val="0"/>
          <w:sz w:val="32"/>
          <w:szCs w:val="32"/>
          <w:highlight w:val="none"/>
        </w:rPr>
        <w:t>开展“7+4”类机构地方金融监管、风险监测等工作。</w:t>
      </w:r>
    </w:p>
    <w:p>
      <w:pPr>
        <w:keepNext w:val="0"/>
        <w:keepLines w:val="0"/>
        <w:pageBreakBefore w:val="0"/>
        <w:widowControl w:val="0"/>
        <w:kinsoku/>
        <w:wordWrap/>
        <w:overflowPunct/>
        <w:topLinePunct w:val="0"/>
        <w:autoSpaceDN/>
        <w:bidi w:val="0"/>
        <w:adjustRightInd/>
        <w:snapToGrid/>
        <w:spacing w:line="570" w:lineRule="exact"/>
        <w:ind w:left="0" w:leftChars="0" w:firstLine="640" w:firstLineChars="200"/>
        <w:textAlignment w:val="auto"/>
        <w:rPr>
          <w:rFonts w:ascii="Times New Roman" w:hAnsi="Times New Roman" w:eastAsia="方正仿宋_GBK" w:cs="Times New Roman"/>
          <w:spacing w:val="0"/>
          <w:sz w:val="32"/>
          <w:szCs w:val="32"/>
          <w:highlight w:val="none"/>
        </w:rPr>
      </w:pPr>
      <w:r>
        <w:rPr>
          <w:rFonts w:hint="eastAsia" w:ascii="Times New Roman" w:hAnsi="Times New Roman" w:eastAsia="方正仿宋_GBK"/>
          <w:spacing w:val="0"/>
          <w:sz w:val="32"/>
          <w:szCs w:val="32"/>
          <w:highlight w:val="none"/>
          <w:lang w:eastAsia="zh-CN"/>
        </w:rPr>
        <w:t>2022年</w:t>
      </w:r>
      <w:r>
        <w:rPr>
          <w:rFonts w:hint="eastAsia" w:ascii="Times New Roman" w:hAnsi="Times New Roman" w:eastAsia="方正仿宋_GBK"/>
          <w:spacing w:val="0"/>
          <w:sz w:val="32"/>
          <w:szCs w:val="32"/>
          <w:highlight w:val="none"/>
        </w:rPr>
        <w:t>在县委的坚强领导下，在县人大的监督和支持下，坚定不移地贯彻落实党中央、自治区党委系列重大决策部署和地委、县委工作安排，始终坚持党对经济工作的领导，始终坚持稳中求进工作总基调，始终坚持围绕社会稳定</w:t>
      </w:r>
      <w:r>
        <w:rPr>
          <w:rFonts w:hint="eastAsia" w:ascii="Times New Roman" w:hAnsi="Times New Roman" w:eastAsia="方正仿宋_GBK"/>
          <w:spacing w:val="0"/>
          <w:sz w:val="32"/>
          <w:szCs w:val="32"/>
          <w:highlight w:val="none"/>
          <w:lang w:eastAsia="zh-CN"/>
        </w:rPr>
        <w:t>和乡村振兴</w:t>
      </w:r>
      <w:r>
        <w:rPr>
          <w:rFonts w:hint="eastAsia" w:ascii="Times New Roman" w:hAnsi="Times New Roman" w:eastAsia="方正仿宋_GBK"/>
          <w:spacing w:val="0"/>
          <w:sz w:val="32"/>
          <w:szCs w:val="32"/>
          <w:highlight w:val="none"/>
        </w:rPr>
        <w:t>重点工作任务，牢固树立“过紧日子”思想，认真履职尽责、坚定信心、保持定力、锐意进取、迎难而上，统筹抓好社会稳定</w:t>
      </w:r>
      <w:r>
        <w:rPr>
          <w:rFonts w:hint="eastAsia" w:ascii="Times New Roman" w:hAnsi="Times New Roman" w:eastAsia="方正仿宋_GBK"/>
          <w:spacing w:val="0"/>
          <w:sz w:val="32"/>
          <w:szCs w:val="32"/>
          <w:highlight w:val="none"/>
          <w:lang w:eastAsia="zh-CN"/>
        </w:rPr>
        <w:t>与乡村振兴</w:t>
      </w:r>
      <w:r>
        <w:rPr>
          <w:rFonts w:hint="eastAsia" w:ascii="Times New Roman" w:hAnsi="Times New Roman" w:eastAsia="方正仿宋_GBK"/>
          <w:spacing w:val="0"/>
          <w:sz w:val="32"/>
          <w:szCs w:val="32"/>
          <w:highlight w:val="none"/>
        </w:rPr>
        <w:t>和经济社会发展工作，为英吉沙社会稳定和长治久安做出新贡献。</w:t>
      </w:r>
      <w:r>
        <w:rPr>
          <w:rFonts w:hint="eastAsia" w:ascii="Times New Roman" w:hAnsi="Times New Roman" w:eastAsia="方正仿宋_GBK" w:cs="Times New Roman"/>
          <w:spacing w:val="0"/>
          <w:sz w:val="32"/>
          <w:szCs w:val="32"/>
          <w:highlight w:val="none"/>
        </w:rPr>
        <w:t xml:space="preserve">  </w:t>
      </w:r>
    </w:p>
    <w:p>
      <w:pPr>
        <w:keepNext w:val="0"/>
        <w:keepLines w:val="0"/>
        <w:pageBreakBefore w:val="0"/>
        <w:widowControl w:val="0"/>
        <w:kinsoku/>
        <w:wordWrap/>
        <w:overflowPunct/>
        <w:topLinePunct w:val="0"/>
        <w:autoSpaceDN/>
        <w:bidi w:val="0"/>
        <w:adjustRightInd/>
        <w:snapToGrid/>
        <w:spacing w:line="570" w:lineRule="exact"/>
        <w:ind w:left="0" w:leftChars="0" w:firstLine="640" w:firstLineChars="200"/>
        <w:textAlignment w:val="auto"/>
        <w:rPr>
          <w:rFonts w:ascii="Times New Roman" w:hAnsi="Times New Roman" w:eastAsia="方正仿宋_GBK" w:cs="Times New Roman"/>
          <w:spacing w:val="0"/>
          <w:sz w:val="32"/>
          <w:szCs w:val="32"/>
          <w:highlight w:val="none"/>
        </w:rPr>
      </w:pPr>
    </w:p>
    <w:p>
      <w:pPr>
        <w:keepNext w:val="0"/>
        <w:keepLines w:val="0"/>
        <w:pageBreakBefore w:val="0"/>
        <w:widowControl w:val="0"/>
        <w:kinsoku/>
        <w:wordWrap/>
        <w:overflowPunct/>
        <w:topLinePunct w:val="0"/>
        <w:autoSpaceDN/>
        <w:bidi w:val="0"/>
        <w:adjustRightInd/>
        <w:snapToGrid/>
        <w:spacing w:line="570" w:lineRule="exact"/>
        <w:ind w:left="0" w:leftChars="0" w:firstLine="640" w:firstLineChars="200"/>
        <w:textAlignment w:val="auto"/>
        <w:rPr>
          <w:rFonts w:ascii="Times New Roman" w:hAnsi="Times New Roman" w:eastAsia="方正仿宋_GBK" w:cs="Times New Roman"/>
          <w:spacing w:val="0"/>
          <w:sz w:val="32"/>
          <w:szCs w:val="32"/>
          <w:highlight w:val="none"/>
        </w:rPr>
      </w:pPr>
    </w:p>
    <w:p>
      <w:pPr>
        <w:keepNext w:val="0"/>
        <w:keepLines w:val="0"/>
        <w:pageBreakBefore w:val="0"/>
        <w:widowControl w:val="0"/>
        <w:kinsoku/>
        <w:wordWrap/>
        <w:overflowPunct/>
        <w:topLinePunct w:val="0"/>
        <w:autoSpaceDE w:val="0"/>
        <w:autoSpaceDN/>
        <w:bidi w:val="0"/>
        <w:adjustRightInd/>
        <w:snapToGrid/>
        <w:spacing w:line="570" w:lineRule="exact"/>
        <w:ind w:left="0" w:leftChars="0" w:firstLine="640" w:firstLineChars="200"/>
        <w:jc w:val="center"/>
        <w:textAlignment w:val="auto"/>
        <w:rPr>
          <w:rFonts w:ascii="Times New Roman" w:hAnsi="Times New Roman" w:eastAsia="方正仿宋_GBK" w:cs="Times New Roman"/>
          <w:spacing w:val="0"/>
          <w:sz w:val="32"/>
          <w:szCs w:val="32"/>
          <w:highlight w:val="none"/>
        </w:rPr>
      </w:pPr>
      <w:r>
        <w:rPr>
          <w:rFonts w:hint="eastAsia" w:ascii="Times New Roman" w:hAnsi="Times New Roman" w:eastAsia="方正仿宋_GBK" w:cs="Times New Roman"/>
          <w:spacing w:val="0"/>
          <w:sz w:val="32"/>
          <w:szCs w:val="32"/>
          <w:highlight w:val="none"/>
          <w:lang w:val="en-US" w:eastAsia="zh-CN"/>
        </w:rPr>
        <w:t xml:space="preserve">  </w:t>
      </w:r>
      <w:r>
        <w:rPr>
          <w:rFonts w:hint="eastAsia" w:ascii="Times New Roman" w:hAnsi="Times New Roman" w:eastAsia="方正仿宋_GBK" w:cs="Times New Roman"/>
          <w:spacing w:val="0"/>
          <w:sz w:val="32"/>
          <w:szCs w:val="32"/>
          <w:highlight w:val="none"/>
        </w:rPr>
        <w:t>英吉沙县财政局</w:t>
      </w:r>
    </w:p>
    <w:p>
      <w:pPr>
        <w:keepNext w:val="0"/>
        <w:keepLines w:val="0"/>
        <w:pageBreakBefore w:val="0"/>
        <w:widowControl w:val="0"/>
        <w:kinsoku/>
        <w:wordWrap/>
        <w:overflowPunct/>
        <w:topLinePunct w:val="0"/>
        <w:autoSpaceDN/>
        <w:bidi w:val="0"/>
        <w:adjustRightInd/>
        <w:snapToGrid/>
        <w:spacing w:line="570" w:lineRule="exact"/>
        <w:ind w:left="0" w:leftChars="0" w:firstLine="3840" w:firstLineChars="1200"/>
        <w:textAlignment w:val="auto"/>
        <w:rPr>
          <w:rFonts w:ascii="Times New Roman" w:hAnsi="Times New Roman" w:eastAsia="方正仿宋_GBK" w:cs="Times New Roman"/>
          <w:spacing w:val="0"/>
          <w:sz w:val="32"/>
          <w:szCs w:val="32"/>
          <w:highlight w:val="none"/>
        </w:rPr>
      </w:pPr>
      <w:r>
        <w:rPr>
          <w:rFonts w:hint="eastAsia" w:ascii="Times New Roman" w:hAnsi="Times New Roman" w:eastAsia="方正仿宋_GBK" w:cs="Times New Roman"/>
          <w:spacing w:val="0"/>
          <w:sz w:val="32"/>
          <w:szCs w:val="32"/>
          <w:highlight w:val="none"/>
        </w:rPr>
        <w:t>202</w:t>
      </w:r>
      <w:r>
        <w:rPr>
          <w:rFonts w:hint="eastAsia" w:ascii="Times New Roman" w:hAnsi="Times New Roman" w:eastAsia="方正仿宋_GBK" w:cs="Times New Roman"/>
          <w:spacing w:val="0"/>
          <w:sz w:val="32"/>
          <w:szCs w:val="32"/>
          <w:highlight w:val="none"/>
          <w:lang w:val="en-US" w:eastAsia="zh-CN"/>
        </w:rPr>
        <w:t>3</w:t>
      </w:r>
      <w:r>
        <w:rPr>
          <w:rFonts w:hint="eastAsia" w:ascii="Times New Roman" w:hAnsi="Times New Roman" w:eastAsia="方正仿宋_GBK" w:cs="Times New Roman"/>
          <w:spacing w:val="0"/>
          <w:sz w:val="32"/>
          <w:szCs w:val="32"/>
          <w:highlight w:val="none"/>
        </w:rPr>
        <w:t>年</w:t>
      </w:r>
      <w:r>
        <w:rPr>
          <w:rFonts w:hint="eastAsia" w:ascii="Times New Roman" w:hAnsi="Times New Roman" w:eastAsia="方正仿宋_GBK" w:cs="Times New Roman"/>
          <w:spacing w:val="0"/>
          <w:sz w:val="32"/>
          <w:szCs w:val="32"/>
          <w:highlight w:val="none"/>
          <w:lang w:val="en-US" w:eastAsia="zh-CN"/>
        </w:rPr>
        <w:t>8</w:t>
      </w:r>
      <w:r>
        <w:rPr>
          <w:rFonts w:hint="eastAsia" w:ascii="Times New Roman" w:hAnsi="Times New Roman" w:eastAsia="方正仿宋_GBK" w:cs="Times New Roman"/>
          <w:spacing w:val="0"/>
          <w:sz w:val="32"/>
          <w:szCs w:val="32"/>
          <w:highlight w:val="none"/>
        </w:rPr>
        <w:t>月</w:t>
      </w:r>
      <w:r>
        <w:rPr>
          <w:rFonts w:hint="eastAsia" w:ascii="Times New Roman" w:hAnsi="Times New Roman" w:eastAsia="方正仿宋_GBK" w:cs="Times New Roman"/>
          <w:spacing w:val="0"/>
          <w:sz w:val="32"/>
          <w:szCs w:val="32"/>
          <w:highlight w:val="none"/>
          <w:lang w:val="en-US" w:eastAsia="zh-CN"/>
        </w:rPr>
        <w:t>28</w:t>
      </w:r>
      <w:r>
        <w:rPr>
          <w:rFonts w:hint="eastAsia" w:ascii="Times New Roman" w:hAnsi="Times New Roman" w:eastAsia="方正仿宋_GBK" w:cs="Times New Roman"/>
          <w:spacing w:val="0"/>
          <w:sz w:val="32"/>
          <w:szCs w:val="32"/>
          <w:highlight w:val="none"/>
        </w:rPr>
        <w:t>日</w:t>
      </w:r>
    </w:p>
    <w:sectPr>
      <w:footerReference r:id="rId3" w:type="default"/>
      <w:pgSz w:w="11906" w:h="16838"/>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31770082"/>
      <w:docPartObj>
        <w:docPartGallery w:val="autotext"/>
      </w:docPartObj>
    </w:sdtPr>
    <w:sdtEndPr>
      <w:rPr>
        <w:rFonts w:asciiTheme="minorEastAsia" w:hAnsiTheme="minorEastAsia"/>
        <w:sz w:val="28"/>
        <w:szCs w:val="28"/>
      </w:rPr>
    </w:sdtEndPr>
    <w:sdtContent>
      <w:p>
        <w:pPr>
          <w:pStyle w:val="8"/>
          <w:jc w:val="center"/>
          <w:rPr>
            <w:rFonts w:asciiTheme="minorEastAsia" w:hAnsiTheme="minorEastAsia"/>
            <w:sz w:val="28"/>
            <w:szCs w:val="28"/>
          </w:rPr>
        </w:pPr>
        <w:r>
          <w:rPr>
            <w:rFonts w:asciiTheme="minorEastAsia" w:hAnsiTheme="minorEastAsia"/>
            <w:sz w:val="28"/>
            <w:szCs w:val="28"/>
          </w:rPr>
          <w:t>-</w:t>
        </w: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7</w:t>
        </w:r>
        <w:r>
          <w:rPr>
            <w:rFonts w:asciiTheme="minorEastAsia" w:hAnsiTheme="minorEastAsia"/>
            <w:sz w:val="28"/>
            <w:szCs w:val="28"/>
          </w:rPr>
          <w:fldChar w:fldCharType="end"/>
        </w:r>
        <w:r>
          <w:rPr>
            <w:rFonts w:asciiTheme="minorEastAsia" w:hAnsiTheme="minorEastAsia"/>
            <w:sz w:val="28"/>
            <w:szCs w:val="28"/>
          </w:rPr>
          <w:t>-</w:t>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9FD"/>
    <w:rsid w:val="0000288A"/>
    <w:rsid w:val="00003D25"/>
    <w:rsid w:val="00013905"/>
    <w:rsid w:val="00030729"/>
    <w:rsid w:val="00040B4A"/>
    <w:rsid w:val="00046DB3"/>
    <w:rsid w:val="00051609"/>
    <w:rsid w:val="00054E05"/>
    <w:rsid w:val="000619DF"/>
    <w:rsid w:val="00073F76"/>
    <w:rsid w:val="00074200"/>
    <w:rsid w:val="0007545E"/>
    <w:rsid w:val="0007738F"/>
    <w:rsid w:val="00083D66"/>
    <w:rsid w:val="000A2576"/>
    <w:rsid w:val="000C2969"/>
    <w:rsid w:val="000C7AAC"/>
    <w:rsid w:val="000D4E46"/>
    <w:rsid w:val="0010421F"/>
    <w:rsid w:val="00106283"/>
    <w:rsid w:val="001115A2"/>
    <w:rsid w:val="001125B7"/>
    <w:rsid w:val="0012130A"/>
    <w:rsid w:val="001323E0"/>
    <w:rsid w:val="00155BFA"/>
    <w:rsid w:val="001646CA"/>
    <w:rsid w:val="00165521"/>
    <w:rsid w:val="001731E0"/>
    <w:rsid w:val="00175F0B"/>
    <w:rsid w:val="0018039D"/>
    <w:rsid w:val="00180E22"/>
    <w:rsid w:val="0018149C"/>
    <w:rsid w:val="00182D99"/>
    <w:rsid w:val="001A5312"/>
    <w:rsid w:val="001A5E08"/>
    <w:rsid w:val="001B1EA0"/>
    <w:rsid w:val="001D2C43"/>
    <w:rsid w:val="001D7DCD"/>
    <w:rsid w:val="001E267E"/>
    <w:rsid w:val="001E673C"/>
    <w:rsid w:val="001E7C55"/>
    <w:rsid w:val="00205EC8"/>
    <w:rsid w:val="00206F60"/>
    <w:rsid w:val="002139FD"/>
    <w:rsid w:val="002177F6"/>
    <w:rsid w:val="00224EAE"/>
    <w:rsid w:val="00230377"/>
    <w:rsid w:val="002307AA"/>
    <w:rsid w:val="00230B86"/>
    <w:rsid w:val="00236DE1"/>
    <w:rsid w:val="00247386"/>
    <w:rsid w:val="00254028"/>
    <w:rsid w:val="002553A3"/>
    <w:rsid w:val="00267DB6"/>
    <w:rsid w:val="00272437"/>
    <w:rsid w:val="00272E19"/>
    <w:rsid w:val="00274450"/>
    <w:rsid w:val="00281A5C"/>
    <w:rsid w:val="0028420A"/>
    <w:rsid w:val="00291D3E"/>
    <w:rsid w:val="002A60BD"/>
    <w:rsid w:val="002B52C6"/>
    <w:rsid w:val="002E387C"/>
    <w:rsid w:val="002E4CF6"/>
    <w:rsid w:val="002F0443"/>
    <w:rsid w:val="003013E9"/>
    <w:rsid w:val="003035DD"/>
    <w:rsid w:val="003275B5"/>
    <w:rsid w:val="00340185"/>
    <w:rsid w:val="0035590B"/>
    <w:rsid w:val="00364DC5"/>
    <w:rsid w:val="00365163"/>
    <w:rsid w:val="00372375"/>
    <w:rsid w:val="00377494"/>
    <w:rsid w:val="003956AE"/>
    <w:rsid w:val="003A2F3B"/>
    <w:rsid w:val="003B474B"/>
    <w:rsid w:val="003B7DD7"/>
    <w:rsid w:val="003D09C6"/>
    <w:rsid w:val="003D33AD"/>
    <w:rsid w:val="003E722F"/>
    <w:rsid w:val="003E73E6"/>
    <w:rsid w:val="003F3306"/>
    <w:rsid w:val="003F3FBE"/>
    <w:rsid w:val="00400DD7"/>
    <w:rsid w:val="004074F2"/>
    <w:rsid w:val="00413347"/>
    <w:rsid w:val="0041608B"/>
    <w:rsid w:val="0042294C"/>
    <w:rsid w:val="0042298F"/>
    <w:rsid w:val="004240FA"/>
    <w:rsid w:val="00426514"/>
    <w:rsid w:val="00455B21"/>
    <w:rsid w:val="00457C3A"/>
    <w:rsid w:val="00460D47"/>
    <w:rsid w:val="004865C2"/>
    <w:rsid w:val="004A413E"/>
    <w:rsid w:val="004A4CA0"/>
    <w:rsid w:val="004A6FE7"/>
    <w:rsid w:val="004B41E2"/>
    <w:rsid w:val="004C0384"/>
    <w:rsid w:val="004C709C"/>
    <w:rsid w:val="004D3AAA"/>
    <w:rsid w:val="004F3EC4"/>
    <w:rsid w:val="00500CB0"/>
    <w:rsid w:val="00512114"/>
    <w:rsid w:val="00522E75"/>
    <w:rsid w:val="00525E30"/>
    <w:rsid w:val="00535653"/>
    <w:rsid w:val="00544651"/>
    <w:rsid w:val="00553DF8"/>
    <w:rsid w:val="00556A68"/>
    <w:rsid w:val="00567AF5"/>
    <w:rsid w:val="00572BED"/>
    <w:rsid w:val="0057587A"/>
    <w:rsid w:val="00576292"/>
    <w:rsid w:val="0057636A"/>
    <w:rsid w:val="005912B9"/>
    <w:rsid w:val="005B073A"/>
    <w:rsid w:val="005B37C5"/>
    <w:rsid w:val="005B41E2"/>
    <w:rsid w:val="005C22F0"/>
    <w:rsid w:val="005C7F35"/>
    <w:rsid w:val="005D2132"/>
    <w:rsid w:val="005D2BE2"/>
    <w:rsid w:val="005D441C"/>
    <w:rsid w:val="005E1476"/>
    <w:rsid w:val="005F3717"/>
    <w:rsid w:val="00602485"/>
    <w:rsid w:val="00607920"/>
    <w:rsid w:val="00617F00"/>
    <w:rsid w:val="00625B91"/>
    <w:rsid w:val="006260B5"/>
    <w:rsid w:val="006428F1"/>
    <w:rsid w:val="0064393B"/>
    <w:rsid w:val="00652055"/>
    <w:rsid w:val="006573F4"/>
    <w:rsid w:val="006574F2"/>
    <w:rsid w:val="00662351"/>
    <w:rsid w:val="0066679E"/>
    <w:rsid w:val="0066742F"/>
    <w:rsid w:val="00673B98"/>
    <w:rsid w:val="0067543A"/>
    <w:rsid w:val="00677207"/>
    <w:rsid w:val="00680DEC"/>
    <w:rsid w:val="00686ECB"/>
    <w:rsid w:val="00695496"/>
    <w:rsid w:val="0069614D"/>
    <w:rsid w:val="006A60C1"/>
    <w:rsid w:val="006B1786"/>
    <w:rsid w:val="006B199A"/>
    <w:rsid w:val="006B45D4"/>
    <w:rsid w:val="006C2DDB"/>
    <w:rsid w:val="006D51DB"/>
    <w:rsid w:val="00710448"/>
    <w:rsid w:val="007261C9"/>
    <w:rsid w:val="00726768"/>
    <w:rsid w:val="00727187"/>
    <w:rsid w:val="00736ED9"/>
    <w:rsid w:val="00741950"/>
    <w:rsid w:val="00743FA0"/>
    <w:rsid w:val="0075002C"/>
    <w:rsid w:val="00754960"/>
    <w:rsid w:val="00756CA9"/>
    <w:rsid w:val="0076167B"/>
    <w:rsid w:val="00772CF1"/>
    <w:rsid w:val="007752A2"/>
    <w:rsid w:val="00784784"/>
    <w:rsid w:val="00795650"/>
    <w:rsid w:val="00797F92"/>
    <w:rsid w:val="007B2AE0"/>
    <w:rsid w:val="007B76C4"/>
    <w:rsid w:val="007D674E"/>
    <w:rsid w:val="007F4C65"/>
    <w:rsid w:val="00806D22"/>
    <w:rsid w:val="008205FB"/>
    <w:rsid w:val="00823DC1"/>
    <w:rsid w:val="008521A7"/>
    <w:rsid w:val="00863847"/>
    <w:rsid w:val="00865C73"/>
    <w:rsid w:val="00876D59"/>
    <w:rsid w:val="00880DCE"/>
    <w:rsid w:val="008820CE"/>
    <w:rsid w:val="0088370E"/>
    <w:rsid w:val="00885449"/>
    <w:rsid w:val="00886293"/>
    <w:rsid w:val="008877C4"/>
    <w:rsid w:val="00887A9A"/>
    <w:rsid w:val="008940EC"/>
    <w:rsid w:val="008A26C6"/>
    <w:rsid w:val="008A31EA"/>
    <w:rsid w:val="008A4B58"/>
    <w:rsid w:val="008B693F"/>
    <w:rsid w:val="008C1615"/>
    <w:rsid w:val="008C7227"/>
    <w:rsid w:val="008C7CC4"/>
    <w:rsid w:val="008D7456"/>
    <w:rsid w:val="008E19AB"/>
    <w:rsid w:val="008F7171"/>
    <w:rsid w:val="00905805"/>
    <w:rsid w:val="00910E38"/>
    <w:rsid w:val="00913BCB"/>
    <w:rsid w:val="009201D6"/>
    <w:rsid w:val="00920CA7"/>
    <w:rsid w:val="00933197"/>
    <w:rsid w:val="00936D0E"/>
    <w:rsid w:val="0093768C"/>
    <w:rsid w:val="009470C9"/>
    <w:rsid w:val="00950294"/>
    <w:rsid w:val="00952E3A"/>
    <w:rsid w:val="00973553"/>
    <w:rsid w:val="009A7FA5"/>
    <w:rsid w:val="009C01C6"/>
    <w:rsid w:val="009D1E6D"/>
    <w:rsid w:val="009E1C94"/>
    <w:rsid w:val="009E4A8F"/>
    <w:rsid w:val="009E7A7C"/>
    <w:rsid w:val="009F3475"/>
    <w:rsid w:val="00A0579C"/>
    <w:rsid w:val="00A313F4"/>
    <w:rsid w:val="00A31835"/>
    <w:rsid w:val="00A422D1"/>
    <w:rsid w:val="00A64C03"/>
    <w:rsid w:val="00A66F36"/>
    <w:rsid w:val="00A9018A"/>
    <w:rsid w:val="00A90379"/>
    <w:rsid w:val="00A96572"/>
    <w:rsid w:val="00AB1BF7"/>
    <w:rsid w:val="00AB44E1"/>
    <w:rsid w:val="00AC02B8"/>
    <w:rsid w:val="00AC2E3A"/>
    <w:rsid w:val="00AD1737"/>
    <w:rsid w:val="00AD48C0"/>
    <w:rsid w:val="00AF475B"/>
    <w:rsid w:val="00AF7AAB"/>
    <w:rsid w:val="00B101D0"/>
    <w:rsid w:val="00B15FD3"/>
    <w:rsid w:val="00B17056"/>
    <w:rsid w:val="00B2037A"/>
    <w:rsid w:val="00B341A0"/>
    <w:rsid w:val="00B43C74"/>
    <w:rsid w:val="00B53DBC"/>
    <w:rsid w:val="00B54ECB"/>
    <w:rsid w:val="00B64B9B"/>
    <w:rsid w:val="00B651F2"/>
    <w:rsid w:val="00B763A6"/>
    <w:rsid w:val="00BA2795"/>
    <w:rsid w:val="00BA6878"/>
    <w:rsid w:val="00BB06F0"/>
    <w:rsid w:val="00BB1F02"/>
    <w:rsid w:val="00BC072A"/>
    <w:rsid w:val="00BC0E2D"/>
    <w:rsid w:val="00BC2180"/>
    <w:rsid w:val="00BC6D32"/>
    <w:rsid w:val="00BC7297"/>
    <w:rsid w:val="00BD1630"/>
    <w:rsid w:val="00BE2BF4"/>
    <w:rsid w:val="00BF1469"/>
    <w:rsid w:val="00BF5BD2"/>
    <w:rsid w:val="00BF5F71"/>
    <w:rsid w:val="00C17EE0"/>
    <w:rsid w:val="00C3124D"/>
    <w:rsid w:val="00C32CD8"/>
    <w:rsid w:val="00C334C5"/>
    <w:rsid w:val="00C36832"/>
    <w:rsid w:val="00C44537"/>
    <w:rsid w:val="00C47AD1"/>
    <w:rsid w:val="00C56163"/>
    <w:rsid w:val="00C61DB5"/>
    <w:rsid w:val="00C74E5E"/>
    <w:rsid w:val="00C7616E"/>
    <w:rsid w:val="00C77EE8"/>
    <w:rsid w:val="00C84DD2"/>
    <w:rsid w:val="00C856FA"/>
    <w:rsid w:val="00CB182D"/>
    <w:rsid w:val="00CB72BE"/>
    <w:rsid w:val="00CE0A9E"/>
    <w:rsid w:val="00D1444E"/>
    <w:rsid w:val="00D1449F"/>
    <w:rsid w:val="00D14DFB"/>
    <w:rsid w:val="00D23181"/>
    <w:rsid w:val="00D24D50"/>
    <w:rsid w:val="00D276B2"/>
    <w:rsid w:val="00D51F28"/>
    <w:rsid w:val="00D60C9F"/>
    <w:rsid w:val="00D611A9"/>
    <w:rsid w:val="00D62876"/>
    <w:rsid w:val="00D74273"/>
    <w:rsid w:val="00D76A84"/>
    <w:rsid w:val="00D86A84"/>
    <w:rsid w:val="00D90DDF"/>
    <w:rsid w:val="00D931B2"/>
    <w:rsid w:val="00DA0CEC"/>
    <w:rsid w:val="00DA5B44"/>
    <w:rsid w:val="00DB0276"/>
    <w:rsid w:val="00DD14F9"/>
    <w:rsid w:val="00DD25A9"/>
    <w:rsid w:val="00DF704A"/>
    <w:rsid w:val="00E22BB4"/>
    <w:rsid w:val="00E25637"/>
    <w:rsid w:val="00E45A6D"/>
    <w:rsid w:val="00E5576E"/>
    <w:rsid w:val="00E55F50"/>
    <w:rsid w:val="00E65B39"/>
    <w:rsid w:val="00E70D79"/>
    <w:rsid w:val="00E714B6"/>
    <w:rsid w:val="00E8362F"/>
    <w:rsid w:val="00E854DF"/>
    <w:rsid w:val="00EA200B"/>
    <w:rsid w:val="00EC10CE"/>
    <w:rsid w:val="00EC253F"/>
    <w:rsid w:val="00ED301A"/>
    <w:rsid w:val="00EE4BE9"/>
    <w:rsid w:val="00EE5B49"/>
    <w:rsid w:val="00F039D4"/>
    <w:rsid w:val="00F0474E"/>
    <w:rsid w:val="00F13D13"/>
    <w:rsid w:val="00F20FE2"/>
    <w:rsid w:val="00F23284"/>
    <w:rsid w:val="00F27290"/>
    <w:rsid w:val="00F37449"/>
    <w:rsid w:val="00F37AE4"/>
    <w:rsid w:val="00F86B76"/>
    <w:rsid w:val="00FA2BE4"/>
    <w:rsid w:val="00FB4A92"/>
    <w:rsid w:val="00FB4DD9"/>
    <w:rsid w:val="00FB6195"/>
    <w:rsid w:val="00FB64AC"/>
    <w:rsid w:val="00FC7BD6"/>
    <w:rsid w:val="00FD1973"/>
    <w:rsid w:val="00FD1E9B"/>
    <w:rsid w:val="00FE3863"/>
    <w:rsid w:val="00FE4B0C"/>
    <w:rsid w:val="00FE64E7"/>
    <w:rsid w:val="00FF026C"/>
    <w:rsid w:val="00FF3288"/>
    <w:rsid w:val="00FF51A3"/>
    <w:rsid w:val="01D83650"/>
    <w:rsid w:val="021B6F6A"/>
    <w:rsid w:val="029E01C0"/>
    <w:rsid w:val="035D4ECA"/>
    <w:rsid w:val="04527EE7"/>
    <w:rsid w:val="04D63C13"/>
    <w:rsid w:val="04EE64D5"/>
    <w:rsid w:val="0520475E"/>
    <w:rsid w:val="06954B66"/>
    <w:rsid w:val="06A70B28"/>
    <w:rsid w:val="0743238F"/>
    <w:rsid w:val="088A1CB4"/>
    <w:rsid w:val="08F70474"/>
    <w:rsid w:val="0948114F"/>
    <w:rsid w:val="09F9384A"/>
    <w:rsid w:val="0B3075A6"/>
    <w:rsid w:val="0B431F7D"/>
    <w:rsid w:val="0BE219CE"/>
    <w:rsid w:val="0C3A6FA9"/>
    <w:rsid w:val="0CCE77B4"/>
    <w:rsid w:val="0D0D139F"/>
    <w:rsid w:val="101243A8"/>
    <w:rsid w:val="10862E3D"/>
    <w:rsid w:val="12B350E6"/>
    <w:rsid w:val="136F18B6"/>
    <w:rsid w:val="14DE1A27"/>
    <w:rsid w:val="157D3482"/>
    <w:rsid w:val="159C0EA6"/>
    <w:rsid w:val="15B45C48"/>
    <w:rsid w:val="16520F2E"/>
    <w:rsid w:val="16C94D49"/>
    <w:rsid w:val="17E76A31"/>
    <w:rsid w:val="1A563676"/>
    <w:rsid w:val="1B7A11A8"/>
    <w:rsid w:val="1C3929A0"/>
    <w:rsid w:val="1C626DBB"/>
    <w:rsid w:val="1D946AA5"/>
    <w:rsid w:val="1DC65233"/>
    <w:rsid w:val="1FA2473E"/>
    <w:rsid w:val="20090C62"/>
    <w:rsid w:val="20C74EBC"/>
    <w:rsid w:val="2272600C"/>
    <w:rsid w:val="23A045D6"/>
    <w:rsid w:val="2425540B"/>
    <w:rsid w:val="26706A69"/>
    <w:rsid w:val="26A1002B"/>
    <w:rsid w:val="28456D59"/>
    <w:rsid w:val="29582850"/>
    <w:rsid w:val="29EB5492"/>
    <w:rsid w:val="2B0B4E9A"/>
    <w:rsid w:val="2B213452"/>
    <w:rsid w:val="2B6B3486"/>
    <w:rsid w:val="2CB60B7D"/>
    <w:rsid w:val="2CF91A10"/>
    <w:rsid w:val="2DB402A4"/>
    <w:rsid w:val="2DD44646"/>
    <w:rsid w:val="2F69190B"/>
    <w:rsid w:val="3001412B"/>
    <w:rsid w:val="33421BDE"/>
    <w:rsid w:val="35240F4A"/>
    <w:rsid w:val="374C7267"/>
    <w:rsid w:val="38860FB5"/>
    <w:rsid w:val="38FC582E"/>
    <w:rsid w:val="3AF60577"/>
    <w:rsid w:val="3B533F59"/>
    <w:rsid w:val="3BAC25FC"/>
    <w:rsid w:val="3C786A2C"/>
    <w:rsid w:val="3DB60C34"/>
    <w:rsid w:val="3E79760B"/>
    <w:rsid w:val="3F0355E7"/>
    <w:rsid w:val="400A3259"/>
    <w:rsid w:val="406A1FE2"/>
    <w:rsid w:val="40CD4A9F"/>
    <w:rsid w:val="41BE12FA"/>
    <w:rsid w:val="43937CE5"/>
    <w:rsid w:val="43FF442F"/>
    <w:rsid w:val="46293CF5"/>
    <w:rsid w:val="46875D6A"/>
    <w:rsid w:val="46CD4EE5"/>
    <w:rsid w:val="46DE3E60"/>
    <w:rsid w:val="47335D6A"/>
    <w:rsid w:val="47FB6645"/>
    <w:rsid w:val="48E91EC4"/>
    <w:rsid w:val="4AA95E6F"/>
    <w:rsid w:val="4B9B7EF6"/>
    <w:rsid w:val="4C3832A3"/>
    <w:rsid w:val="4C485BF1"/>
    <w:rsid w:val="4D094A6C"/>
    <w:rsid w:val="4D3444E4"/>
    <w:rsid w:val="50635252"/>
    <w:rsid w:val="52C61EDF"/>
    <w:rsid w:val="537C1AE2"/>
    <w:rsid w:val="55933CAB"/>
    <w:rsid w:val="5706756F"/>
    <w:rsid w:val="59094E4C"/>
    <w:rsid w:val="5A7E0312"/>
    <w:rsid w:val="5C96011C"/>
    <w:rsid w:val="5CF332E7"/>
    <w:rsid w:val="5CFB2E59"/>
    <w:rsid w:val="5E813394"/>
    <w:rsid w:val="5E89770D"/>
    <w:rsid w:val="5E91293C"/>
    <w:rsid w:val="5FAC310B"/>
    <w:rsid w:val="5FC2325F"/>
    <w:rsid w:val="5FF66CF2"/>
    <w:rsid w:val="602654A3"/>
    <w:rsid w:val="628C1A12"/>
    <w:rsid w:val="64D66BCE"/>
    <w:rsid w:val="66D6219F"/>
    <w:rsid w:val="698A3E39"/>
    <w:rsid w:val="6AEF5076"/>
    <w:rsid w:val="6B2E0D09"/>
    <w:rsid w:val="6B424BDC"/>
    <w:rsid w:val="6B6F0F74"/>
    <w:rsid w:val="6BEC5D29"/>
    <w:rsid w:val="6CF312E1"/>
    <w:rsid w:val="6DF66826"/>
    <w:rsid w:val="6E797F9D"/>
    <w:rsid w:val="6F3A31E6"/>
    <w:rsid w:val="6FDC32CE"/>
    <w:rsid w:val="71303CCB"/>
    <w:rsid w:val="725D1FA4"/>
    <w:rsid w:val="72C7466D"/>
    <w:rsid w:val="734242EE"/>
    <w:rsid w:val="73D21523"/>
    <w:rsid w:val="769456C1"/>
    <w:rsid w:val="77921978"/>
    <w:rsid w:val="77DC485C"/>
    <w:rsid w:val="7B197BC9"/>
    <w:rsid w:val="7D5D5B05"/>
    <w:rsid w:val="7DE114A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1"/>
    <w:link w:val="19"/>
    <w:qFormat/>
    <w:uiPriority w:val="99"/>
    <w:pPr>
      <w:keepNext/>
      <w:keepLines/>
      <w:spacing w:line="600" w:lineRule="exact"/>
      <w:ind w:firstLine="200" w:firstLineChars="200"/>
      <w:outlineLvl w:val="1"/>
    </w:pPr>
    <w:rPr>
      <w:rFonts w:ascii="Cambria" w:hAnsi="Cambria" w:eastAsia="宋体" w:cs="宋体"/>
      <w:b/>
      <w:bCs/>
      <w:sz w:val="32"/>
      <w:szCs w:val="32"/>
    </w:rPr>
  </w:style>
  <w:style w:type="paragraph" w:styleId="2">
    <w:name w:val="heading 3"/>
    <w:basedOn w:val="1"/>
    <w:next w:val="1"/>
    <w:qFormat/>
    <w:uiPriority w:val="0"/>
    <w:pPr>
      <w:keepNext/>
      <w:spacing w:line="720" w:lineRule="auto"/>
      <w:outlineLvl w:val="2"/>
    </w:pPr>
    <w:rPr>
      <w:rFonts w:ascii="Calibri Light" w:hAnsi="Calibri Light" w:cs="黑体"/>
      <w:b/>
      <w:bCs/>
      <w:sz w:val="36"/>
      <w:szCs w:val="36"/>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5"/>
    <w:qFormat/>
    <w:uiPriority w:val="0"/>
    <w:pPr>
      <w:spacing w:after="120"/>
    </w:pPr>
  </w:style>
  <w:style w:type="paragraph" w:styleId="5">
    <w:name w:val="Body Text First Indent"/>
    <w:basedOn w:val="4"/>
    <w:qFormat/>
    <w:uiPriority w:val="0"/>
    <w:pPr>
      <w:ind w:firstLine="420" w:firstLineChars="100"/>
    </w:pPr>
    <w:rPr>
      <w:rFonts w:ascii="Calibri" w:hAnsi="Calibri" w:cs="Times New Roman"/>
    </w:rPr>
  </w:style>
  <w:style w:type="paragraph" w:styleId="6">
    <w:name w:val="Body Text Indent"/>
    <w:basedOn w:val="1"/>
    <w:next w:val="4"/>
    <w:qFormat/>
    <w:uiPriority w:val="0"/>
    <w:pPr>
      <w:ind w:firstLine="540" w:firstLineChars="257"/>
    </w:pPr>
  </w:style>
  <w:style w:type="paragraph" w:styleId="7">
    <w:name w:val="Balloon Text"/>
    <w:basedOn w:val="1"/>
    <w:link w:val="18"/>
    <w:semiHidden/>
    <w:unhideWhenUsed/>
    <w:qFormat/>
    <w:uiPriority w:val="99"/>
    <w:rPr>
      <w:sz w:val="18"/>
      <w:szCs w:val="18"/>
    </w:rPr>
  </w:style>
  <w:style w:type="paragraph" w:styleId="8">
    <w:name w:val="footer"/>
    <w:basedOn w:val="1"/>
    <w:link w:val="17"/>
    <w:unhideWhenUsed/>
    <w:qFormat/>
    <w:uiPriority w:val="99"/>
    <w:pPr>
      <w:tabs>
        <w:tab w:val="center" w:pos="4153"/>
        <w:tab w:val="right" w:pos="8306"/>
      </w:tabs>
      <w:snapToGrid w:val="0"/>
      <w:jc w:val="left"/>
    </w:pPr>
    <w:rPr>
      <w:sz w:val="18"/>
      <w:szCs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1">
    <w:name w:val="Normal (Web)"/>
    <w:basedOn w:val="1"/>
    <w:unhideWhenUsed/>
    <w:qFormat/>
    <w:uiPriority w:val="99"/>
    <w:pPr>
      <w:spacing w:before="100" w:beforeAutospacing="1" w:after="100" w:afterAutospacing="1"/>
      <w:jc w:val="left"/>
    </w:pPr>
    <w:rPr>
      <w:rFonts w:ascii="宋体" w:hAnsi="宋体" w:eastAsia="宋体" w:cs="宋体"/>
      <w:sz w:val="24"/>
      <w:szCs w:val="24"/>
    </w:rPr>
  </w:style>
  <w:style w:type="paragraph" w:styleId="12">
    <w:name w:val="Body Text First Indent 2"/>
    <w:basedOn w:val="6"/>
    <w:next w:val="5"/>
    <w:qFormat/>
    <w:uiPriority w:val="0"/>
    <w:pPr>
      <w:ind w:firstLine="420"/>
    </w:pPr>
  </w:style>
  <w:style w:type="character" w:styleId="15">
    <w:name w:val="Strong"/>
    <w:basedOn w:val="14"/>
    <w:qFormat/>
    <w:uiPriority w:val="22"/>
    <w:rPr>
      <w:b/>
      <w:bCs/>
    </w:rPr>
  </w:style>
  <w:style w:type="character" w:customStyle="1" w:styleId="16">
    <w:name w:val="页眉 Char"/>
    <w:basedOn w:val="14"/>
    <w:link w:val="9"/>
    <w:qFormat/>
    <w:uiPriority w:val="99"/>
    <w:rPr>
      <w:sz w:val="18"/>
      <w:szCs w:val="18"/>
    </w:rPr>
  </w:style>
  <w:style w:type="character" w:customStyle="1" w:styleId="17">
    <w:name w:val="页脚 Char"/>
    <w:basedOn w:val="14"/>
    <w:link w:val="8"/>
    <w:qFormat/>
    <w:uiPriority w:val="99"/>
    <w:rPr>
      <w:sz w:val="18"/>
      <w:szCs w:val="18"/>
    </w:rPr>
  </w:style>
  <w:style w:type="character" w:customStyle="1" w:styleId="18">
    <w:name w:val="批注框文本 Char"/>
    <w:basedOn w:val="14"/>
    <w:link w:val="7"/>
    <w:semiHidden/>
    <w:qFormat/>
    <w:uiPriority w:val="99"/>
    <w:rPr>
      <w:sz w:val="18"/>
      <w:szCs w:val="18"/>
    </w:rPr>
  </w:style>
  <w:style w:type="character" w:customStyle="1" w:styleId="19">
    <w:name w:val="标题 2 Char"/>
    <w:basedOn w:val="14"/>
    <w:link w:val="3"/>
    <w:qFormat/>
    <w:uiPriority w:val="99"/>
    <w:rPr>
      <w:rFonts w:ascii="Cambria" w:hAnsi="Cambria" w:eastAsia="宋体" w:cs="宋体"/>
      <w:b/>
      <w:bCs/>
      <w:sz w:val="32"/>
      <w:szCs w:val="32"/>
    </w:rPr>
  </w:style>
  <w:style w:type="paragraph" w:styleId="2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279EE98-39B9-448B-A9F4-42B8DF1B15FB}">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10</Pages>
  <Words>1264</Words>
  <Characters>7210</Characters>
  <Lines>60</Lines>
  <Paragraphs>16</Paragraphs>
  <TotalTime>8</TotalTime>
  <ScaleCrop>false</ScaleCrop>
  <LinksUpToDate>false</LinksUpToDate>
  <CharactersWithSpaces>8458</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2020-09-15T04:53:00Z</dcterms:created>
  <dc:creator>董志强</dc:creator>
  <cp:lastModifiedBy>Administrator</cp:lastModifiedBy>
  <cp:lastPrinted>2023-08-30T05:08:00Z</cp:lastPrinted>
  <dcterms:modified xsi:type="dcterms:W3CDTF">2023-10-30T02:54:38Z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