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0" w:lineRule="atLeast"/>
        <w:jc w:val="center"/>
        <w:rPr>
          <w:rFonts w:ascii="方正小标宋_GBK" w:hAnsi="Times New Roman" w:eastAsia="方正小标宋_GBK" w:cs="Times New Roman"/>
          <w:b/>
          <w:bCs/>
          <w:color w:val="000000"/>
          <w:kern w:val="0"/>
          <w:sz w:val="40"/>
          <w:szCs w:val="40"/>
        </w:rPr>
      </w:pPr>
      <w:r>
        <w:rPr>
          <w:rFonts w:ascii="Times New Roman" w:hAnsi="Times New Roman" w:eastAsia="Ã¥Â¾Â®Ã¨Â½Â¯Ã©â€ºâ€¦Ã©Â»â€˜" w:cs="Times New Roman"/>
          <w:b/>
          <w:bCs/>
          <w:color w:val="000000"/>
          <w:kern w:val="0"/>
          <w:sz w:val="40"/>
          <w:szCs w:val="40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b/>
          <w:bCs/>
          <w:color w:val="000000"/>
          <w:kern w:val="0"/>
          <w:sz w:val="40"/>
          <w:szCs w:val="40"/>
          <w:lang w:val="en-US" w:eastAsia="zh-CN"/>
        </w:rPr>
        <w:t>2</w:t>
      </w:r>
      <w:r>
        <w:rPr>
          <w:rFonts w:ascii="方正小标宋_GBK" w:hAnsi="Times New Roman" w:eastAsia="方正小标宋_GBK" w:cs="Times New Roman"/>
          <w:b/>
          <w:bCs/>
          <w:color w:val="000000"/>
          <w:kern w:val="0"/>
          <w:sz w:val="40"/>
          <w:szCs w:val="40"/>
        </w:rPr>
        <w:t>年度</w:t>
      </w:r>
      <w:r>
        <w:rPr>
          <w:rFonts w:hint="eastAsia" w:ascii="方正小标宋_GBK" w:hAnsi="Times New Roman" w:eastAsia="方正小标宋_GBK" w:cs="Times New Roman"/>
          <w:b/>
          <w:bCs/>
          <w:color w:val="000000"/>
          <w:kern w:val="0"/>
          <w:sz w:val="40"/>
          <w:szCs w:val="40"/>
          <w:lang w:eastAsia="zh-CN"/>
        </w:rPr>
        <w:t>英吉沙县</w:t>
      </w:r>
      <w:r>
        <w:rPr>
          <w:rFonts w:ascii="方正小标宋_GBK" w:hAnsi="Times New Roman" w:eastAsia="方正小标宋_GBK" w:cs="Times New Roman"/>
          <w:b/>
          <w:bCs/>
          <w:color w:val="000000"/>
          <w:kern w:val="0"/>
          <w:sz w:val="40"/>
          <w:szCs w:val="40"/>
        </w:rPr>
        <w:t>政府性基金决算情况的</w:t>
      </w:r>
    </w:p>
    <w:p>
      <w:pPr>
        <w:widowControl/>
        <w:shd w:val="clear" w:color="auto" w:fill="FFFFFF"/>
        <w:spacing w:line="580" w:lineRule="atLeast"/>
        <w:jc w:val="center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方正小标宋_GBK" w:hAnsi="Times New Roman" w:eastAsia="方正小标宋_GBK" w:cs="Times New Roman"/>
          <w:b/>
          <w:bCs/>
          <w:color w:val="000000"/>
          <w:kern w:val="0"/>
          <w:sz w:val="40"/>
          <w:szCs w:val="40"/>
        </w:rPr>
        <w:t>说</w:t>
      </w:r>
      <w:r>
        <w:rPr>
          <w:rFonts w:hint="eastAsia" w:ascii="方正小标宋_GBK" w:hAnsi="Times New Roman" w:eastAsia="方正小标宋_GBK" w:cs="Times New Roman"/>
          <w:b/>
          <w:bCs/>
          <w:color w:val="000000"/>
          <w:kern w:val="0"/>
          <w:sz w:val="40"/>
          <w:szCs w:val="40"/>
          <w:lang w:val="en-US" w:eastAsia="zh-CN"/>
        </w:rPr>
        <w:t xml:space="preserve">  </w:t>
      </w:r>
      <w:bookmarkStart w:id="0" w:name="_GoBack"/>
      <w:bookmarkEnd w:id="0"/>
      <w:r>
        <w:rPr>
          <w:rFonts w:ascii="方正小标宋_GBK" w:hAnsi="Times New Roman" w:eastAsia="方正小标宋_GBK" w:cs="Times New Roman"/>
          <w:b/>
          <w:bCs/>
          <w:color w:val="000000"/>
          <w:kern w:val="0"/>
          <w:sz w:val="40"/>
          <w:szCs w:val="40"/>
        </w:rPr>
        <w:t>明</w:t>
      </w:r>
    </w:p>
    <w:p>
      <w:pPr>
        <w:widowControl/>
        <w:shd w:val="clear" w:color="auto" w:fill="FFFFFF"/>
        <w:spacing w:line="580" w:lineRule="atLeast"/>
        <w:ind w:firstLine="643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  <w:t> 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按照《中华人民共和国预算法》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相关要求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，现将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度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  <w:lang w:eastAsia="zh-CN"/>
        </w:rPr>
        <w:t>英吉沙县政府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性基金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预算执行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情况说明如下：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年度政府性基金预算收入执行情况</w:t>
      </w:r>
    </w:p>
    <w:p>
      <w:pPr>
        <w:widowControl/>
        <w:shd w:val="clear" w:color="auto" w:fill="FFFFFF"/>
        <w:spacing w:line="570" w:lineRule="atLeast"/>
        <w:ind w:firstLine="624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  <w:lang w:eastAsia="zh-CN"/>
        </w:rPr>
        <w:t>政府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性基金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预算收入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14711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万元，比</w:t>
      </w:r>
      <w:r>
        <w:rPr>
          <w:rFonts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1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年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12036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  <w:lang w:eastAsia="zh-CN"/>
        </w:rPr>
        <w:t>增收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2675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万元，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  <w:lang w:eastAsia="zh-CN"/>
        </w:rPr>
        <w:t>增长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  <w:lang w:val="en-US" w:eastAsia="zh-CN"/>
        </w:rPr>
        <w:t>22.22</w:t>
      </w:r>
      <w:r>
        <w:rPr>
          <w:rFonts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</w:rPr>
        <w:t>%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。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其中：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大中型水库移民后期扶持基金收入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131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  <w:lang w:val="en-US" w:eastAsia="zh-CN"/>
        </w:rPr>
        <w:t>万元、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国有土地使用权出让收入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10400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、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城市基础设施配套费收入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832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、彩票公益金收入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421</w:t>
      </w:r>
      <w:r>
        <w:rPr>
          <w:rFonts w:hint="eastAsia" w:ascii="方正仿宋_GBK" w:hAnsi="Times New Roman" w:eastAsia="方正仿宋_GBK" w:cs="Times New Roman"/>
          <w:color w:val="000000"/>
          <w:spacing w:val="-4"/>
          <w:kern w:val="0"/>
          <w:sz w:val="32"/>
          <w:szCs w:val="32"/>
          <w:lang w:val="en-US" w:eastAsia="zh-CN"/>
        </w:rPr>
        <w:t>万元、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其他地方自行试点项目收益专项债券对应项目专项收入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2927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万元。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年度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  <w:lang w:eastAsia="zh-CN"/>
        </w:rPr>
        <w:t>英吉沙县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政府性基金预算支出执行情况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政府性基金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预算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73002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万元，比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  <w:lang w:val="en-US" w:eastAsia="zh-CN"/>
        </w:rPr>
        <w:t>42955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万元增支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30047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万元，增长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69.95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%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。其中：大中型水库移民后期扶持基金支出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167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、国有土地使用权出让收入安排的支出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385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万元、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其他地方自行试点项目收益专项债券收入安排的支出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69000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彩票公益金安排的支出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523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、债务付息支出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2855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债务发行费用支出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72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万元。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年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度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  <w:lang w:eastAsia="zh-CN"/>
        </w:rPr>
        <w:t>英吉沙县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政府性基金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预算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结余情况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政府性基金预算总收入</w:t>
      </w:r>
      <w:r>
        <w:rPr>
          <w:rFonts w:hint="eastAsia" w:ascii="Times New Roman" w:hAnsi="Times New Roman" w:eastAsia="方正仿宋_GBK" w:cs="Times New Roman"/>
          <w:color w:val="auto"/>
          <w:spacing w:val="0"/>
          <w:kern w:val="2"/>
          <w:sz w:val="32"/>
          <w:szCs w:val="32"/>
          <w:lang w:val="en-US" w:eastAsia="zh-CN" w:bidi="ar"/>
        </w:rPr>
        <w:t>84947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万元（其中：</w:t>
      </w:r>
      <w:r>
        <w:rPr>
          <w:rFonts w:hint="eastAsia" w:ascii="Times New Roman" w:hAnsi="Times New Roman" w:eastAsia="方正仿宋_GBK" w:cs="Times New Roman"/>
          <w:color w:val="auto"/>
          <w:spacing w:val="0"/>
          <w:kern w:val="2"/>
          <w:sz w:val="32"/>
          <w:szCs w:val="32"/>
          <w:lang w:val="en-US" w:eastAsia="zh-CN" w:bidi="ar"/>
        </w:rPr>
        <w:t>政府性基金收入完成14159万元，上级补助收入69552万元，上年结转1236万元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）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，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政府性基金总支出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  <w:lang w:val="en-US" w:eastAsia="zh-CN"/>
        </w:rPr>
        <w:t>83849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万元（其中：政府性基金支出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  <w:lang w:val="en-US" w:eastAsia="zh-CN"/>
        </w:rPr>
        <w:t>73002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政府性基金调出资金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4"/>
          <w:kern w:val="0"/>
          <w:sz w:val="32"/>
          <w:szCs w:val="32"/>
          <w:lang w:val="en-US" w:eastAsia="zh-CN"/>
        </w:rPr>
        <w:t>10847</w:t>
      </w:r>
      <w:r>
        <w:rPr>
          <w:rFonts w:ascii="方正仿宋_GBK" w:hAnsi="Times New Roman" w:eastAsia="方正仿宋_GBK" w:cs="Times New Roman"/>
          <w:color w:val="000000"/>
          <w:spacing w:val="-4"/>
          <w:kern w:val="0"/>
          <w:sz w:val="32"/>
          <w:szCs w:val="32"/>
        </w:rPr>
        <w:t>万元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），</w:t>
      </w:r>
      <w:r>
        <w:rPr>
          <w:rFonts w:ascii="方正仿宋_GBK" w:hAnsi="Times New Roman" w:eastAsia="方正仿宋_GBK" w:cs="Times New Roman"/>
          <w:color w:val="000000"/>
          <w:spacing w:val="-2"/>
          <w:kern w:val="0"/>
          <w:sz w:val="32"/>
          <w:szCs w:val="32"/>
        </w:rPr>
        <w:t>收支相抵后，结余为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spacing w:val="-2"/>
          <w:kern w:val="0"/>
          <w:sz w:val="32"/>
          <w:szCs w:val="32"/>
          <w:lang w:val="en-US" w:eastAsia="zh-CN"/>
        </w:rPr>
        <w:t>1098</w:t>
      </w:r>
      <w:r>
        <w:rPr>
          <w:rFonts w:ascii="方正仿宋_GBK" w:hAnsi="Times New Roman" w:eastAsia="方正仿宋_GBK" w:cs="Times New Roman"/>
          <w:color w:val="000000"/>
          <w:spacing w:val="-2"/>
          <w:kern w:val="0"/>
          <w:sz w:val="32"/>
          <w:szCs w:val="32"/>
        </w:rPr>
        <w:t>万元。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Ã¥Â¾Â®Ã¨Â½Â¯Ã©â€ºâ€¦Ã©Â»â€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FF"/>
    <w:rsid w:val="003138B5"/>
    <w:rsid w:val="00CB6C42"/>
    <w:rsid w:val="00D507FF"/>
    <w:rsid w:val="0AF5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224</Words>
  <Characters>1282</Characters>
  <Lines>10</Lines>
  <Paragraphs>3</Paragraphs>
  <TotalTime>1</TotalTime>
  <ScaleCrop>false</ScaleCrop>
  <LinksUpToDate>false</LinksUpToDate>
  <CharactersWithSpaces>1503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2023-09-05T08:26:00Z</dcterms:created>
  <dc:creator>yjsgk</dc:creator>
  <cp:lastModifiedBy>Administrator</cp:lastModifiedBy>
  <dcterms:modified xsi:type="dcterms:W3CDTF">2023-10-08T04:00:22Z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