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jc w:val="center"/>
        <w:textAlignment w:val="auto"/>
        <w:rPr>
          <w:rFonts w:ascii="黑体" w:hAnsi="黑体" w:eastAsia="黑体" w:cs="Times New Roman"/>
          <w:b w:val="0"/>
          <w:bCs w:val="0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  <w:lang w:eastAsia="zh-CN"/>
        </w:rPr>
        <w:t>喀什地区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英吉沙县供销社</w:t>
      </w:r>
      <w:r>
        <w:rPr>
          <w:rFonts w:ascii="黑体" w:hAnsi="黑体" w:eastAsia="黑体" w:cs="黑体"/>
          <w:b w:val="0"/>
          <w:bCs w:val="0"/>
          <w:sz w:val="44"/>
          <w:szCs w:val="44"/>
        </w:rPr>
        <w:t>2017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年部门预算信息公开说明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361" w:firstLineChars="200"/>
        <w:jc w:val="both"/>
        <w:textAlignment w:val="auto"/>
        <w:rPr>
          <w:rFonts w:ascii="黑体" w:hAnsi="黑体" w:eastAsia="黑体" w:cs="Times New Roman"/>
          <w:b/>
          <w:bCs/>
          <w:sz w:val="18"/>
          <w:szCs w:val="18"/>
        </w:rPr>
      </w:pPr>
    </w:p>
    <w:p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ascii="仿宋" w:hAnsi="仿宋" w:eastAsia="仿宋" w:cs="Times New Roman"/>
          <w:b w:val="0"/>
          <w:bCs w:val="0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为进一步增强政府预算透明度，提升预算管理水平，更好地保障公民的知情权、参与权和监督权，根据喀什地区《关于</w:t>
      </w:r>
      <w:r>
        <w:rPr>
          <w:rFonts w:ascii="仿宋" w:hAnsi="仿宋" w:eastAsia="仿宋" w:cs="仿宋"/>
          <w:b w:val="0"/>
          <w:bCs w:val="0"/>
          <w:color w:val="auto"/>
          <w:sz w:val="32"/>
          <w:szCs w:val="32"/>
        </w:rPr>
        <w:t>2017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年部门预算信息公开工作的通知》（喀地财预﹝</w:t>
      </w:r>
      <w:r>
        <w:rPr>
          <w:rFonts w:ascii="仿宋" w:hAnsi="仿宋" w:eastAsia="仿宋" w:cs="仿宋"/>
          <w:b w:val="0"/>
          <w:bCs w:val="0"/>
          <w:color w:val="auto"/>
          <w:sz w:val="32"/>
          <w:szCs w:val="32"/>
        </w:rPr>
        <w:t>2017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﹞</w:t>
      </w:r>
      <w:r>
        <w:rPr>
          <w:rFonts w:ascii="仿宋" w:hAnsi="仿宋" w:eastAsia="仿宋" w:cs="仿宋"/>
          <w:b w:val="0"/>
          <w:bCs w:val="0"/>
          <w:color w:val="auto"/>
          <w:sz w:val="32"/>
          <w:szCs w:val="32"/>
        </w:rPr>
        <w:t>40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号）的要求，现将喀什地区英吉沙县供销社</w:t>
      </w:r>
      <w:r>
        <w:rPr>
          <w:rFonts w:ascii="仿宋" w:hAnsi="仿宋" w:eastAsia="仿宋" w:cs="仿宋"/>
          <w:b w:val="0"/>
          <w:bCs w:val="0"/>
          <w:color w:val="auto"/>
          <w:sz w:val="32"/>
          <w:szCs w:val="32"/>
        </w:rPr>
        <w:t>2017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年部门预算及“三公经费”信息公开如下：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0" w:firstLineChars="200"/>
        <w:jc w:val="both"/>
        <w:textAlignment w:val="auto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一、部门基本情况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3" w:firstLineChars="200"/>
        <w:jc w:val="both"/>
        <w:textAlignment w:val="auto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（一）部门职能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0" w:firstLineChars="20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、宣传贯彻党中央、国务院和自治区党委、政府以及地委、行署和县委、政府有关农村经济工作和社会发展的方针政策，研究制定全县供销合作社的发展规划，指导全县供销合作社的改革与发展。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0" w:firstLineChars="20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、指导全县供销合作社系统发展农村合作经济组织，参与、推动农业产业化经营和农业社会化服务体系建设；指导协调本系统有关行业协会工作。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0" w:firstLineChars="20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、指导全县供销合作社系统参与农村市场和商品流通网络建设，推进农村流通现代化，开拓城乡市场，促进城乡经济交流与发展。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0" w:firstLineChars="20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、按照政府授权对农业生产资料等重要商品经营进行组织、协调和管理；按规定负责烟花爆竹等特殊商品的统一归口经营管理工作。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0" w:firstLineChars="20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、向政府和有关部门反映农民社员及供销合作社意见和要求，争取政策扶持，维护供销合作社和农民社员的合法权益。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0" w:firstLineChars="20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、指导全县供销合作社的组织建设，促进基层供销合作社加强民主管理，密切同农民的联系，协调成员社之间的关系，发挥群体联合优势。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0" w:firstLineChars="20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、管理、监督和运营本级社社有资产，确保社有资产的保值增值。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3" w:firstLineChars="200"/>
        <w:jc w:val="both"/>
        <w:textAlignment w:val="auto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（二）机构设置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0" w:firstLineChars="20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根据职责，纳入</w:t>
      </w:r>
      <w:r>
        <w:rPr>
          <w:rFonts w:ascii="仿宋" w:hAnsi="仿宋" w:eastAsia="仿宋" w:cs="仿宋"/>
          <w:sz w:val="32"/>
          <w:szCs w:val="32"/>
        </w:rPr>
        <w:t>2017</w:t>
      </w:r>
      <w:r>
        <w:rPr>
          <w:rFonts w:hint="eastAsia" w:ascii="仿宋" w:hAnsi="仿宋" w:eastAsia="仿宋" w:cs="仿宋"/>
          <w:sz w:val="32"/>
          <w:szCs w:val="32"/>
        </w:rPr>
        <w:t>年部门预算编制范围的有英吉沙县实供销社。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3" w:firstLineChars="200"/>
        <w:jc w:val="both"/>
        <w:textAlignment w:val="auto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（三）人员编制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0" w:firstLineChars="20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编制人数</w:t>
      </w:r>
      <w:r>
        <w:rPr>
          <w:rFonts w:ascii="仿宋" w:hAnsi="仿宋" w:eastAsia="仿宋" w:cs="仿宋"/>
          <w:sz w:val="32"/>
          <w:szCs w:val="32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人，其中：行政人员编制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人，参照公务员管理的事业单位人员编制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人，全额拨款事业单位人员编制</w:t>
      </w:r>
      <w:r>
        <w:rPr>
          <w:rFonts w:ascii="仿宋" w:hAnsi="仿宋" w:eastAsia="仿宋" w:cs="仿宋"/>
          <w:sz w:val="32"/>
          <w:szCs w:val="32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人。实有在职人数</w:t>
      </w:r>
      <w:r>
        <w:rPr>
          <w:rFonts w:ascii="仿宋" w:hAnsi="仿宋" w:eastAsia="仿宋" w:cs="仿宋"/>
          <w:sz w:val="32"/>
          <w:szCs w:val="32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人，其中：行政在职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人，参照公务员管理的事业单位人员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人，事业在职</w:t>
      </w:r>
      <w:r>
        <w:rPr>
          <w:rFonts w:ascii="仿宋" w:hAnsi="仿宋" w:eastAsia="仿宋" w:cs="仿宋"/>
          <w:sz w:val="32"/>
          <w:szCs w:val="32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人，工勤在职人数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人。离退休人员</w:t>
      </w:r>
      <w:r>
        <w:rPr>
          <w:rFonts w:ascii="仿宋" w:hAnsi="仿宋" w:eastAsia="仿宋" w:cs="仿宋"/>
          <w:sz w:val="32"/>
          <w:szCs w:val="32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人，其中：离休人员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人，退休人员</w:t>
      </w:r>
      <w:r>
        <w:rPr>
          <w:rFonts w:ascii="仿宋" w:hAnsi="仿宋" w:eastAsia="仿宋" w:cs="仿宋"/>
          <w:sz w:val="32"/>
          <w:szCs w:val="32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人。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3" w:firstLineChars="200"/>
        <w:jc w:val="both"/>
        <w:textAlignment w:val="auto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（四）资产情况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0" w:firstLineChars="20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2017</w:t>
      </w:r>
      <w:r>
        <w:rPr>
          <w:rFonts w:hint="eastAsia" w:ascii="仿宋" w:hAnsi="仿宋" w:eastAsia="仿宋" w:cs="仿宋"/>
          <w:sz w:val="32"/>
          <w:szCs w:val="32"/>
        </w:rPr>
        <w:t>年单位占有使用国有资产</w:t>
      </w:r>
      <w:r>
        <w:rPr>
          <w:rFonts w:ascii="仿宋" w:hAnsi="仿宋" w:eastAsia="仿宋" w:cs="仿宋"/>
          <w:sz w:val="32"/>
          <w:szCs w:val="32"/>
        </w:rPr>
        <w:t>62.89</w:t>
      </w:r>
      <w:r>
        <w:rPr>
          <w:rFonts w:hint="eastAsia" w:ascii="仿宋" w:hAnsi="仿宋" w:eastAsia="仿宋" w:cs="仿宋"/>
          <w:sz w:val="32"/>
          <w:szCs w:val="32"/>
        </w:rPr>
        <w:t>万元，其中：流动资产</w:t>
      </w:r>
      <w:r>
        <w:rPr>
          <w:rFonts w:ascii="仿宋" w:hAnsi="仿宋" w:eastAsia="仿宋" w:cs="仿宋"/>
          <w:sz w:val="32"/>
          <w:szCs w:val="32"/>
        </w:rPr>
        <w:t>4.34</w:t>
      </w:r>
      <w:r>
        <w:rPr>
          <w:rFonts w:hint="eastAsia" w:ascii="仿宋" w:hAnsi="仿宋" w:eastAsia="仿宋" w:cs="仿宋"/>
          <w:sz w:val="32"/>
          <w:szCs w:val="32"/>
        </w:rPr>
        <w:t>万元，固定资产</w:t>
      </w:r>
      <w:r>
        <w:rPr>
          <w:rFonts w:ascii="仿宋" w:hAnsi="仿宋" w:eastAsia="仿宋" w:cs="仿宋"/>
          <w:sz w:val="32"/>
          <w:szCs w:val="32"/>
        </w:rPr>
        <w:t>58.55</w:t>
      </w:r>
      <w:r>
        <w:rPr>
          <w:rFonts w:hint="eastAsia" w:ascii="仿宋" w:hAnsi="仿宋" w:eastAsia="仿宋" w:cs="仿宋"/>
          <w:sz w:val="32"/>
          <w:szCs w:val="32"/>
        </w:rPr>
        <w:t>万元，长期投资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万元，在建工程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万元，无形资产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万元，其他资产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万元。拥有房屋</w:t>
      </w:r>
      <w:r>
        <w:rPr>
          <w:rFonts w:ascii="仿宋" w:hAnsi="仿宋" w:eastAsia="仿宋" w:cs="仿宋"/>
          <w:sz w:val="32"/>
          <w:szCs w:val="32"/>
        </w:rPr>
        <w:t>1152</w:t>
      </w:r>
      <w:r>
        <w:rPr>
          <w:rFonts w:hint="eastAsia" w:ascii="仿宋" w:hAnsi="仿宋" w:eastAsia="仿宋" w:cs="仿宋"/>
          <w:sz w:val="32"/>
          <w:szCs w:val="32"/>
        </w:rPr>
        <w:t>平方米。汽车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辆。单价在</w:t>
      </w:r>
      <w:r>
        <w:rPr>
          <w:rFonts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万元以上的设备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台（套）。与上年相比无变化，主要原因是固定资产无变化。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0" w:firstLineChars="200"/>
        <w:jc w:val="both"/>
        <w:textAlignment w:val="auto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</w:t>
      </w:r>
      <w:r>
        <w:rPr>
          <w:rFonts w:ascii="黑体" w:hAnsi="黑体" w:eastAsia="黑体" w:cs="黑体"/>
          <w:sz w:val="32"/>
          <w:szCs w:val="32"/>
        </w:rPr>
        <w:t>2017</w:t>
      </w:r>
      <w:r>
        <w:rPr>
          <w:rFonts w:hint="eastAsia" w:ascii="黑体" w:hAnsi="黑体" w:eastAsia="黑体" w:cs="黑体"/>
          <w:sz w:val="32"/>
          <w:szCs w:val="32"/>
        </w:rPr>
        <w:t>年部门预算收支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3" w:firstLineChars="200"/>
        <w:jc w:val="both"/>
        <w:textAlignment w:val="auto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（一）收支总体情况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0" w:firstLineChars="20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收入预算</w:t>
      </w:r>
      <w:r>
        <w:rPr>
          <w:rFonts w:ascii="仿宋" w:hAnsi="仿宋" w:eastAsia="仿宋" w:cs="仿宋"/>
          <w:sz w:val="32"/>
          <w:szCs w:val="32"/>
        </w:rPr>
        <w:t>95.57</w:t>
      </w:r>
      <w:r>
        <w:rPr>
          <w:rFonts w:hint="eastAsia" w:ascii="仿宋" w:hAnsi="仿宋" w:eastAsia="仿宋" w:cs="仿宋"/>
          <w:sz w:val="32"/>
          <w:szCs w:val="32"/>
        </w:rPr>
        <w:t>万元，其中：一般公共预算收入</w:t>
      </w:r>
      <w:r>
        <w:rPr>
          <w:rFonts w:ascii="仿宋" w:hAnsi="仿宋" w:eastAsia="仿宋" w:cs="仿宋"/>
          <w:sz w:val="32"/>
          <w:szCs w:val="32"/>
        </w:rPr>
        <w:t>95.57</w:t>
      </w:r>
      <w:r>
        <w:rPr>
          <w:rFonts w:hint="eastAsia" w:ascii="仿宋" w:hAnsi="仿宋" w:eastAsia="仿宋" w:cs="仿宋"/>
          <w:sz w:val="32"/>
          <w:szCs w:val="32"/>
        </w:rPr>
        <w:t>万元，政府性基金预算收入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万元，纳入专户管理的非税收入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万元，其他收入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万元，事业单位经营收入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万元。支出预算总额为</w:t>
      </w:r>
      <w:r>
        <w:rPr>
          <w:rFonts w:ascii="仿宋" w:hAnsi="仿宋" w:eastAsia="仿宋" w:cs="仿宋"/>
          <w:sz w:val="32"/>
          <w:szCs w:val="32"/>
        </w:rPr>
        <w:t>105.57</w:t>
      </w:r>
      <w:r>
        <w:rPr>
          <w:rFonts w:hint="eastAsia" w:ascii="仿宋" w:hAnsi="仿宋" w:eastAsia="仿宋" w:cs="仿宋"/>
          <w:sz w:val="32"/>
          <w:szCs w:val="32"/>
        </w:rPr>
        <w:t>万元。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3" w:firstLineChars="200"/>
        <w:jc w:val="both"/>
        <w:textAlignment w:val="auto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（二）预算支出主要内容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0" w:firstLineChars="20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支出分为基本支出和项目支出，其中：基本支出预算安排</w:t>
      </w:r>
      <w:r>
        <w:rPr>
          <w:rFonts w:ascii="仿宋" w:hAnsi="仿宋" w:eastAsia="仿宋" w:cs="仿宋"/>
          <w:sz w:val="32"/>
          <w:szCs w:val="32"/>
        </w:rPr>
        <w:t>95.57</w:t>
      </w:r>
      <w:r>
        <w:rPr>
          <w:rFonts w:hint="eastAsia" w:ascii="仿宋" w:hAnsi="仿宋" w:eastAsia="仿宋" w:cs="仿宋"/>
          <w:sz w:val="32"/>
          <w:szCs w:val="32"/>
        </w:rPr>
        <w:t>万元，包括：工资福利支出</w:t>
      </w:r>
      <w:r>
        <w:rPr>
          <w:rFonts w:ascii="仿宋" w:hAnsi="仿宋" w:eastAsia="仿宋" w:cs="仿宋"/>
          <w:sz w:val="32"/>
          <w:szCs w:val="32"/>
        </w:rPr>
        <w:t>62.90</w:t>
      </w:r>
      <w:r>
        <w:rPr>
          <w:rFonts w:hint="eastAsia" w:ascii="仿宋" w:hAnsi="仿宋" w:eastAsia="仿宋" w:cs="仿宋"/>
          <w:sz w:val="32"/>
          <w:szCs w:val="32"/>
        </w:rPr>
        <w:t>万元，商品和服务支出</w:t>
      </w:r>
      <w:r>
        <w:rPr>
          <w:rFonts w:ascii="仿宋" w:hAnsi="仿宋" w:eastAsia="仿宋" w:cs="仿宋"/>
          <w:sz w:val="32"/>
          <w:szCs w:val="32"/>
        </w:rPr>
        <w:t>3.23</w:t>
      </w:r>
      <w:r>
        <w:rPr>
          <w:rFonts w:hint="eastAsia" w:ascii="仿宋" w:hAnsi="仿宋" w:eastAsia="仿宋" w:cs="仿宋"/>
          <w:sz w:val="32"/>
          <w:szCs w:val="32"/>
        </w:rPr>
        <w:t>万元，对个人和家庭的补助支出</w:t>
      </w:r>
      <w:r>
        <w:rPr>
          <w:rFonts w:ascii="仿宋" w:hAnsi="仿宋" w:eastAsia="仿宋" w:cs="仿宋"/>
          <w:sz w:val="32"/>
          <w:szCs w:val="32"/>
        </w:rPr>
        <w:t>29.43</w:t>
      </w:r>
      <w:r>
        <w:rPr>
          <w:rFonts w:hint="eastAsia" w:ascii="仿宋" w:hAnsi="仿宋" w:eastAsia="仿宋" w:cs="仿宋"/>
          <w:sz w:val="32"/>
          <w:szCs w:val="32"/>
        </w:rPr>
        <w:t>万元。基本支出比上年预算减少</w:t>
      </w:r>
      <w:r>
        <w:rPr>
          <w:rFonts w:ascii="仿宋" w:hAnsi="仿宋" w:eastAsia="仿宋" w:cs="仿宋"/>
          <w:sz w:val="32"/>
          <w:szCs w:val="32"/>
        </w:rPr>
        <w:t>2.6</w:t>
      </w:r>
      <w:r>
        <w:rPr>
          <w:rFonts w:hint="eastAsia" w:ascii="仿宋" w:hAnsi="仿宋" w:eastAsia="仿宋" w:cs="仿宋"/>
          <w:sz w:val="32"/>
          <w:szCs w:val="32"/>
        </w:rPr>
        <w:t>万元，主要原因是退休人员工资是社保局发放。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项目支出预算安排0万元，比上年预算增加0万元，主要原因是无预算安排。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0" w:firstLineChars="20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按资金来源分类，预算支出合计</w:t>
      </w:r>
      <w:r>
        <w:rPr>
          <w:rFonts w:ascii="仿宋" w:hAnsi="仿宋" w:eastAsia="仿宋" w:cs="仿宋"/>
          <w:sz w:val="32"/>
          <w:szCs w:val="32"/>
        </w:rPr>
        <w:t>95.57</w:t>
      </w:r>
      <w:r>
        <w:rPr>
          <w:rFonts w:hint="eastAsia" w:ascii="仿宋" w:hAnsi="仿宋" w:eastAsia="仿宋" w:cs="仿宋"/>
          <w:sz w:val="32"/>
          <w:szCs w:val="32"/>
        </w:rPr>
        <w:t>万元，其中：一般公共预算支出</w:t>
      </w:r>
      <w:r>
        <w:rPr>
          <w:rFonts w:ascii="仿宋" w:hAnsi="仿宋" w:eastAsia="仿宋" w:cs="仿宋"/>
          <w:sz w:val="32"/>
          <w:szCs w:val="32"/>
        </w:rPr>
        <w:t>95.57</w:t>
      </w:r>
      <w:r>
        <w:rPr>
          <w:rFonts w:hint="eastAsia" w:ascii="仿宋" w:hAnsi="仿宋" w:eastAsia="仿宋" w:cs="仿宋"/>
          <w:sz w:val="32"/>
          <w:szCs w:val="32"/>
        </w:rPr>
        <w:t>万元，政府性基金预算支出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万元，纳入专户管理的非税收入支出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万元，其他收入支出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万元，事业单位经营收入支出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3" w:firstLineChars="200"/>
        <w:jc w:val="both"/>
        <w:textAlignment w:val="auto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（三）机关运行经费情况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0" w:firstLineChars="20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机关运行经费预算支出3.11万元，其中：一般公共预算支出3.11元，政府性基金预算支出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万元，纳入专户管理的非税收入支出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万元，其他收入支出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万元，事业单位经营收入支出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万元。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与上年相比</w:t>
      </w:r>
      <w:r>
        <w:rPr>
          <w:rFonts w:ascii="仿宋" w:hAnsi="仿宋" w:eastAsia="仿宋" w:cs="仿宋"/>
          <w:sz w:val="32"/>
          <w:szCs w:val="32"/>
        </w:rPr>
        <w:t>0%,</w:t>
      </w:r>
      <w:r>
        <w:rPr>
          <w:rFonts w:hint="eastAsia" w:ascii="仿宋" w:hAnsi="仿宋" w:eastAsia="仿宋" w:cs="仿宋"/>
          <w:sz w:val="32"/>
          <w:szCs w:val="32"/>
        </w:rPr>
        <w:t>主要原因是无增减。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0" w:firstLineChars="200"/>
        <w:jc w:val="both"/>
        <w:textAlignment w:val="auto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</w:t>
      </w:r>
      <w:r>
        <w:rPr>
          <w:rFonts w:ascii="黑体" w:hAnsi="黑体" w:eastAsia="黑体" w:cs="黑体"/>
          <w:sz w:val="32"/>
          <w:szCs w:val="32"/>
        </w:rPr>
        <w:t>2017</w:t>
      </w:r>
      <w:r>
        <w:rPr>
          <w:rFonts w:hint="eastAsia" w:ascii="黑体" w:hAnsi="黑体" w:eastAsia="黑体" w:cs="黑体"/>
          <w:sz w:val="32"/>
          <w:szCs w:val="32"/>
        </w:rPr>
        <w:t>年财政拨款安排的“三公经费”支出预算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ascii="仿宋" w:hAnsi="仿宋" w:eastAsia="仿宋" w:cs="仿宋"/>
          <w:sz w:val="32"/>
          <w:szCs w:val="32"/>
        </w:rPr>
        <w:t>2017</w:t>
      </w:r>
      <w:r>
        <w:rPr>
          <w:rFonts w:hint="eastAsia" w:ascii="仿宋" w:hAnsi="仿宋" w:eastAsia="仿宋" w:cs="仿宋"/>
          <w:sz w:val="32"/>
          <w:szCs w:val="32"/>
        </w:rPr>
        <w:t>年喀什地区英吉沙县供销社财政拨款安排的“三公经费”预算安排总额为</w:t>
      </w:r>
      <w:r>
        <w:rPr>
          <w:rFonts w:ascii="仿宋" w:hAnsi="仿宋" w:eastAsia="仿宋" w:cs="仿宋"/>
          <w:sz w:val="32"/>
          <w:szCs w:val="32"/>
        </w:rPr>
        <w:t>1.5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与上年</w:t>
      </w:r>
      <w:r>
        <w:rPr>
          <w:rFonts w:hint="eastAsia" w:ascii="仿宋" w:hAnsi="仿宋" w:eastAsia="仿宋" w:cs="仿宋"/>
          <w:sz w:val="32"/>
          <w:szCs w:val="32"/>
        </w:rPr>
        <w:t>相同。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3" w:firstLineChars="200"/>
        <w:jc w:val="both"/>
        <w:textAlignment w:val="auto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（一）因公出国（境）经费预算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0" w:firstLineChars="20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因公出国（境）经费预算项目支出安排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ascii="仿宋" w:hAnsi="仿宋" w:eastAsia="仿宋" w:cs="仿宋"/>
          <w:sz w:val="32"/>
          <w:szCs w:val="32"/>
        </w:rPr>
        <w:t>,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与上年</w:t>
      </w:r>
      <w:r>
        <w:rPr>
          <w:rFonts w:hint="eastAsia" w:ascii="仿宋" w:hAnsi="仿宋" w:eastAsia="仿宋" w:cs="仿宋"/>
          <w:sz w:val="32"/>
          <w:szCs w:val="32"/>
        </w:rPr>
        <w:t>相同，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主要原因</w:t>
      </w:r>
      <w:r>
        <w:rPr>
          <w:rFonts w:hint="eastAsia" w:ascii="仿宋" w:hAnsi="仿宋" w:eastAsia="仿宋" w:cs="仿宋"/>
          <w:sz w:val="32"/>
          <w:szCs w:val="32"/>
        </w:rPr>
        <w:t>是无因公出国（境）事项等方面，</w:t>
      </w:r>
      <w:r>
        <w:rPr>
          <w:rFonts w:ascii="仿宋" w:hAnsi="仿宋" w:eastAsia="仿宋" w:cs="仿宋"/>
          <w:sz w:val="32"/>
          <w:szCs w:val="32"/>
        </w:rPr>
        <w:t>2017</w:t>
      </w:r>
      <w:r>
        <w:rPr>
          <w:rFonts w:hint="eastAsia" w:ascii="仿宋" w:hAnsi="仿宋" w:eastAsia="仿宋" w:cs="仿宋"/>
          <w:sz w:val="32"/>
          <w:szCs w:val="32"/>
        </w:rPr>
        <w:t>年因公出国（境）团组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组、人数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人。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3" w:firstLineChars="200"/>
        <w:jc w:val="both"/>
        <w:textAlignment w:val="auto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（二）公务接待费用预算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0" w:firstLineChars="20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公务接待费用预算安排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与上年</w:t>
      </w:r>
      <w:r>
        <w:rPr>
          <w:rFonts w:hint="eastAsia" w:ascii="仿宋" w:hAnsi="仿宋" w:eastAsia="仿宋" w:cs="仿宋"/>
          <w:sz w:val="32"/>
          <w:szCs w:val="32"/>
        </w:rPr>
        <w:t>相同，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主要原因</w:t>
      </w:r>
      <w:r>
        <w:rPr>
          <w:rFonts w:hint="eastAsia" w:ascii="仿宋" w:hAnsi="仿宋" w:eastAsia="仿宋" w:cs="仿宋"/>
          <w:sz w:val="32"/>
          <w:szCs w:val="32"/>
        </w:rPr>
        <w:t>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公务接待费，</w:t>
      </w:r>
      <w:r>
        <w:rPr>
          <w:rFonts w:ascii="仿宋" w:hAnsi="仿宋" w:eastAsia="仿宋" w:cs="仿宋"/>
          <w:sz w:val="32"/>
          <w:szCs w:val="32"/>
        </w:rPr>
        <w:t>2017</w:t>
      </w:r>
      <w:r>
        <w:rPr>
          <w:rFonts w:hint="eastAsia" w:ascii="仿宋" w:hAnsi="仿宋" w:eastAsia="仿宋" w:cs="仿宋"/>
          <w:sz w:val="32"/>
          <w:szCs w:val="32"/>
        </w:rPr>
        <w:t>年国内公务接待的批次为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批、人数为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人。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3" w:firstLineChars="200"/>
        <w:jc w:val="both"/>
        <w:textAlignment w:val="auto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（三）公务用车购置及运行维护费预算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0" w:firstLineChars="20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公务用车购置及运行维护费预算安排</w:t>
      </w:r>
      <w:r>
        <w:rPr>
          <w:rFonts w:ascii="仿宋" w:hAnsi="仿宋" w:eastAsia="仿宋" w:cs="仿宋"/>
          <w:sz w:val="32"/>
          <w:szCs w:val="32"/>
        </w:rPr>
        <w:t>1.5</w:t>
      </w:r>
      <w:r>
        <w:rPr>
          <w:rFonts w:hint="eastAsia" w:ascii="仿宋" w:hAnsi="仿宋" w:eastAsia="仿宋" w:cs="仿宋"/>
          <w:sz w:val="32"/>
          <w:szCs w:val="32"/>
        </w:rPr>
        <w:t>万元，主要用于</w:t>
      </w:r>
      <w:r>
        <w:rPr>
          <w:rFonts w:ascii="仿宋" w:hAnsi="仿宋" w:eastAsia="仿宋" w:cs="仿宋"/>
          <w:sz w:val="32"/>
          <w:szCs w:val="32"/>
        </w:rPr>
        <w:t>2017</w:t>
      </w:r>
      <w:r>
        <w:rPr>
          <w:rFonts w:hint="eastAsia" w:ascii="仿宋" w:hAnsi="仿宋" w:eastAsia="仿宋" w:cs="仿宋"/>
          <w:sz w:val="32"/>
          <w:szCs w:val="32"/>
        </w:rPr>
        <w:t>年车辆的维护、新验等方面的支出，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与上年</w:t>
      </w:r>
      <w:r>
        <w:rPr>
          <w:rFonts w:hint="eastAsia" w:ascii="仿宋" w:hAnsi="仿宋" w:eastAsia="仿宋" w:cs="仿宋"/>
          <w:sz w:val="32"/>
          <w:szCs w:val="32"/>
        </w:rPr>
        <w:t>相同，主要原因是车辆无变化。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0" w:firstLineChars="200"/>
        <w:jc w:val="both"/>
        <w:textAlignment w:val="auto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</w:t>
      </w:r>
      <w:r>
        <w:rPr>
          <w:rFonts w:ascii="黑体" w:hAnsi="黑体" w:eastAsia="黑体" w:cs="黑体"/>
          <w:sz w:val="32"/>
          <w:szCs w:val="32"/>
        </w:rPr>
        <w:t>2017</w:t>
      </w:r>
      <w:r>
        <w:rPr>
          <w:rFonts w:hint="eastAsia" w:ascii="黑体" w:hAnsi="黑体" w:eastAsia="黑体" w:cs="黑体"/>
          <w:sz w:val="32"/>
          <w:szCs w:val="32"/>
        </w:rPr>
        <w:t>年政府采购支出预算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0" w:firstLineChars="20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2017</w:t>
      </w:r>
      <w:r>
        <w:rPr>
          <w:rFonts w:hint="eastAsia" w:ascii="仿宋" w:hAnsi="仿宋" w:eastAsia="仿宋" w:cs="仿宋"/>
          <w:sz w:val="32"/>
          <w:szCs w:val="32"/>
        </w:rPr>
        <w:t>年喀什地区英吉沙县供销社财政拨款安排政府采购经费支出总计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0" w:firstLineChars="200"/>
        <w:jc w:val="both"/>
        <w:textAlignment w:val="auto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五、预算绩效信息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根据地区财政局《</w:t>
      </w:r>
      <w:r>
        <w:rPr>
          <w:rFonts w:hint="eastAsia" w:ascii="仿宋" w:hAnsi="仿宋" w:eastAsia="仿宋" w:cs="仿宋"/>
          <w:kern w:val="0"/>
          <w:sz w:val="32"/>
          <w:szCs w:val="32"/>
        </w:rPr>
        <w:t>关于开展</w:t>
      </w:r>
      <w:r>
        <w:rPr>
          <w:rFonts w:ascii="仿宋" w:hAnsi="仿宋" w:eastAsia="仿宋" w:cs="仿宋"/>
          <w:kern w:val="0"/>
          <w:sz w:val="32"/>
          <w:szCs w:val="32"/>
        </w:rPr>
        <w:t>2017</w:t>
      </w:r>
      <w:r>
        <w:rPr>
          <w:rFonts w:hint="eastAsia" w:ascii="仿宋" w:hAnsi="仿宋" w:eastAsia="仿宋" w:cs="仿宋"/>
          <w:kern w:val="0"/>
          <w:sz w:val="32"/>
          <w:szCs w:val="32"/>
        </w:rPr>
        <w:t>年喀什地区本级财政资金绩效评价的通知</w:t>
      </w:r>
      <w:r>
        <w:rPr>
          <w:rFonts w:hint="eastAsia" w:ascii="仿宋" w:hAnsi="仿宋" w:eastAsia="仿宋" w:cs="仿宋"/>
          <w:sz w:val="32"/>
          <w:szCs w:val="32"/>
        </w:rPr>
        <w:t>》（喀地财预﹝</w:t>
      </w:r>
      <w:r>
        <w:rPr>
          <w:rFonts w:ascii="仿宋" w:hAnsi="仿宋" w:eastAsia="仿宋" w:cs="仿宋"/>
          <w:sz w:val="32"/>
          <w:szCs w:val="32"/>
        </w:rPr>
        <w:t>2017</w:t>
      </w:r>
      <w:r>
        <w:rPr>
          <w:rFonts w:hint="eastAsia" w:ascii="仿宋" w:hAnsi="仿宋" w:eastAsia="仿宋" w:cs="仿宋"/>
          <w:sz w:val="32"/>
          <w:szCs w:val="32"/>
        </w:rPr>
        <w:t>﹞</w:t>
      </w:r>
      <w:r>
        <w:rPr>
          <w:rFonts w:ascii="仿宋" w:hAnsi="仿宋" w:eastAsia="仿宋" w:cs="仿宋"/>
          <w:sz w:val="32"/>
          <w:szCs w:val="32"/>
        </w:rPr>
        <w:t>41</w:t>
      </w:r>
      <w:r>
        <w:rPr>
          <w:rFonts w:hint="eastAsia" w:ascii="仿宋" w:hAnsi="仿宋" w:eastAsia="仿宋" w:cs="仿宋"/>
          <w:sz w:val="32"/>
          <w:szCs w:val="32"/>
        </w:rPr>
        <w:t>号）的要求，我单位录入预算绩效范围项目共</w:t>
      </w:r>
      <w:r>
        <w:rPr>
          <w:rFonts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个，涉及金额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万元。</w:t>
      </w:r>
    </w:p>
    <w:p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0" w:firstLineChars="200"/>
        <w:jc w:val="both"/>
        <w:textAlignment w:val="auto"/>
        <w:rPr>
          <w:rFonts w:hint="eastAsia" w:ascii="黑体" w:eastAsia="黑体"/>
          <w:sz w:val="32"/>
          <w:szCs w:val="32"/>
          <w:lang w:eastAsia="zh-CN"/>
        </w:rPr>
      </w:pPr>
      <w:r>
        <w:rPr>
          <w:rFonts w:hint="eastAsia" w:ascii="黑体" w:eastAsia="黑体"/>
          <w:sz w:val="32"/>
          <w:szCs w:val="32"/>
          <w:lang w:eastAsia="zh-CN"/>
        </w:rPr>
        <w:t>六、名词解释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Arial" w:eastAsia="仿宋_GB2312" w:cs="Arial"/>
          <w:sz w:val="32"/>
          <w:szCs w:val="32"/>
          <w:lang w:eastAsia="zh-CN"/>
        </w:rPr>
      </w:pPr>
      <w:r>
        <w:rPr>
          <w:rFonts w:hint="eastAsia" w:ascii="仿宋_GB2312" w:hAnsi="Arial" w:eastAsia="仿宋_GB2312" w:cs="Arial"/>
          <w:sz w:val="32"/>
          <w:szCs w:val="32"/>
          <w:lang w:eastAsia="zh-CN"/>
        </w:rPr>
        <w:t>（一）财政拨款：指由一般公共预算、政府性基金预算安排的财政拨款数。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Arial" w:eastAsia="仿宋_GB2312" w:cs="Arial"/>
          <w:sz w:val="32"/>
          <w:szCs w:val="32"/>
          <w:lang w:eastAsia="zh-CN"/>
        </w:rPr>
      </w:pPr>
      <w:r>
        <w:rPr>
          <w:rFonts w:hint="eastAsia" w:ascii="仿宋_GB2312" w:hAnsi="Arial" w:eastAsia="仿宋_GB2312" w:cs="Arial"/>
          <w:sz w:val="32"/>
          <w:szCs w:val="32"/>
          <w:lang w:eastAsia="zh-CN"/>
        </w:rPr>
        <w:t>（二）一般公共预算：包括公共财政拨款（补助）资金、专项收入。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Arial" w:eastAsia="仿宋_GB2312" w:cs="Arial"/>
          <w:sz w:val="32"/>
          <w:szCs w:val="32"/>
          <w:lang w:eastAsia="zh-CN"/>
        </w:rPr>
      </w:pPr>
      <w:r>
        <w:rPr>
          <w:rFonts w:hint="eastAsia" w:ascii="仿宋_GB2312" w:hAnsi="Arial" w:eastAsia="仿宋_GB2312" w:cs="Arial"/>
          <w:sz w:val="32"/>
          <w:szCs w:val="32"/>
          <w:lang w:eastAsia="zh-CN"/>
        </w:rPr>
        <w:t>（三）财政专户管理资金：包括专户管理行政事业性收费（主要是教育收费）、其他非税收入。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Arial" w:eastAsia="仿宋_GB2312" w:cs="Arial"/>
          <w:sz w:val="32"/>
          <w:szCs w:val="32"/>
          <w:lang w:eastAsia="zh-CN"/>
        </w:rPr>
      </w:pPr>
      <w:r>
        <w:rPr>
          <w:rFonts w:hint="eastAsia" w:ascii="仿宋_GB2312" w:hAnsi="Arial" w:eastAsia="仿宋_GB2312" w:cs="Arial"/>
          <w:sz w:val="32"/>
          <w:szCs w:val="32"/>
          <w:lang w:eastAsia="zh-CN"/>
        </w:rPr>
        <w:t>（四）其他资金：包括事业收入、经营收入、其他收入等。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Arial" w:eastAsia="仿宋_GB2312" w:cs="Arial"/>
          <w:sz w:val="32"/>
          <w:szCs w:val="32"/>
          <w:lang w:eastAsia="zh-CN"/>
        </w:rPr>
      </w:pPr>
      <w:r>
        <w:rPr>
          <w:rFonts w:hint="eastAsia" w:ascii="仿宋_GB2312" w:hAnsi="Arial" w:eastAsia="仿宋_GB2312" w:cs="Arial"/>
          <w:sz w:val="32"/>
          <w:szCs w:val="32"/>
          <w:lang w:eastAsia="zh-CN"/>
        </w:rPr>
        <w:t>（五）基本支出：包括人员经费、商品和服务支出（定额）。其中，人员经费包括工资福利支出、对个人和家庭的补助。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Arial" w:eastAsia="仿宋_GB2312" w:cs="Arial"/>
          <w:sz w:val="32"/>
          <w:szCs w:val="32"/>
          <w:lang w:eastAsia="zh-CN"/>
        </w:rPr>
      </w:pPr>
      <w:r>
        <w:rPr>
          <w:rFonts w:hint="eastAsia" w:ascii="仿宋_GB2312" w:hAnsi="Arial" w:eastAsia="仿宋_GB2312" w:cs="Arial"/>
          <w:sz w:val="32"/>
          <w:szCs w:val="32"/>
          <w:lang w:eastAsia="zh-CN"/>
        </w:rPr>
        <w:t>（六）项目支出：部门支出预算的组成部分，是自治区本级部门为完成其特定的行政任务或事业发展目标，在基本支出预算之外编制的年度项目支出计划。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Arial" w:eastAsia="仿宋_GB2312" w:cs="Arial"/>
          <w:sz w:val="32"/>
          <w:szCs w:val="32"/>
          <w:lang w:eastAsia="zh-CN"/>
        </w:rPr>
      </w:pPr>
      <w:r>
        <w:rPr>
          <w:rFonts w:hint="eastAsia" w:ascii="仿宋_GB2312" w:hAnsi="Arial" w:eastAsia="仿宋_GB2312" w:cs="Arial"/>
          <w:sz w:val="32"/>
          <w:szCs w:val="32"/>
          <w:lang w:eastAsia="zh-CN"/>
        </w:rPr>
        <w:t>（七）“三公”经费：指自治区本级部门用一般公共预算财政拨款安排的因公出国（境）费、公务用车购置及运行费和公务接待费。其中，因公出国（境）费指单位公务出国（境）的住宿费、旅费、伙食补助费、杂费、培训费等支出；公务用车购置及运行费指单位公务用车购置费及租用费、燃料费、维修费、过路过桥费、保险费、安全奖励费用等支出；公务接待费指单位按规定开支的各类公务接待（含外宾接待）支出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Arial" w:eastAsia="仿宋_GB2312" w:cs="Arial"/>
          <w:sz w:val="32"/>
          <w:szCs w:val="32"/>
          <w:lang w:eastAsia="zh-CN"/>
        </w:rPr>
      </w:pPr>
      <w:r>
        <w:rPr>
          <w:rFonts w:hint="eastAsia" w:ascii="仿宋_GB2312" w:hAnsi="Arial" w:eastAsia="仿宋_GB2312" w:cs="Arial"/>
          <w:sz w:val="32"/>
          <w:szCs w:val="32"/>
          <w:lang w:eastAsia="zh-CN"/>
        </w:rPr>
        <w:t>（八）机关运行经费：指各部门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喀什地区</w:t>
      </w:r>
      <w:r>
        <w:rPr>
          <w:rFonts w:hint="eastAsia" w:ascii="仿宋" w:hAnsi="仿宋" w:eastAsia="仿宋" w:cs="仿宋"/>
          <w:sz w:val="32"/>
          <w:szCs w:val="32"/>
        </w:rPr>
        <w:t>英吉沙县供销社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2017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31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jc w:val="both"/>
        <w:textAlignment w:val="auto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3</w:t>
    </w:r>
    <w:r>
      <w:rPr>
        <w:lang w:val="zh-CN"/>
      </w:rPr>
      <w:fldChar w:fldCharType="end"/>
    </w: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6A2E"/>
    <w:rsid w:val="00126585"/>
    <w:rsid w:val="00226681"/>
    <w:rsid w:val="004B1A54"/>
    <w:rsid w:val="004B694C"/>
    <w:rsid w:val="00516AC8"/>
    <w:rsid w:val="00561041"/>
    <w:rsid w:val="00597218"/>
    <w:rsid w:val="005D42D9"/>
    <w:rsid w:val="006236E6"/>
    <w:rsid w:val="00640413"/>
    <w:rsid w:val="006962EC"/>
    <w:rsid w:val="00743407"/>
    <w:rsid w:val="00761CFD"/>
    <w:rsid w:val="0080085D"/>
    <w:rsid w:val="008227E0"/>
    <w:rsid w:val="00860695"/>
    <w:rsid w:val="0095496C"/>
    <w:rsid w:val="009B624F"/>
    <w:rsid w:val="009E2E9B"/>
    <w:rsid w:val="00A420DA"/>
    <w:rsid w:val="00A6782D"/>
    <w:rsid w:val="00AF4F1E"/>
    <w:rsid w:val="00B0624B"/>
    <w:rsid w:val="00BC2528"/>
    <w:rsid w:val="00BE734B"/>
    <w:rsid w:val="00C11B31"/>
    <w:rsid w:val="00C27677"/>
    <w:rsid w:val="00C7718D"/>
    <w:rsid w:val="00CA3CF9"/>
    <w:rsid w:val="00CE3982"/>
    <w:rsid w:val="00D448C2"/>
    <w:rsid w:val="00D47D3A"/>
    <w:rsid w:val="00E37254"/>
    <w:rsid w:val="00EC77F5"/>
    <w:rsid w:val="00F86A2E"/>
    <w:rsid w:val="00FF7A5B"/>
    <w:rsid w:val="1C813008"/>
    <w:rsid w:val="691419DE"/>
    <w:rsid w:val="74131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qFormat="1" w:unhideWhenUsed="0"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qFormat="1" w:unhideWhenUsed="0" w:uiPriority="99" w:name="annotation reference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nhideWhenUsed="0" w:uiPriority="99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9"/>
    <w:pPr>
      <w:widowControl/>
      <w:spacing w:before="240" w:after="240"/>
      <w:jc w:val="left"/>
      <w:outlineLvl w:val="0"/>
    </w:pPr>
    <w:rPr>
      <w:rFonts w:ascii="宋体" w:hAnsi="宋体" w:cs="宋体"/>
      <w:b/>
      <w:bCs/>
      <w:kern w:val="36"/>
      <w:sz w:val="43"/>
      <w:szCs w:val="43"/>
    </w:rPr>
  </w:style>
  <w:style w:type="character" w:default="1" w:styleId="9">
    <w:name w:val="Default Paragraph Font"/>
    <w:semiHidden/>
    <w:uiPriority w:val="99"/>
  </w:style>
  <w:style w:type="table" w:default="1" w:styleId="1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subject"/>
    <w:basedOn w:val="4"/>
    <w:next w:val="4"/>
    <w:link w:val="14"/>
    <w:semiHidden/>
    <w:uiPriority w:val="99"/>
    <w:rPr>
      <w:b/>
      <w:bCs/>
    </w:rPr>
  </w:style>
  <w:style w:type="paragraph" w:styleId="4">
    <w:name w:val="annotation text"/>
    <w:basedOn w:val="1"/>
    <w:link w:val="13"/>
    <w:semiHidden/>
    <w:qFormat/>
    <w:uiPriority w:val="99"/>
    <w:pPr>
      <w:jc w:val="left"/>
    </w:pPr>
  </w:style>
  <w:style w:type="paragraph" w:styleId="5">
    <w:name w:val="Balloon Text"/>
    <w:basedOn w:val="1"/>
    <w:link w:val="15"/>
    <w:semiHidden/>
    <w:qFormat/>
    <w:uiPriority w:val="99"/>
    <w:rPr>
      <w:sz w:val="18"/>
      <w:szCs w:val="18"/>
    </w:rPr>
  </w:style>
  <w:style w:type="paragraph" w:styleId="6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99"/>
    <w:pPr>
      <w:widowControl/>
      <w:spacing w:before="100" w:beforeAutospacing="1" w:after="240"/>
      <w:jc w:val="left"/>
    </w:pPr>
    <w:rPr>
      <w:rFonts w:ascii="宋体" w:hAnsi="宋体" w:cs="宋体"/>
      <w:kern w:val="0"/>
      <w:sz w:val="24"/>
      <w:szCs w:val="24"/>
    </w:rPr>
  </w:style>
  <w:style w:type="character" w:styleId="10">
    <w:name w:val="annotation reference"/>
    <w:basedOn w:val="9"/>
    <w:semiHidden/>
    <w:qFormat/>
    <w:uiPriority w:val="99"/>
    <w:rPr>
      <w:sz w:val="21"/>
      <w:szCs w:val="21"/>
    </w:rPr>
  </w:style>
  <w:style w:type="character" w:customStyle="1" w:styleId="12">
    <w:name w:val="Heading 1 Char"/>
    <w:basedOn w:val="9"/>
    <w:link w:val="2"/>
    <w:qFormat/>
    <w:locked/>
    <w:uiPriority w:val="99"/>
    <w:rPr>
      <w:rFonts w:ascii="宋体" w:hAnsi="宋体" w:eastAsia="宋体" w:cs="宋体"/>
      <w:b/>
      <w:bCs/>
      <w:kern w:val="36"/>
      <w:sz w:val="43"/>
      <w:szCs w:val="43"/>
    </w:rPr>
  </w:style>
  <w:style w:type="character" w:customStyle="1" w:styleId="13">
    <w:name w:val="Comment Text Char"/>
    <w:basedOn w:val="9"/>
    <w:link w:val="4"/>
    <w:semiHidden/>
    <w:locked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4">
    <w:name w:val="Comment Subject Char"/>
    <w:basedOn w:val="13"/>
    <w:link w:val="3"/>
    <w:semiHidden/>
    <w:qFormat/>
    <w:locked/>
    <w:uiPriority w:val="99"/>
    <w:rPr>
      <w:b/>
      <w:bCs/>
    </w:rPr>
  </w:style>
  <w:style w:type="character" w:customStyle="1" w:styleId="15">
    <w:name w:val="Balloon Text Char"/>
    <w:basedOn w:val="9"/>
    <w:link w:val="5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Footer Char"/>
    <w:basedOn w:val="9"/>
    <w:link w:val="6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Header Char"/>
    <w:basedOn w:val="9"/>
    <w:link w:val="7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8">
    <w:name w:val="notice_title"/>
    <w:basedOn w:val="1"/>
    <w:qFormat/>
    <w:uiPriority w:val="99"/>
    <w:pPr>
      <w:widowControl/>
      <w:spacing w:after="225"/>
      <w:jc w:val="center"/>
    </w:pPr>
    <w:rPr>
      <w:rFonts w:ascii="宋体" w:hAnsi="宋体" w:cs="宋体"/>
      <w:b/>
      <w:bCs/>
      <w:color w:val="771325"/>
      <w:kern w:val="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6</Pages>
  <Words>365</Words>
  <Characters>2084</Characters>
  <Lines>0</Lines>
  <Paragraphs>0</Paragraphs>
  <TotalTime>1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2018-12-26T09:04:00Z</dcterms:created>
  <dc:creator>Administrator</dc:creator>
  <cp:lastModifiedBy>lenovo</cp:lastModifiedBy>
  <dcterms:modified xsi:type="dcterms:W3CDTF">2019-01-03T15:21:19Z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