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autoSpaceDE/>
        <w:autoSpaceDN/>
        <w:bidi w:val="0"/>
        <w:adjustRightInd/>
        <w:snapToGrid/>
        <w:spacing w:before="0" w:after="0" w:line="560" w:lineRule="exact"/>
        <w:jc w:val="center"/>
        <w:rPr>
          <w:rFonts w:ascii="黑体" w:hAnsi="黑体" w:eastAsia="黑体" w:cs="Times New Roman"/>
          <w:b w:val="0"/>
          <w:bCs w:val="0"/>
          <w:sz w:val="44"/>
          <w:szCs w:val="44"/>
        </w:rPr>
      </w:pPr>
      <w:r>
        <w:rPr>
          <w:rFonts w:hint="eastAsia" w:ascii="黑体" w:hAnsi="黑体" w:eastAsia="黑体" w:cs="黑体"/>
          <w:b w:val="0"/>
          <w:bCs w:val="0"/>
          <w:sz w:val="44"/>
          <w:szCs w:val="44"/>
          <w:lang w:eastAsia="zh-CN"/>
        </w:rPr>
        <w:t>喀什地区</w:t>
      </w:r>
      <w:r>
        <w:rPr>
          <w:rFonts w:hint="eastAsia" w:ascii="黑体" w:hAnsi="黑体" w:eastAsia="黑体" w:cs="黑体"/>
          <w:b w:val="0"/>
          <w:bCs w:val="0"/>
          <w:sz w:val="44"/>
          <w:szCs w:val="44"/>
        </w:rPr>
        <w:t>英吉沙县商务和经济信息化委员会</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361" w:firstLineChars="200"/>
        <w:jc w:val="both"/>
        <w:rPr>
          <w:rFonts w:ascii="黑体" w:hAnsi="黑体" w:eastAsia="黑体" w:cs="Times New Roman"/>
          <w:b/>
          <w:bCs/>
          <w:sz w:val="18"/>
          <w:szCs w:val="18"/>
        </w:rPr>
      </w:pPr>
    </w:p>
    <w:p>
      <w:pPr>
        <w:pStyle w:val="13"/>
        <w:keepNext w:val="0"/>
        <w:keepLines w:val="0"/>
        <w:pageBreakBefore w:val="0"/>
        <w:kinsoku/>
        <w:wordWrap/>
        <w:overflowPunct/>
        <w:topLinePunct w:val="0"/>
        <w:autoSpaceDE/>
        <w:autoSpaceDN/>
        <w:bidi w:val="0"/>
        <w:adjustRightInd/>
        <w:snapToGrid/>
        <w:spacing w:after="0" w:line="560" w:lineRule="exact"/>
        <w:ind w:firstLine="640" w:firstLineChars="200"/>
        <w:jc w:val="both"/>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bookmarkStart w:id="0" w:name="_GoBack"/>
      <w:bookmarkEnd w:id="0"/>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号）的要求，现将喀什地区英吉沙县商务和经济信息化委员会</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一、部门基本情况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（一）部门职能</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1.商经委：贯彻执行国家及自治区有关内外贸、外资和对外经济合作的法律、法规、规章和方针政策；协调整顿和规范市场经济秩序工作。做好市场经济运行分析及企业项目申报工作。</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招商局：贯彻执行国家、自治区、地区扩大对外开放的有关方针政策；负责全县招商引资的统筹、协调工作；会同有关部门制定全县招商引资年度工作目标并组织实施；组织招商活动，安排招商洽谈、开展协议、意向、合同会签中介活动；编制全县经济技术合作资料，为县委、政府招商引资、开展区域经济合作提供依据；检查督促落实引进资金及项目建设；协助引进企业解决项目建设期间的问题和困难，提供良好的投资发展环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（二）机构设置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baseline"/>
        <w:rPr>
          <w:rFonts w:ascii="仿宋" w:hAnsi="仿宋" w:eastAsia="仿宋"/>
          <w:kern w:val="0"/>
          <w:sz w:val="32"/>
          <w:szCs w:val="32"/>
        </w:rPr>
      </w:pPr>
      <w:r>
        <w:rPr>
          <w:rFonts w:hint="eastAsia" w:ascii="仿宋" w:hAnsi="仿宋" w:eastAsia="仿宋" w:cs="仿宋"/>
          <w:kern w:val="0"/>
          <w:sz w:val="32"/>
          <w:szCs w:val="32"/>
        </w:rPr>
        <w:t>根据职责，纳入</w:t>
      </w:r>
      <w:r>
        <w:rPr>
          <w:rFonts w:ascii="仿宋" w:hAnsi="仿宋" w:eastAsia="仿宋" w:cs="仿宋"/>
          <w:kern w:val="0"/>
          <w:sz w:val="32"/>
          <w:szCs w:val="32"/>
        </w:rPr>
        <w:t>2017</w:t>
      </w:r>
      <w:r>
        <w:rPr>
          <w:rFonts w:hint="eastAsia" w:ascii="仿宋" w:hAnsi="仿宋" w:eastAsia="仿宋" w:cs="仿宋"/>
          <w:kern w:val="0"/>
          <w:sz w:val="32"/>
          <w:szCs w:val="32"/>
        </w:rPr>
        <w:t>年部门预算编制范围的有英吉沙县商务和经济信息化委员会、县招商局。</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编制人数</w:t>
      </w:r>
      <w:r>
        <w:rPr>
          <w:rFonts w:ascii="仿宋" w:hAnsi="仿宋" w:eastAsia="仿宋" w:cs="仿宋"/>
          <w:sz w:val="32"/>
          <w:szCs w:val="32"/>
        </w:rPr>
        <w:t xml:space="preserve"> 17</w:t>
      </w:r>
      <w:r>
        <w:rPr>
          <w:rFonts w:hint="eastAsia" w:ascii="仿宋" w:hAnsi="仿宋" w:eastAsia="仿宋" w:cs="仿宋"/>
          <w:sz w:val="32"/>
          <w:szCs w:val="32"/>
        </w:rPr>
        <w:t>人，其中：行政人员编制</w:t>
      </w:r>
      <w:r>
        <w:rPr>
          <w:rFonts w:ascii="仿宋" w:hAnsi="仿宋" w:eastAsia="仿宋" w:cs="仿宋"/>
          <w:sz w:val="32"/>
          <w:szCs w:val="32"/>
        </w:rPr>
        <w:t xml:space="preserve"> 11</w:t>
      </w:r>
      <w:r>
        <w:rPr>
          <w:rFonts w:hint="eastAsia" w:ascii="仿宋" w:hAnsi="仿宋" w:eastAsia="仿宋" w:cs="仿宋"/>
          <w:sz w:val="32"/>
          <w:szCs w:val="32"/>
        </w:rPr>
        <w:t>人，参照公务员管理的事业单位人员编制</w:t>
      </w:r>
      <w:r>
        <w:rPr>
          <w:rFonts w:ascii="仿宋" w:hAnsi="仿宋" w:eastAsia="仿宋" w:cs="仿宋"/>
          <w:sz w:val="32"/>
          <w:szCs w:val="32"/>
        </w:rPr>
        <w:t>0</w:t>
      </w:r>
      <w:r>
        <w:rPr>
          <w:rFonts w:hint="eastAsia" w:ascii="仿宋" w:hAnsi="仿宋" w:eastAsia="仿宋" w:cs="仿宋"/>
          <w:sz w:val="32"/>
          <w:szCs w:val="32"/>
        </w:rPr>
        <w:t>人，全额拨款事业单位人员编制</w:t>
      </w:r>
      <w:r>
        <w:rPr>
          <w:rFonts w:ascii="仿宋" w:hAnsi="仿宋" w:eastAsia="仿宋" w:cs="仿宋"/>
          <w:sz w:val="32"/>
          <w:szCs w:val="32"/>
        </w:rPr>
        <w:t>5</w:t>
      </w:r>
      <w:r>
        <w:rPr>
          <w:rFonts w:hint="eastAsia" w:ascii="仿宋" w:hAnsi="仿宋" w:eastAsia="仿宋" w:cs="仿宋"/>
          <w:sz w:val="32"/>
          <w:szCs w:val="32"/>
        </w:rPr>
        <w:t>人</w:t>
      </w:r>
      <w:r>
        <w:rPr>
          <w:rFonts w:ascii="仿宋" w:hAnsi="仿宋" w:eastAsia="仿宋" w:cs="仿宋"/>
          <w:sz w:val="32"/>
          <w:szCs w:val="32"/>
        </w:rPr>
        <w:t>,</w:t>
      </w:r>
      <w:r>
        <w:rPr>
          <w:rFonts w:hint="eastAsia" w:ascii="仿宋" w:hAnsi="仿宋" w:eastAsia="仿宋" w:cs="仿宋"/>
          <w:sz w:val="32"/>
          <w:szCs w:val="32"/>
        </w:rPr>
        <w:t>机关工勤编制</w:t>
      </w:r>
      <w:r>
        <w:rPr>
          <w:rFonts w:ascii="仿宋" w:hAnsi="仿宋" w:eastAsia="仿宋" w:cs="仿宋"/>
          <w:sz w:val="32"/>
          <w:szCs w:val="32"/>
        </w:rPr>
        <w:t>1</w:t>
      </w:r>
      <w:r>
        <w:rPr>
          <w:rFonts w:hint="eastAsia" w:ascii="仿宋" w:hAnsi="仿宋" w:eastAsia="仿宋" w:cs="仿宋"/>
          <w:sz w:val="32"/>
          <w:szCs w:val="32"/>
        </w:rPr>
        <w:t>人。实有在职人数</w:t>
      </w:r>
      <w:r>
        <w:rPr>
          <w:rFonts w:ascii="仿宋" w:hAnsi="仿宋" w:eastAsia="仿宋" w:cs="仿宋"/>
          <w:sz w:val="32"/>
          <w:szCs w:val="32"/>
        </w:rPr>
        <w:t>12</w:t>
      </w:r>
      <w:r>
        <w:rPr>
          <w:rFonts w:hint="eastAsia" w:ascii="仿宋" w:hAnsi="仿宋" w:eastAsia="仿宋" w:cs="仿宋"/>
          <w:sz w:val="32"/>
          <w:szCs w:val="32"/>
        </w:rPr>
        <w:t>人，其中：行政在职</w:t>
      </w:r>
      <w:r>
        <w:rPr>
          <w:rFonts w:ascii="仿宋" w:hAnsi="仿宋" w:eastAsia="仿宋" w:cs="仿宋"/>
          <w:sz w:val="32"/>
          <w:szCs w:val="32"/>
        </w:rPr>
        <w:t xml:space="preserve"> 8</w:t>
      </w:r>
      <w:r>
        <w:rPr>
          <w:rFonts w:hint="eastAsia" w:ascii="仿宋" w:hAnsi="仿宋" w:eastAsia="仿宋" w:cs="仿宋"/>
          <w:sz w:val="32"/>
          <w:szCs w:val="32"/>
        </w:rPr>
        <w:t>人，参照公务员管理的事业单位人员</w:t>
      </w:r>
      <w:r>
        <w:rPr>
          <w:rFonts w:ascii="仿宋" w:hAnsi="仿宋" w:eastAsia="仿宋" w:cs="仿宋"/>
          <w:sz w:val="32"/>
          <w:szCs w:val="32"/>
        </w:rPr>
        <w:t xml:space="preserve"> 0</w:t>
      </w:r>
      <w:r>
        <w:rPr>
          <w:rFonts w:hint="eastAsia" w:ascii="仿宋" w:hAnsi="仿宋" w:eastAsia="仿宋" w:cs="仿宋"/>
          <w:sz w:val="32"/>
          <w:szCs w:val="32"/>
        </w:rPr>
        <w:t>人，事业在职</w:t>
      </w:r>
      <w:r>
        <w:rPr>
          <w:rFonts w:ascii="仿宋" w:hAnsi="仿宋" w:eastAsia="仿宋" w:cs="仿宋"/>
          <w:sz w:val="32"/>
          <w:szCs w:val="32"/>
        </w:rPr>
        <w:t xml:space="preserve"> 4</w:t>
      </w:r>
      <w:r>
        <w:rPr>
          <w:rFonts w:hint="eastAsia" w:ascii="仿宋" w:hAnsi="仿宋" w:eastAsia="仿宋" w:cs="仿宋"/>
          <w:sz w:val="32"/>
          <w:szCs w:val="32"/>
        </w:rPr>
        <w:t>人，工勤在职人数</w:t>
      </w:r>
      <w:r>
        <w:rPr>
          <w:rFonts w:ascii="仿宋" w:hAnsi="仿宋" w:eastAsia="仿宋" w:cs="仿宋"/>
          <w:sz w:val="32"/>
          <w:szCs w:val="32"/>
        </w:rPr>
        <w:t xml:space="preserve"> 0</w:t>
      </w:r>
      <w:r>
        <w:rPr>
          <w:rFonts w:hint="eastAsia" w:ascii="仿宋" w:hAnsi="仿宋" w:eastAsia="仿宋" w:cs="仿宋"/>
          <w:sz w:val="32"/>
          <w:szCs w:val="32"/>
        </w:rPr>
        <w:t>人。离退休人员</w:t>
      </w:r>
      <w:r>
        <w:rPr>
          <w:rFonts w:ascii="仿宋" w:hAnsi="仿宋" w:eastAsia="仿宋" w:cs="仿宋"/>
          <w:sz w:val="32"/>
          <w:szCs w:val="32"/>
        </w:rPr>
        <w:t>20</w:t>
      </w:r>
      <w:r>
        <w:rPr>
          <w:rFonts w:hint="eastAsia" w:ascii="仿宋" w:hAnsi="仿宋" w:eastAsia="仿宋" w:cs="仿宋"/>
          <w:sz w:val="32"/>
          <w:szCs w:val="32"/>
        </w:rPr>
        <w:t>人，其中：离休人员</w:t>
      </w:r>
      <w:r>
        <w:rPr>
          <w:rFonts w:ascii="仿宋" w:hAnsi="仿宋" w:eastAsia="仿宋" w:cs="仿宋"/>
          <w:sz w:val="32"/>
          <w:szCs w:val="32"/>
        </w:rPr>
        <w:t xml:space="preserve"> 0</w:t>
      </w:r>
      <w:r>
        <w:rPr>
          <w:rFonts w:hint="eastAsia" w:ascii="仿宋" w:hAnsi="仿宋" w:eastAsia="仿宋" w:cs="仿宋"/>
          <w:sz w:val="32"/>
          <w:szCs w:val="32"/>
        </w:rPr>
        <w:t>人，退休人员</w:t>
      </w:r>
      <w:r>
        <w:rPr>
          <w:rFonts w:ascii="仿宋" w:hAnsi="仿宋" w:eastAsia="仿宋" w:cs="仿宋"/>
          <w:sz w:val="32"/>
          <w:szCs w:val="32"/>
        </w:rPr>
        <w:t xml:space="preserve">20 </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w:t>
      </w:r>
      <w:r>
        <w:rPr>
          <w:rFonts w:ascii="仿宋" w:hAnsi="仿宋" w:eastAsia="仿宋" w:cs="仿宋"/>
          <w:sz w:val="32"/>
          <w:szCs w:val="32"/>
        </w:rPr>
        <w:t>20</w:t>
      </w:r>
      <w:r>
        <w:rPr>
          <w:rFonts w:hint="eastAsia" w:ascii="仿宋" w:hAnsi="仿宋" w:eastAsia="仿宋" w:cs="仿宋"/>
          <w:sz w:val="32"/>
          <w:szCs w:val="32"/>
        </w:rPr>
        <w:t>万元，其中：流动资产</w:t>
      </w:r>
      <w:r>
        <w:rPr>
          <w:rFonts w:ascii="仿宋" w:hAnsi="仿宋" w:eastAsia="仿宋" w:cs="仿宋"/>
          <w:sz w:val="32"/>
          <w:szCs w:val="32"/>
        </w:rPr>
        <w:t>0</w:t>
      </w:r>
      <w:r>
        <w:rPr>
          <w:rFonts w:hint="eastAsia" w:ascii="仿宋" w:hAnsi="仿宋" w:eastAsia="仿宋" w:cs="仿宋"/>
          <w:sz w:val="32"/>
          <w:szCs w:val="32"/>
        </w:rPr>
        <w:t>万元，固定资产</w:t>
      </w:r>
      <w:r>
        <w:rPr>
          <w:rFonts w:ascii="仿宋" w:hAnsi="仿宋" w:eastAsia="仿宋" w:cs="仿宋"/>
          <w:sz w:val="32"/>
          <w:szCs w:val="32"/>
        </w:rPr>
        <w:t xml:space="preserve"> 20</w:t>
      </w:r>
      <w:r>
        <w:rPr>
          <w:rFonts w:hint="eastAsia" w:ascii="仿宋" w:hAnsi="仿宋" w:eastAsia="仿宋" w:cs="仿宋"/>
          <w:sz w:val="32"/>
          <w:szCs w:val="32"/>
        </w:rPr>
        <w:t>万元，长期投资</w:t>
      </w:r>
      <w:r>
        <w:rPr>
          <w:rFonts w:ascii="仿宋" w:hAnsi="仿宋" w:eastAsia="仿宋" w:cs="仿宋"/>
          <w:sz w:val="32"/>
          <w:szCs w:val="32"/>
        </w:rPr>
        <w:t xml:space="preserve">0 </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 xml:space="preserve">0 </w:t>
      </w:r>
      <w:r>
        <w:rPr>
          <w:rFonts w:hint="eastAsia" w:ascii="仿宋" w:hAnsi="仿宋" w:eastAsia="仿宋" w:cs="仿宋"/>
          <w:sz w:val="32"/>
          <w:szCs w:val="32"/>
        </w:rPr>
        <w:t>万元，其他资产</w:t>
      </w:r>
      <w:r>
        <w:rPr>
          <w:rFonts w:ascii="仿宋" w:hAnsi="仿宋" w:eastAsia="仿宋" w:cs="仿宋"/>
          <w:sz w:val="32"/>
          <w:szCs w:val="32"/>
        </w:rPr>
        <w:t xml:space="preserve"> 0</w:t>
      </w:r>
      <w:r>
        <w:rPr>
          <w:rFonts w:hint="eastAsia" w:ascii="仿宋" w:hAnsi="仿宋" w:eastAsia="仿宋" w:cs="仿宋"/>
          <w:sz w:val="32"/>
          <w:szCs w:val="32"/>
        </w:rPr>
        <w:t>万元。拥有房屋</w:t>
      </w:r>
      <w:r>
        <w:rPr>
          <w:rFonts w:ascii="仿宋" w:hAnsi="仿宋" w:eastAsia="仿宋" w:cs="仿宋"/>
          <w:sz w:val="32"/>
          <w:szCs w:val="32"/>
        </w:rPr>
        <w:t xml:space="preserve"> 0</w:t>
      </w:r>
      <w:r>
        <w:rPr>
          <w:rFonts w:hint="eastAsia" w:ascii="仿宋" w:hAnsi="仿宋" w:eastAsia="仿宋" w:cs="仿宋"/>
          <w:sz w:val="32"/>
          <w:szCs w:val="32"/>
        </w:rPr>
        <w:t>平方米。汽车</w:t>
      </w:r>
      <w:r>
        <w:rPr>
          <w:rFonts w:ascii="仿宋" w:hAnsi="仿宋" w:eastAsia="仿宋" w:cs="仿宋"/>
          <w:sz w:val="32"/>
          <w:szCs w:val="32"/>
        </w:rPr>
        <w:t xml:space="preserve">2 </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w:t>
      </w:r>
      <w:r>
        <w:rPr>
          <w:rFonts w:hint="eastAsia" w:ascii="仿宋" w:hAnsi="仿宋" w:eastAsia="仿宋" w:cs="仿宋"/>
          <w:sz w:val="32"/>
          <w:szCs w:val="32"/>
        </w:rPr>
        <w:t>相比减少</w:t>
      </w:r>
      <w:r>
        <w:rPr>
          <w:rFonts w:ascii="仿宋" w:hAnsi="仿宋" w:eastAsia="仿宋" w:cs="仿宋"/>
          <w:sz w:val="32"/>
          <w:szCs w:val="32"/>
        </w:rPr>
        <w:t>12</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是一辆桑塔纳报废。</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 xml:space="preserve"> 384.33</w:t>
      </w:r>
      <w:r>
        <w:rPr>
          <w:rFonts w:hint="eastAsia" w:ascii="仿宋" w:hAnsi="仿宋" w:eastAsia="仿宋" w:cs="仿宋"/>
          <w:sz w:val="32"/>
          <w:szCs w:val="32"/>
        </w:rPr>
        <w:t>万元，其中：一般公共预算收入</w:t>
      </w:r>
      <w:r>
        <w:rPr>
          <w:rFonts w:ascii="仿宋" w:hAnsi="仿宋" w:eastAsia="仿宋" w:cs="仿宋"/>
          <w:sz w:val="32"/>
          <w:szCs w:val="32"/>
        </w:rPr>
        <w:t>384.33</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 xml:space="preserve"> 384.33</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支出分为基本支出和项目支出，其中：基本支出预算安排281.6</w:t>
      </w:r>
      <w:r>
        <w:rPr>
          <w:rFonts w:hint="eastAsia" w:ascii="仿宋" w:hAnsi="仿宋" w:eastAsia="仿宋" w:cs="仿宋"/>
          <w:sz w:val="32"/>
          <w:szCs w:val="32"/>
        </w:rPr>
        <w:t>万元，包括：工资福利支出 132.89</w:t>
      </w:r>
      <w:r>
        <w:rPr>
          <w:rFonts w:hint="eastAsia" w:ascii="仿宋" w:hAnsi="仿宋" w:eastAsia="仿宋" w:cs="仿宋"/>
          <w:sz w:val="32"/>
          <w:szCs w:val="32"/>
        </w:rPr>
        <w:t>万元，商品和服务支出3.13</w:t>
      </w:r>
      <w:r>
        <w:rPr>
          <w:rFonts w:hint="eastAsia" w:ascii="仿宋" w:hAnsi="仿宋" w:eastAsia="仿宋" w:cs="仿宋"/>
          <w:sz w:val="32"/>
          <w:szCs w:val="32"/>
        </w:rPr>
        <w:t>万元，对个人和家庭的补助支出145.57</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预算增加</w:t>
      </w:r>
      <w:r>
        <w:rPr>
          <w:rFonts w:ascii="仿宋" w:hAnsi="仿宋" w:eastAsia="仿宋" w:cs="仿宋"/>
          <w:sz w:val="32"/>
          <w:szCs w:val="32"/>
        </w:rPr>
        <w:t>27.28</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是拨付外汇奖励金。</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 xml:space="preserve"> 43</w:t>
      </w:r>
      <w:r>
        <w:rPr>
          <w:rFonts w:hint="eastAsia" w:ascii="仿宋" w:hAnsi="仿宋" w:eastAsia="仿宋" w:cs="仿宋"/>
          <w:sz w:val="32"/>
          <w:szCs w:val="32"/>
        </w:rPr>
        <w:t>万元，</w:t>
      </w:r>
      <w:r>
        <w:rPr>
          <w:rFonts w:hint="eastAsia" w:ascii="仿宋" w:hAnsi="仿宋" w:eastAsia="仿宋" w:cs="仿宋"/>
          <w:b/>
          <w:bCs/>
          <w:sz w:val="32"/>
          <w:szCs w:val="32"/>
        </w:rPr>
        <w:t>比上年</w:t>
      </w:r>
      <w:r>
        <w:rPr>
          <w:rFonts w:hint="eastAsia" w:ascii="仿宋" w:hAnsi="仿宋" w:eastAsia="仿宋" w:cs="仿宋"/>
          <w:sz w:val="32"/>
          <w:szCs w:val="32"/>
        </w:rPr>
        <w:t>预算减少</w:t>
      </w:r>
      <w:r>
        <w:rPr>
          <w:rFonts w:ascii="仿宋" w:hAnsi="仿宋" w:eastAsia="仿宋" w:cs="仿宋"/>
          <w:sz w:val="32"/>
          <w:szCs w:val="32"/>
        </w:rPr>
        <w:t>437</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是县级专项项目和专项业务费类项目未安排。</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按资金来源分类，预算支出合计</w:t>
      </w:r>
      <w:r>
        <w:rPr>
          <w:rFonts w:ascii="仿宋" w:hAnsi="仿宋" w:eastAsia="仿宋" w:cs="仿宋"/>
          <w:sz w:val="32"/>
          <w:szCs w:val="32"/>
        </w:rPr>
        <w:t xml:space="preserve"> 384.33</w:t>
      </w:r>
      <w:r>
        <w:rPr>
          <w:rFonts w:hint="eastAsia" w:ascii="仿宋" w:hAnsi="仿宋" w:eastAsia="仿宋" w:cs="仿宋"/>
          <w:sz w:val="32"/>
          <w:szCs w:val="32"/>
        </w:rPr>
        <w:t>万元，其中：一般公共预算支出</w:t>
      </w:r>
      <w:r>
        <w:rPr>
          <w:rFonts w:ascii="仿宋" w:hAnsi="仿宋" w:eastAsia="仿宋" w:cs="仿宋"/>
          <w:sz w:val="32"/>
          <w:szCs w:val="32"/>
        </w:rPr>
        <w:t>384.33</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 xml:space="preserve"> 0</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（三）机关运行经费情</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机关运行经费预算支出</w:t>
      </w:r>
      <w:r>
        <w:rPr>
          <w:rFonts w:ascii="仿宋" w:hAnsi="仿宋" w:eastAsia="仿宋" w:cs="仿宋"/>
          <w:sz w:val="32"/>
          <w:szCs w:val="32"/>
        </w:rPr>
        <w:t xml:space="preserve">3.13 </w:t>
      </w:r>
      <w:r>
        <w:rPr>
          <w:rFonts w:hint="eastAsia" w:ascii="仿宋" w:hAnsi="仿宋" w:eastAsia="仿宋" w:cs="仿宋"/>
          <w:sz w:val="32"/>
          <w:szCs w:val="32"/>
        </w:rPr>
        <w:t>万元，其中：一般公共预算支出</w:t>
      </w:r>
      <w:r>
        <w:rPr>
          <w:rFonts w:ascii="仿宋" w:hAnsi="仿宋" w:eastAsia="仿宋" w:cs="仿宋"/>
          <w:sz w:val="32"/>
          <w:szCs w:val="32"/>
        </w:rPr>
        <w:t xml:space="preserve"> 3.13</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 xml:space="preserve"> 0</w:t>
      </w:r>
      <w:r>
        <w:rPr>
          <w:rFonts w:hint="eastAsia" w:ascii="仿宋" w:hAnsi="仿宋" w:eastAsia="仿宋" w:cs="仿宋"/>
          <w:sz w:val="32"/>
          <w:szCs w:val="32"/>
        </w:rPr>
        <w:t>万元，其他收入支出</w:t>
      </w:r>
      <w:r>
        <w:rPr>
          <w:rFonts w:ascii="仿宋" w:hAnsi="仿宋" w:eastAsia="仿宋" w:cs="仿宋"/>
          <w:sz w:val="32"/>
          <w:szCs w:val="32"/>
        </w:rPr>
        <w:t xml:space="preserve"> 0</w:t>
      </w:r>
      <w:r>
        <w:rPr>
          <w:rFonts w:hint="eastAsia" w:ascii="仿宋" w:hAnsi="仿宋" w:eastAsia="仿宋" w:cs="仿宋"/>
          <w:sz w:val="32"/>
          <w:szCs w:val="32"/>
        </w:rPr>
        <w:t>万元，事业单位经营收入支出</w:t>
      </w:r>
      <w:r>
        <w:rPr>
          <w:rFonts w:ascii="仿宋" w:hAnsi="仿宋" w:eastAsia="仿宋" w:cs="仿宋"/>
          <w:sz w:val="32"/>
          <w:szCs w:val="32"/>
        </w:rPr>
        <w:t xml:space="preserve"> 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相比</w:t>
      </w:r>
      <w:r>
        <w:rPr>
          <w:rFonts w:ascii="仿宋" w:hAnsi="仿宋" w:eastAsia="仿宋" w:cs="仿宋"/>
          <w:sz w:val="32"/>
          <w:szCs w:val="32"/>
        </w:rPr>
        <w:t>5.89 %,</w:t>
      </w:r>
      <w:r>
        <w:rPr>
          <w:rFonts w:hint="eastAsia" w:ascii="仿宋" w:hAnsi="仿宋" w:eastAsia="仿宋" w:cs="仿宋"/>
          <w:b/>
          <w:bCs/>
          <w:sz w:val="32"/>
          <w:szCs w:val="32"/>
        </w:rPr>
        <w:t>主要原因</w:t>
      </w:r>
      <w:r>
        <w:rPr>
          <w:rFonts w:hint="eastAsia" w:ascii="仿宋" w:hAnsi="仿宋" w:eastAsia="仿宋" w:cs="仿宋"/>
          <w:sz w:val="32"/>
          <w:szCs w:val="32"/>
        </w:rPr>
        <w:t>是增加了印刷费</w:t>
      </w:r>
      <w:r>
        <w:rPr>
          <w:rFonts w:ascii="仿宋" w:hAnsi="仿宋" w:eastAsia="仿宋" w:cs="仿宋"/>
          <w:sz w:val="32"/>
          <w:szCs w:val="32"/>
        </w:rPr>
        <w:t xml:space="preserve"> </w:t>
      </w:r>
      <w:r>
        <w:rPr>
          <w:rFonts w:hint="eastAsia" w:ascii="仿宋" w:hAnsi="仿宋" w:eastAsia="仿宋" w:cs="仿宋"/>
          <w:sz w:val="32"/>
          <w:szCs w:val="32"/>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b/>
          <w:bCs/>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年喀什地区英吉沙县商务和经济信息化委员会财政拨款安排的“三公经费”预算安排总额为1.5</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 xml:space="preserve">, </w:t>
      </w:r>
      <w:r>
        <w:rPr>
          <w:rFonts w:hint="eastAsia" w:ascii="仿宋" w:hAnsi="仿宋" w:eastAsia="仿宋" w:cs="仿宋"/>
          <w:sz w:val="32"/>
          <w:szCs w:val="32"/>
        </w:rPr>
        <w:t>与上年相同，主要原因是无因公出国（境）事项等方面，</w:t>
      </w:r>
      <w:r>
        <w:rPr>
          <w:rFonts w:ascii="仿宋" w:hAnsi="仿宋" w:eastAsia="仿宋" w:cs="仿宋"/>
          <w:sz w:val="32"/>
          <w:szCs w:val="32"/>
        </w:rPr>
        <w:t xml:space="preserve"> 2017</w:t>
      </w:r>
      <w:r>
        <w:rPr>
          <w:rFonts w:hint="eastAsia" w:ascii="仿宋" w:hAnsi="仿宋" w:eastAsia="仿宋" w:cs="仿宋"/>
          <w:sz w:val="32"/>
          <w:szCs w:val="32"/>
        </w:rPr>
        <w:t>年因公出国（境）团组</w:t>
      </w:r>
      <w:r>
        <w:rPr>
          <w:rFonts w:ascii="仿宋" w:hAnsi="仿宋" w:eastAsia="仿宋" w:cs="仿宋"/>
          <w:sz w:val="32"/>
          <w:szCs w:val="32"/>
        </w:rPr>
        <w:t xml:space="preserve">0 </w:t>
      </w:r>
      <w:r>
        <w:rPr>
          <w:rFonts w:hint="eastAsia" w:ascii="仿宋" w:hAnsi="仿宋" w:eastAsia="仿宋" w:cs="仿宋"/>
          <w:sz w:val="32"/>
          <w:szCs w:val="32"/>
        </w:rPr>
        <w:t>组、人数</w:t>
      </w:r>
      <w:r>
        <w:rPr>
          <w:rFonts w:ascii="仿宋" w:hAnsi="仿宋" w:eastAsia="仿宋" w:cs="仿宋"/>
          <w:sz w:val="32"/>
          <w:szCs w:val="32"/>
        </w:rPr>
        <w:t xml:space="preserve">0 </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是无此方面支出，</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rPr>
          <w:rFonts w:ascii="仿宋" w:hAnsi="仿宋" w:eastAsia="仿宋" w:cs="Times New Roman"/>
          <w:sz w:val="32"/>
          <w:szCs w:val="32"/>
        </w:rPr>
      </w:pPr>
      <w:r>
        <w:rPr>
          <w:rFonts w:hint="eastAsia" w:ascii="仿宋" w:hAnsi="仿宋" w:eastAsia="仿宋" w:cs="仿宋"/>
          <w:b/>
          <w:bCs/>
          <w:sz w:val="32"/>
          <w:szCs w:val="32"/>
        </w:rPr>
        <w:t>（三）公务用车购置及运行维护费预算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1.5</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年车辆的汽油、维修、保险等方面的支出，</w:t>
      </w:r>
      <w:r>
        <w:rPr>
          <w:rFonts w:hint="eastAsia" w:ascii="仿宋" w:hAnsi="仿宋" w:eastAsia="仿宋" w:cs="仿宋"/>
          <w:b/>
          <w:bCs/>
          <w:sz w:val="32"/>
          <w:szCs w:val="32"/>
        </w:rPr>
        <w:t>比上年</w:t>
      </w:r>
      <w:r>
        <w:rPr>
          <w:rFonts w:hint="eastAsia" w:ascii="仿宋" w:hAnsi="仿宋" w:eastAsia="仿宋" w:cs="仿宋"/>
          <w:sz w:val="32"/>
          <w:szCs w:val="32"/>
        </w:rPr>
        <w:t>无变化，</w:t>
      </w:r>
      <w:r>
        <w:rPr>
          <w:rFonts w:hint="eastAsia" w:ascii="仿宋" w:hAnsi="仿宋" w:eastAsia="仿宋" w:cs="仿宋"/>
          <w:b/>
          <w:bCs/>
          <w:sz w:val="32"/>
          <w:szCs w:val="32"/>
        </w:rPr>
        <w:t>主要原因</w:t>
      </w:r>
      <w:r>
        <w:rPr>
          <w:rFonts w:hint="eastAsia" w:ascii="仿宋" w:hAnsi="仿宋" w:eastAsia="仿宋" w:cs="仿宋"/>
          <w:sz w:val="32"/>
          <w:szCs w:val="32"/>
        </w:rPr>
        <w:t>是车辆无变化。</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年喀什地区英吉沙县商务和经济信息化委员会财政拨款安排政府采购经费支出总计</w:t>
      </w:r>
      <w:r>
        <w:rPr>
          <w:rFonts w:ascii="仿宋" w:hAnsi="仿宋" w:eastAsia="仿宋" w:cs="仿宋"/>
          <w:sz w:val="32"/>
          <w:szCs w:val="32"/>
        </w:rPr>
        <w:t>0</w:t>
      </w:r>
      <w:r>
        <w:rPr>
          <w:rFonts w:hint="eastAsia" w:ascii="仿宋" w:hAnsi="仿宋" w:eastAsia="仿宋" w:cs="仿宋"/>
          <w:sz w:val="32"/>
          <w:szCs w:val="32"/>
        </w:rPr>
        <w:t>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五、预算绩效信息</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1</w:t>
      </w:r>
      <w:r>
        <w:rPr>
          <w:rFonts w:hint="eastAsia" w:ascii="仿宋" w:hAnsi="仿宋" w:eastAsia="仿宋" w:cs="仿宋"/>
          <w:sz w:val="32"/>
          <w:szCs w:val="32"/>
        </w:rPr>
        <w:t>个，涉及金额</w:t>
      </w:r>
      <w:r>
        <w:rPr>
          <w:rFonts w:ascii="仿宋" w:hAnsi="仿宋" w:eastAsia="仿宋" w:cs="仿宋"/>
          <w:sz w:val="32"/>
          <w:szCs w:val="32"/>
        </w:rPr>
        <w:t>43</w:t>
      </w:r>
      <w:r>
        <w:rPr>
          <w:rFonts w:hint="eastAsia" w:ascii="仿宋" w:hAnsi="仿宋" w:eastAsia="仿宋" w:cs="仿宋"/>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3" w:firstLineChars="200"/>
        <w:jc w:val="both"/>
        <w:rPr>
          <w:rFonts w:ascii="宋体"/>
          <w:b/>
          <w:bCs/>
          <w:color w:val="000000"/>
          <w:kern w:val="0"/>
          <w:sz w:val="32"/>
          <w:szCs w:val="32"/>
        </w:rPr>
      </w:pPr>
      <w:r>
        <w:rPr>
          <w:rFonts w:hint="eastAsia" w:ascii="宋体" w:hAnsi="宋体" w:cs="宋体"/>
          <w:b/>
          <w:bCs/>
          <w:color w:val="000000"/>
          <w:kern w:val="0"/>
          <w:sz w:val="32"/>
          <w:szCs w:val="32"/>
          <w:lang w:eastAsia="zh-CN"/>
        </w:rPr>
        <w:t>六、</w:t>
      </w:r>
      <w:r>
        <w:rPr>
          <w:rFonts w:hint="eastAsia" w:ascii="宋体" w:hAnsi="宋体" w:cs="宋体"/>
          <w:b/>
          <w:bCs/>
          <w:color w:val="000000"/>
          <w:kern w:val="0"/>
          <w:sz w:val="32"/>
          <w:szCs w:val="32"/>
        </w:rPr>
        <w:t>名词解释：</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一、财政拨款：指由一般公共预算、政府性基金预算</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安排的财政拨款数。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二、一般公共预算：包括公共财政拨款（补助）资金、</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专项收入。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三、财政专户管理资金：包括专户管理行政事业性收费</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（主要是教育收费）、其他非税收入。</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四、其他资金：包括事业收入、经营收入、其他收入等。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五、基本支出：包括人员经费、商品和服务支出（定额）。其中，人员经费包括工资福利支出、对个人和家庭的补助。</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六、项目支出：部门支出预算的组成部分，是自治区本级部门为完成其特定的行政任务或事业发展目标，在基本支出预算之外编制的年度项目支出计划。</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八、机关运行经费：指各部门的公用经费，包括办公及印刷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费、邮电费、差旅费、会议费、福利费、日常维修费、专用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 w:hAnsi="仿宋" w:eastAsia="仿宋"/>
          <w:kern w:val="0"/>
          <w:sz w:val="32"/>
          <w:szCs w:val="32"/>
        </w:rPr>
      </w:pPr>
      <w:r>
        <w:rPr>
          <w:rFonts w:hint="eastAsia" w:ascii="仿宋" w:hAnsi="仿宋" w:eastAsia="仿宋" w:cs="仿宋"/>
          <w:kern w:val="0"/>
          <w:sz w:val="32"/>
          <w:szCs w:val="32"/>
        </w:rPr>
        <w:t>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sz w:val="32"/>
          <w:szCs w:val="32"/>
        </w:rPr>
      </w:pPr>
      <w:r>
        <w:rPr>
          <w:rFonts w:hint="eastAsia" w:ascii="仿宋" w:hAnsi="仿宋" w:eastAsia="仿宋" w:cs="仿宋"/>
          <w:sz w:val="32"/>
          <w:szCs w:val="32"/>
          <w:lang w:eastAsia="zh-CN"/>
        </w:rPr>
        <w:t>喀什地区</w:t>
      </w:r>
      <w:r>
        <w:rPr>
          <w:rFonts w:hint="eastAsia" w:ascii="仿宋" w:hAnsi="仿宋" w:eastAsia="仿宋" w:cs="仿宋"/>
          <w:sz w:val="32"/>
          <w:szCs w:val="32"/>
        </w:rPr>
        <w:t>英吉沙县商务和经济信息化委员会</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rPr>
          <w:rFonts w:ascii="仿宋" w:hAnsi="仿宋" w:eastAsia="仿宋"/>
          <w:kern w:val="0"/>
          <w:sz w:val="32"/>
          <w:szCs w:val="32"/>
        </w:rPr>
      </w:pPr>
      <w:r>
        <w:rPr>
          <w:rFonts w:ascii="仿宋" w:hAnsi="仿宋" w:eastAsia="仿宋" w:cs="仿宋"/>
          <w:sz w:val="32"/>
          <w:szCs w:val="32"/>
        </w:rPr>
        <w:t>2017</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A2E"/>
    <w:rsid w:val="000D70A7"/>
    <w:rsid w:val="00166DFE"/>
    <w:rsid w:val="001816DA"/>
    <w:rsid w:val="00226681"/>
    <w:rsid w:val="00292F74"/>
    <w:rsid w:val="002E6EAF"/>
    <w:rsid w:val="004C0DCE"/>
    <w:rsid w:val="004D2BD5"/>
    <w:rsid w:val="006A1D6C"/>
    <w:rsid w:val="00713016"/>
    <w:rsid w:val="00722157"/>
    <w:rsid w:val="00734A0F"/>
    <w:rsid w:val="007B6A99"/>
    <w:rsid w:val="008227E0"/>
    <w:rsid w:val="00862B9F"/>
    <w:rsid w:val="0088355B"/>
    <w:rsid w:val="00924E75"/>
    <w:rsid w:val="0096444D"/>
    <w:rsid w:val="009E2E9B"/>
    <w:rsid w:val="00A23CE8"/>
    <w:rsid w:val="00A420DA"/>
    <w:rsid w:val="00A61AAA"/>
    <w:rsid w:val="00A7203C"/>
    <w:rsid w:val="00AF4F1E"/>
    <w:rsid w:val="00B0624B"/>
    <w:rsid w:val="00B47EF5"/>
    <w:rsid w:val="00BA4610"/>
    <w:rsid w:val="00BC3BFC"/>
    <w:rsid w:val="00C27677"/>
    <w:rsid w:val="00C51AFA"/>
    <w:rsid w:val="00CB0198"/>
    <w:rsid w:val="00D01C5D"/>
    <w:rsid w:val="00EA56B9"/>
    <w:rsid w:val="00F86A2E"/>
    <w:rsid w:val="00FF6939"/>
    <w:rsid w:val="00FF7A5B"/>
    <w:rsid w:val="54EA70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99"/>
    <w:pPr>
      <w:widowControl/>
      <w:spacing w:before="240" w:after="240"/>
      <w:jc w:val="left"/>
      <w:outlineLvl w:val="0"/>
    </w:pPr>
    <w:rPr>
      <w:rFonts w:ascii="宋体" w:hAnsi="宋体" w:cs="宋体"/>
      <w:b/>
      <w:bCs/>
      <w:kern w:val="36"/>
      <w:sz w:val="43"/>
      <w:szCs w:val="43"/>
    </w:rPr>
  </w:style>
  <w:style w:type="character" w:default="1" w:styleId="8">
    <w:name w:val="Default Paragraph Font"/>
    <w:semiHidden/>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5"/>
    <w:semiHidden/>
    <w:uiPriority w:val="99"/>
    <w:pPr>
      <w:jc w:val="left"/>
    </w:pPr>
  </w:style>
  <w:style w:type="paragraph" w:styleId="4">
    <w:name w:val="Balloon Text"/>
    <w:basedOn w:val="1"/>
    <w:link w:val="16"/>
    <w:semiHidden/>
    <w:uiPriority w:val="99"/>
    <w:rPr>
      <w:sz w:val="18"/>
      <w:szCs w:val="18"/>
    </w:rPr>
  </w:style>
  <w:style w:type="paragraph" w:styleId="5">
    <w:name w:val="footer"/>
    <w:basedOn w:val="1"/>
    <w:link w:val="12"/>
    <w:uiPriority w:val="99"/>
    <w:pPr>
      <w:tabs>
        <w:tab w:val="center" w:pos="4153"/>
        <w:tab w:val="right" w:pos="8306"/>
      </w:tabs>
      <w:snapToGrid w:val="0"/>
      <w:jc w:val="left"/>
    </w:pPr>
    <w:rPr>
      <w:sz w:val="18"/>
      <w:szCs w:val="18"/>
    </w:rPr>
  </w:style>
  <w:style w:type="paragraph" w:styleId="6">
    <w:name w:val="header"/>
    <w:basedOn w:val="1"/>
    <w:link w:val="14"/>
    <w:semiHidden/>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widowControl/>
      <w:spacing w:before="100" w:beforeAutospacing="1" w:after="240"/>
      <w:jc w:val="left"/>
    </w:pPr>
    <w:rPr>
      <w:rFonts w:ascii="宋体" w:hAnsi="宋体" w:cs="宋体"/>
      <w:kern w:val="0"/>
      <w:sz w:val="24"/>
      <w:szCs w:val="24"/>
    </w:rPr>
  </w:style>
  <w:style w:type="character" w:styleId="9">
    <w:name w:val="annotation reference"/>
    <w:basedOn w:val="8"/>
    <w:semiHidden/>
    <w:uiPriority w:val="99"/>
    <w:rPr>
      <w:sz w:val="21"/>
      <w:szCs w:val="21"/>
    </w:rPr>
  </w:style>
  <w:style w:type="character" w:customStyle="1" w:styleId="11">
    <w:name w:val="Heading 1 Char"/>
    <w:basedOn w:val="8"/>
    <w:link w:val="2"/>
    <w:locked/>
    <w:uiPriority w:val="99"/>
    <w:rPr>
      <w:rFonts w:ascii="宋体" w:hAnsi="宋体" w:eastAsia="宋体" w:cs="宋体"/>
      <w:b/>
      <w:bCs/>
      <w:kern w:val="36"/>
      <w:sz w:val="43"/>
      <w:szCs w:val="43"/>
    </w:rPr>
  </w:style>
  <w:style w:type="character" w:customStyle="1" w:styleId="12">
    <w:name w:val="Footer Char"/>
    <w:basedOn w:val="8"/>
    <w:link w:val="5"/>
    <w:locked/>
    <w:uiPriority w:val="99"/>
    <w:rPr>
      <w:rFonts w:ascii="Times New Roman" w:hAnsi="Times New Roman" w:eastAsia="宋体" w:cs="Times New Roman"/>
      <w:sz w:val="18"/>
      <w:szCs w:val="18"/>
    </w:rPr>
  </w:style>
  <w:style w:type="paragraph" w:customStyle="1" w:styleId="13">
    <w:name w:val="notice_title"/>
    <w:basedOn w:val="1"/>
    <w:uiPriority w:val="99"/>
    <w:pPr>
      <w:widowControl/>
      <w:spacing w:after="225"/>
      <w:jc w:val="center"/>
    </w:pPr>
    <w:rPr>
      <w:rFonts w:ascii="宋体" w:hAnsi="宋体" w:cs="宋体"/>
      <w:b/>
      <w:bCs/>
      <w:color w:val="771325"/>
      <w:kern w:val="0"/>
    </w:rPr>
  </w:style>
  <w:style w:type="character" w:customStyle="1" w:styleId="14">
    <w:name w:val="Header Char"/>
    <w:basedOn w:val="8"/>
    <w:link w:val="6"/>
    <w:semiHidden/>
    <w:locked/>
    <w:uiPriority w:val="99"/>
    <w:rPr>
      <w:rFonts w:ascii="Times New Roman" w:hAnsi="Times New Roman" w:eastAsia="宋体" w:cs="Times New Roman"/>
      <w:sz w:val="18"/>
      <w:szCs w:val="18"/>
    </w:rPr>
  </w:style>
  <w:style w:type="character" w:customStyle="1" w:styleId="15">
    <w:name w:val="Comment Text Char"/>
    <w:basedOn w:val="8"/>
    <w:link w:val="3"/>
    <w:semiHidden/>
    <w:locked/>
    <w:uiPriority w:val="99"/>
    <w:rPr>
      <w:rFonts w:ascii="Times New Roman" w:hAnsi="Times New Roman" w:eastAsia="宋体" w:cs="Times New Roman"/>
      <w:sz w:val="24"/>
      <w:szCs w:val="24"/>
    </w:rPr>
  </w:style>
  <w:style w:type="character" w:customStyle="1" w:styleId="16">
    <w:name w:val="Balloon Text Char"/>
    <w:basedOn w:val="8"/>
    <w:link w:val="4"/>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5</Pages>
  <Words>360</Words>
  <Characters>2054</Characters>
  <Lines>0</Lines>
  <Paragraphs>0</Paragraphs>
  <TotalTime>18</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2018-12-26T10:15:00Z</dcterms:created>
  <dc:creator>Administrator</dc:creator>
  <cp:lastModifiedBy>lenovo</cp:lastModifiedBy>
  <dcterms:modified xsi:type="dcterms:W3CDTF">2019-01-02T11:38:54Z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