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after="0" w:line="560" w:lineRule="exact"/>
        <w:jc w:val="center"/>
        <w:rPr>
          <w:rFonts w:ascii="黑体" w:hAnsi="黑体" w:eastAsia="黑体" w:cs="Times New Roman"/>
          <w:b w:val="0"/>
          <w:bCs w:val="0"/>
          <w:sz w:val="44"/>
          <w:szCs w:val="44"/>
        </w:rPr>
      </w:pPr>
      <w:r>
        <w:rPr>
          <w:rFonts w:hint="eastAsia" w:ascii="黑体" w:hAnsi="黑体" w:eastAsia="黑体" w:cs="黑体"/>
          <w:b w:val="0"/>
          <w:bCs w:val="0"/>
          <w:sz w:val="44"/>
          <w:szCs w:val="44"/>
        </w:rPr>
        <w:t>喀什地区英吉沙县环境保护局</w:t>
      </w:r>
      <w:r>
        <w:rPr>
          <w:rFonts w:ascii="黑体" w:hAnsi="黑体" w:eastAsia="黑体" w:cs="黑体"/>
          <w:b w:val="0"/>
          <w:bCs w:val="0"/>
          <w:sz w:val="44"/>
          <w:szCs w:val="44"/>
        </w:rPr>
        <w:t>2017</w:t>
      </w:r>
      <w:r>
        <w:rPr>
          <w:rFonts w:hint="eastAsia" w:ascii="黑体" w:hAnsi="黑体" w:eastAsia="黑体" w:cs="黑体"/>
          <w:b w:val="0"/>
          <w:bCs w:val="0"/>
          <w:sz w:val="44"/>
          <w:szCs w:val="44"/>
        </w:rPr>
        <w:t>年部门预算信息公开说明</w:t>
      </w:r>
    </w:p>
    <w:p>
      <w:pPr>
        <w:pStyle w:val="8"/>
        <w:shd w:val="clear" w:color="auto" w:fill="FFFFFF"/>
        <w:spacing w:before="0" w:beforeAutospacing="0" w:after="0" w:line="560" w:lineRule="exact"/>
        <w:ind w:firstLine="361" w:firstLineChars="200"/>
        <w:jc w:val="both"/>
        <w:rPr>
          <w:rFonts w:ascii="黑体" w:hAnsi="黑体" w:eastAsia="黑体" w:cs="Times New Roman"/>
          <w:b/>
          <w:bCs/>
          <w:sz w:val="18"/>
          <w:szCs w:val="18"/>
        </w:rPr>
      </w:pPr>
    </w:p>
    <w:p>
      <w:pPr>
        <w:pStyle w:val="18"/>
        <w:spacing w:after="0" w:line="560" w:lineRule="exact"/>
        <w:ind w:firstLine="640" w:firstLineChars="200"/>
        <w:jc w:val="both"/>
        <w:rPr>
          <w:rFonts w:ascii="仿宋" w:hAnsi="仿宋" w:eastAsia="仿宋" w:cs="Times New Roman"/>
          <w:b w:val="0"/>
          <w:bCs w:val="0"/>
          <w:color w:val="auto"/>
          <w:sz w:val="32"/>
          <w:szCs w:val="32"/>
        </w:rPr>
      </w:pPr>
      <w:r>
        <w:rPr>
          <w:rFonts w:hint="eastAsia" w:ascii="仿宋" w:hAnsi="仿宋" w:eastAsia="仿宋" w:cs="仿宋"/>
          <w:b w:val="0"/>
          <w:bCs w:val="0"/>
          <w:color w:val="auto"/>
          <w:sz w:val="32"/>
          <w:szCs w:val="32"/>
        </w:rPr>
        <w:t>为进一步增强政府预算透明度，提升预算管理水平，更好地保障公民的知情权、参与权和监督权，根据喀什地区《关于</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年部门预算信息公开工作的通知》（喀地财预﹝</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w:t>
      </w:r>
      <w:r>
        <w:rPr>
          <w:rFonts w:ascii="仿宋" w:hAnsi="仿宋" w:eastAsia="仿宋" w:cs="仿宋"/>
          <w:b w:val="0"/>
          <w:bCs w:val="0"/>
          <w:color w:val="auto"/>
          <w:sz w:val="32"/>
          <w:szCs w:val="32"/>
        </w:rPr>
        <w:t>40</w:t>
      </w:r>
      <w:r>
        <w:rPr>
          <w:rFonts w:hint="eastAsia" w:ascii="仿宋" w:hAnsi="仿宋" w:eastAsia="仿宋" w:cs="仿宋"/>
          <w:b w:val="0"/>
          <w:bCs w:val="0"/>
          <w:color w:val="auto"/>
          <w:sz w:val="32"/>
          <w:szCs w:val="32"/>
        </w:rPr>
        <w:t>号）的要求，现将喀什地区英吉沙县环境保护局</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年部门预算及“三公经费”信息公开如下：</w:t>
      </w:r>
    </w:p>
    <w:p>
      <w:pPr>
        <w:pStyle w:val="8"/>
        <w:shd w:val="clear" w:color="auto" w:fill="FFFFFF"/>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一、部门基本情况</w:t>
      </w:r>
    </w:p>
    <w:p>
      <w:pPr>
        <w:pStyle w:val="8"/>
        <w:shd w:val="clear" w:color="auto" w:fill="FFFFFF"/>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（一）部门职能</w:t>
      </w:r>
    </w:p>
    <w:p>
      <w:pPr>
        <w:pStyle w:val="8"/>
        <w:shd w:val="clear" w:color="auto" w:fill="FFFFFF"/>
        <w:spacing w:before="0" w:beforeAutospacing="0" w:after="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1、落实国家环境保护基本制度。贯彻执行国家和自治区环境保护政策、规划，组织实施英吉沙县环境保护政策、规划，起草规定、条例草案。</w:t>
      </w:r>
    </w:p>
    <w:p>
      <w:pPr>
        <w:pStyle w:val="8"/>
        <w:shd w:val="clear" w:color="auto" w:fill="FFFFFF"/>
        <w:spacing w:before="0" w:beforeAutospacing="0" w:after="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2、组织编制英吉沙县环境功能区划。</w:t>
      </w:r>
    </w:p>
    <w:p>
      <w:pPr>
        <w:pStyle w:val="8"/>
        <w:shd w:val="clear" w:color="auto" w:fill="FFFFFF"/>
        <w:spacing w:before="0" w:beforeAutospacing="0" w:after="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3、组织拟订英吉沙县重要饮用水水源地、重点区域、流域、地下水污染防治规划并监督实施。</w:t>
      </w:r>
    </w:p>
    <w:p>
      <w:pPr>
        <w:pStyle w:val="8"/>
        <w:shd w:val="clear" w:color="auto" w:fill="FFFFFF"/>
        <w:spacing w:before="0" w:beforeAutospacing="0" w:after="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4、负责重大环境问题的统筹协调和监督管理。</w:t>
      </w:r>
    </w:p>
    <w:p>
      <w:pPr>
        <w:pStyle w:val="8"/>
        <w:shd w:val="clear" w:color="auto" w:fill="FFFFFF"/>
        <w:spacing w:before="0" w:beforeAutospacing="0" w:after="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5、组织协调重大环境污染事故和生态破坏事件的调查处理，指导协调重大突发环境事件的应急、预警工作；协调解决有关跨区域环境污染纠纷，统筹协调英吉沙县流域、区域污染防治工作。</w:t>
      </w:r>
    </w:p>
    <w:p>
      <w:pPr>
        <w:pStyle w:val="8"/>
        <w:shd w:val="clear" w:color="auto" w:fill="FFFFFF"/>
        <w:spacing w:before="0" w:beforeAutospacing="0" w:after="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6、承担落实英吉沙县减排目标的责任。执行国家主要污染物排放总量控制和排污许可证制度，按照地区减排目标制定英吉沙县总量控制计划并组织实施、督查、督办、核查各企业污染物减排任务完成情况；实施环境保护目标责任制、总量减排考核并公布考核结果。</w:t>
      </w:r>
    </w:p>
    <w:p>
      <w:pPr>
        <w:pStyle w:val="8"/>
        <w:shd w:val="clear" w:color="auto" w:fill="FFFFFF"/>
        <w:spacing w:before="0" w:beforeAutospacing="0" w:after="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7、承担从源头上预防、控制环境污染和环境破坏的责任。负责环境污染防治的监督管理。协调、监督生态保护工作。负责核安全和辐射安全的监督管理。</w:t>
      </w:r>
    </w:p>
    <w:p>
      <w:pPr>
        <w:pStyle w:val="8"/>
        <w:shd w:val="clear" w:color="auto" w:fill="FFFFFF"/>
        <w:spacing w:before="0" w:beforeAutospacing="0" w:after="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8、负责环境监测和信息发布。组织、协调环境保护宣传教育工作。承办县委、县政府交办的其他事项。</w:t>
      </w:r>
    </w:p>
    <w:p>
      <w:pPr>
        <w:pStyle w:val="8"/>
        <w:shd w:val="clear" w:color="auto" w:fill="FFFFFF"/>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（二）机构设置</w:t>
      </w:r>
    </w:p>
    <w:p>
      <w:pPr>
        <w:pStyle w:val="8"/>
        <w:shd w:val="clear" w:color="auto" w:fill="FFFFFF"/>
        <w:spacing w:before="0" w:beforeAutospacing="0" w:after="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根据职责，纳入</w:t>
      </w:r>
      <w:r>
        <w:rPr>
          <w:rFonts w:ascii="仿宋" w:hAnsi="仿宋" w:eastAsia="仿宋" w:cs="仿宋"/>
          <w:sz w:val="32"/>
          <w:szCs w:val="32"/>
        </w:rPr>
        <w:t>2017</w:t>
      </w:r>
      <w:r>
        <w:rPr>
          <w:rFonts w:hint="eastAsia" w:ascii="仿宋" w:hAnsi="仿宋" w:eastAsia="仿宋" w:cs="仿宋"/>
          <w:sz w:val="32"/>
          <w:szCs w:val="32"/>
        </w:rPr>
        <w:t>年部门预算编制范围的有英吉沙县环境保护局</w:t>
      </w:r>
      <w:r>
        <w:rPr>
          <w:rFonts w:ascii="仿宋" w:hAnsi="仿宋" w:eastAsia="仿宋" w:cs="仿宋"/>
          <w:sz w:val="32"/>
          <w:szCs w:val="32"/>
        </w:rPr>
        <w:t>.</w:t>
      </w:r>
    </w:p>
    <w:p>
      <w:pPr>
        <w:pStyle w:val="8"/>
        <w:shd w:val="clear" w:color="auto" w:fill="FFFFFF"/>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（三）人员编制</w:t>
      </w:r>
    </w:p>
    <w:p>
      <w:pPr>
        <w:pStyle w:val="8"/>
        <w:shd w:val="clear" w:color="auto" w:fill="FFFFFF"/>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编制人数12人，其中：行政人员编制4人，参照公务员管理的事业单位人员编制6人，全额拨款事业单位人员编制2人。实有在职人数12人，其中：行政在职4人，参照公务员管理的事业单位人员6人，事业在职2人，工勤在职人数</w:t>
      </w:r>
      <w:r>
        <w:rPr>
          <w:rFonts w:ascii="仿宋" w:hAnsi="仿宋" w:eastAsia="仿宋" w:cs="仿宋"/>
          <w:sz w:val="32"/>
          <w:szCs w:val="32"/>
        </w:rPr>
        <w:t>0</w:t>
      </w:r>
      <w:r>
        <w:rPr>
          <w:rFonts w:hint="eastAsia" w:ascii="仿宋" w:hAnsi="仿宋" w:eastAsia="仿宋" w:cs="仿宋"/>
          <w:sz w:val="32"/>
          <w:szCs w:val="32"/>
        </w:rPr>
        <w:t>人。离退休人员</w:t>
      </w:r>
      <w:r>
        <w:rPr>
          <w:rFonts w:ascii="仿宋" w:hAnsi="仿宋" w:eastAsia="仿宋" w:cs="仿宋"/>
          <w:sz w:val="32"/>
          <w:szCs w:val="32"/>
        </w:rPr>
        <w:t>4</w:t>
      </w:r>
      <w:r>
        <w:rPr>
          <w:rFonts w:hint="eastAsia" w:ascii="仿宋" w:hAnsi="仿宋" w:eastAsia="仿宋" w:cs="仿宋"/>
          <w:sz w:val="32"/>
          <w:szCs w:val="32"/>
        </w:rPr>
        <w:t>人，其中：离休人员</w:t>
      </w:r>
      <w:r>
        <w:rPr>
          <w:rFonts w:ascii="仿宋" w:hAnsi="仿宋" w:eastAsia="仿宋" w:cs="仿宋"/>
          <w:sz w:val="32"/>
          <w:szCs w:val="32"/>
        </w:rPr>
        <w:t>0</w:t>
      </w:r>
      <w:r>
        <w:rPr>
          <w:rFonts w:hint="eastAsia" w:ascii="仿宋" w:hAnsi="仿宋" w:eastAsia="仿宋" w:cs="仿宋"/>
          <w:sz w:val="32"/>
          <w:szCs w:val="32"/>
        </w:rPr>
        <w:t>人，退休人员</w:t>
      </w:r>
      <w:r>
        <w:rPr>
          <w:rFonts w:ascii="仿宋" w:hAnsi="仿宋" w:eastAsia="仿宋" w:cs="仿宋"/>
          <w:sz w:val="32"/>
          <w:szCs w:val="32"/>
        </w:rPr>
        <w:t>4</w:t>
      </w:r>
      <w:r>
        <w:rPr>
          <w:rFonts w:hint="eastAsia" w:ascii="仿宋" w:hAnsi="仿宋" w:eastAsia="仿宋" w:cs="仿宋"/>
          <w:sz w:val="32"/>
          <w:szCs w:val="32"/>
        </w:rPr>
        <w:t>人。</w:t>
      </w:r>
    </w:p>
    <w:p>
      <w:pPr>
        <w:pStyle w:val="8"/>
        <w:shd w:val="clear" w:color="auto" w:fill="FFFFFF"/>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（四）资产情况</w:t>
      </w:r>
    </w:p>
    <w:p>
      <w:pPr>
        <w:pStyle w:val="8"/>
        <w:shd w:val="clear" w:color="auto" w:fill="FFFFFF"/>
        <w:spacing w:before="0" w:beforeAutospacing="0" w:after="0" w:line="560" w:lineRule="exact"/>
        <w:ind w:firstLine="640" w:firstLineChars="200"/>
        <w:jc w:val="both"/>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年单位占有使用国有资产</w:t>
      </w:r>
      <w:r>
        <w:rPr>
          <w:rFonts w:ascii="仿宋" w:hAnsi="仿宋" w:eastAsia="仿宋" w:cs="仿宋"/>
          <w:sz w:val="32"/>
          <w:szCs w:val="32"/>
        </w:rPr>
        <w:t>716.</w:t>
      </w:r>
      <w:r>
        <w:rPr>
          <w:rFonts w:hint="eastAsia" w:ascii="仿宋" w:hAnsi="仿宋" w:eastAsia="仿宋" w:cs="仿宋"/>
          <w:sz w:val="32"/>
          <w:szCs w:val="32"/>
        </w:rPr>
        <w:t>13万元，其中：流动资产</w:t>
      </w:r>
      <w:r>
        <w:rPr>
          <w:rFonts w:ascii="仿宋" w:hAnsi="仿宋" w:eastAsia="仿宋" w:cs="仿宋"/>
          <w:sz w:val="32"/>
          <w:szCs w:val="32"/>
        </w:rPr>
        <w:t>14.12</w:t>
      </w:r>
      <w:r>
        <w:rPr>
          <w:rFonts w:hint="eastAsia" w:ascii="仿宋" w:hAnsi="仿宋" w:eastAsia="仿宋" w:cs="仿宋"/>
          <w:sz w:val="32"/>
          <w:szCs w:val="32"/>
        </w:rPr>
        <w:t>万元，固定资产</w:t>
      </w:r>
      <w:r>
        <w:rPr>
          <w:rFonts w:ascii="仿宋" w:hAnsi="仿宋" w:eastAsia="仿宋" w:cs="仿宋"/>
          <w:sz w:val="32"/>
          <w:szCs w:val="32"/>
        </w:rPr>
        <w:t>702.0</w:t>
      </w:r>
      <w:r>
        <w:rPr>
          <w:rFonts w:hint="eastAsia" w:ascii="仿宋" w:hAnsi="仿宋" w:eastAsia="仿宋" w:cs="仿宋"/>
          <w:sz w:val="32"/>
          <w:szCs w:val="32"/>
        </w:rPr>
        <w:t>1万元，长期投资</w:t>
      </w:r>
      <w:r>
        <w:rPr>
          <w:rFonts w:ascii="仿宋" w:hAnsi="仿宋" w:eastAsia="仿宋" w:cs="仿宋"/>
          <w:sz w:val="32"/>
          <w:szCs w:val="32"/>
        </w:rPr>
        <w:t>0</w:t>
      </w:r>
      <w:r>
        <w:rPr>
          <w:rFonts w:hint="eastAsia" w:ascii="仿宋" w:hAnsi="仿宋" w:eastAsia="仿宋" w:cs="仿宋"/>
          <w:sz w:val="32"/>
          <w:szCs w:val="32"/>
        </w:rPr>
        <w:t>万元，在建工程</w:t>
      </w:r>
      <w:r>
        <w:rPr>
          <w:rFonts w:ascii="仿宋" w:hAnsi="仿宋" w:eastAsia="仿宋" w:cs="仿宋"/>
          <w:sz w:val="32"/>
          <w:szCs w:val="32"/>
        </w:rPr>
        <w:t>0</w:t>
      </w:r>
      <w:r>
        <w:rPr>
          <w:rFonts w:hint="eastAsia" w:ascii="仿宋" w:hAnsi="仿宋" w:eastAsia="仿宋" w:cs="仿宋"/>
          <w:sz w:val="32"/>
          <w:szCs w:val="32"/>
        </w:rPr>
        <w:t>万元，无形资产</w:t>
      </w:r>
      <w:r>
        <w:rPr>
          <w:rFonts w:ascii="仿宋" w:hAnsi="仿宋" w:eastAsia="仿宋" w:cs="仿宋"/>
          <w:sz w:val="32"/>
          <w:szCs w:val="32"/>
        </w:rPr>
        <w:t>0</w:t>
      </w:r>
      <w:r>
        <w:rPr>
          <w:rFonts w:hint="eastAsia" w:ascii="仿宋" w:hAnsi="仿宋" w:eastAsia="仿宋" w:cs="仿宋"/>
          <w:sz w:val="32"/>
          <w:szCs w:val="32"/>
        </w:rPr>
        <w:t>万元，其他资产</w:t>
      </w:r>
      <w:r>
        <w:rPr>
          <w:rFonts w:ascii="仿宋" w:hAnsi="仿宋" w:eastAsia="仿宋" w:cs="仿宋"/>
          <w:sz w:val="32"/>
          <w:szCs w:val="32"/>
        </w:rPr>
        <w:t>0</w:t>
      </w:r>
      <w:r>
        <w:rPr>
          <w:rFonts w:hint="eastAsia" w:ascii="仿宋" w:hAnsi="仿宋" w:eastAsia="仿宋" w:cs="仿宋"/>
          <w:sz w:val="32"/>
          <w:szCs w:val="32"/>
        </w:rPr>
        <w:t>万元。拥有房屋</w:t>
      </w:r>
      <w:r>
        <w:rPr>
          <w:rFonts w:ascii="仿宋" w:hAnsi="仿宋" w:eastAsia="仿宋" w:cs="仿宋"/>
          <w:sz w:val="32"/>
          <w:szCs w:val="32"/>
        </w:rPr>
        <w:t>3335.2</w:t>
      </w:r>
      <w:r>
        <w:rPr>
          <w:rFonts w:hint="eastAsia" w:ascii="仿宋" w:hAnsi="仿宋" w:eastAsia="仿宋" w:cs="仿宋"/>
          <w:sz w:val="32"/>
          <w:szCs w:val="32"/>
        </w:rPr>
        <w:t>平方米。汽车</w:t>
      </w:r>
      <w:r>
        <w:rPr>
          <w:rFonts w:ascii="仿宋" w:hAnsi="仿宋" w:eastAsia="仿宋" w:cs="仿宋"/>
          <w:sz w:val="32"/>
          <w:szCs w:val="32"/>
        </w:rPr>
        <w:t>2</w:t>
      </w:r>
      <w:r>
        <w:rPr>
          <w:rFonts w:hint="eastAsia" w:ascii="仿宋" w:hAnsi="仿宋" w:eastAsia="仿宋" w:cs="仿宋"/>
          <w:sz w:val="32"/>
          <w:szCs w:val="32"/>
        </w:rPr>
        <w:t>辆。单价在</w:t>
      </w:r>
      <w:r>
        <w:rPr>
          <w:rFonts w:ascii="仿宋" w:hAnsi="仿宋" w:eastAsia="仿宋" w:cs="仿宋"/>
          <w:sz w:val="32"/>
          <w:szCs w:val="32"/>
        </w:rPr>
        <w:t>20</w:t>
      </w:r>
      <w:r>
        <w:rPr>
          <w:rFonts w:hint="eastAsia" w:ascii="仿宋" w:hAnsi="仿宋" w:eastAsia="仿宋" w:cs="仿宋"/>
          <w:sz w:val="32"/>
          <w:szCs w:val="32"/>
        </w:rPr>
        <w:t>万元以上的设备</w:t>
      </w:r>
      <w:r>
        <w:rPr>
          <w:rFonts w:ascii="仿宋" w:hAnsi="仿宋" w:eastAsia="仿宋" w:cs="仿宋"/>
          <w:sz w:val="32"/>
          <w:szCs w:val="32"/>
        </w:rPr>
        <w:t>0</w:t>
      </w:r>
      <w:r>
        <w:rPr>
          <w:rFonts w:hint="eastAsia" w:ascii="仿宋" w:hAnsi="仿宋" w:eastAsia="仿宋" w:cs="仿宋"/>
          <w:sz w:val="32"/>
          <w:szCs w:val="32"/>
        </w:rPr>
        <w:t>台（套）。</w:t>
      </w:r>
      <w:r>
        <w:rPr>
          <w:rFonts w:hint="eastAsia" w:ascii="仿宋" w:hAnsi="仿宋" w:eastAsia="仿宋" w:cs="仿宋"/>
          <w:b/>
          <w:bCs/>
          <w:sz w:val="32"/>
          <w:szCs w:val="32"/>
        </w:rPr>
        <w:t>与上年相比</w:t>
      </w:r>
      <w:r>
        <w:rPr>
          <w:rFonts w:hint="eastAsia" w:ascii="仿宋" w:hAnsi="仿宋" w:eastAsia="仿宋" w:cs="仿宋"/>
          <w:sz w:val="32"/>
          <w:szCs w:val="32"/>
        </w:rPr>
        <w:t>无变化，</w:t>
      </w:r>
      <w:r>
        <w:rPr>
          <w:rFonts w:hint="eastAsia" w:ascii="仿宋" w:hAnsi="仿宋" w:eastAsia="仿宋" w:cs="仿宋"/>
          <w:b/>
          <w:bCs/>
          <w:sz w:val="32"/>
          <w:szCs w:val="32"/>
        </w:rPr>
        <w:t>主要原因</w:t>
      </w:r>
      <w:r>
        <w:rPr>
          <w:rFonts w:hint="eastAsia" w:ascii="仿宋" w:hAnsi="仿宋" w:eastAsia="仿宋" w:cs="仿宋"/>
          <w:sz w:val="32"/>
          <w:szCs w:val="32"/>
        </w:rPr>
        <w:t>是无预算安排。</w:t>
      </w:r>
    </w:p>
    <w:p>
      <w:pPr>
        <w:pStyle w:val="8"/>
        <w:shd w:val="clear" w:color="auto" w:fill="FFFFFF"/>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二、</w:t>
      </w:r>
      <w:r>
        <w:rPr>
          <w:rFonts w:ascii="黑体" w:hAnsi="黑体" w:eastAsia="黑体" w:cs="黑体"/>
          <w:sz w:val="32"/>
          <w:szCs w:val="32"/>
        </w:rPr>
        <w:t>2017</w:t>
      </w:r>
      <w:r>
        <w:rPr>
          <w:rFonts w:hint="eastAsia" w:ascii="黑体" w:hAnsi="黑体" w:eastAsia="黑体" w:cs="黑体"/>
          <w:sz w:val="32"/>
          <w:szCs w:val="32"/>
        </w:rPr>
        <w:t>年部门预算收支</w:t>
      </w:r>
    </w:p>
    <w:p>
      <w:pPr>
        <w:pStyle w:val="8"/>
        <w:shd w:val="clear" w:color="auto" w:fill="FFFFFF"/>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（一）收支总体情况</w:t>
      </w:r>
    </w:p>
    <w:p>
      <w:pPr>
        <w:pStyle w:val="8"/>
        <w:shd w:val="clear" w:color="auto" w:fill="FFFFFF"/>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收入预算</w:t>
      </w:r>
      <w:r>
        <w:rPr>
          <w:rFonts w:ascii="仿宋" w:hAnsi="仿宋" w:eastAsia="仿宋" w:cs="仿宋"/>
          <w:sz w:val="32"/>
          <w:szCs w:val="32"/>
        </w:rPr>
        <w:t>238.75</w:t>
      </w:r>
      <w:r>
        <w:rPr>
          <w:rFonts w:hint="eastAsia" w:ascii="仿宋" w:hAnsi="仿宋" w:eastAsia="仿宋" w:cs="仿宋"/>
          <w:sz w:val="32"/>
          <w:szCs w:val="32"/>
        </w:rPr>
        <w:t>万元，其中：一般公共预算收入</w:t>
      </w:r>
      <w:r>
        <w:rPr>
          <w:rFonts w:ascii="仿宋" w:hAnsi="仿宋" w:eastAsia="仿宋" w:cs="仿宋"/>
          <w:sz w:val="32"/>
          <w:szCs w:val="32"/>
        </w:rPr>
        <w:t>238.75</w:t>
      </w:r>
      <w:r>
        <w:rPr>
          <w:rFonts w:hint="eastAsia" w:ascii="仿宋" w:hAnsi="仿宋" w:eastAsia="仿宋" w:cs="仿宋"/>
          <w:sz w:val="32"/>
          <w:szCs w:val="32"/>
        </w:rPr>
        <w:t>万元，政府性基金预算收入</w:t>
      </w:r>
      <w:r>
        <w:rPr>
          <w:rFonts w:ascii="仿宋" w:hAnsi="仿宋" w:eastAsia="仿宋" w:cs="仿宋"/>
          <w:sz w:val="32"/>
          <w:szCs w:val="32"/>
        </w:rPr>
        <w:t>0</w:t>
      </w:r>
      <w:r>
        <w:rPr>
          <w:rFonts w:hint="eastAsia" w:ascii="仿宋" w:hAnsi="仿宋" w:eastAsia="仿宋" w:cs="仿宋"/>
          <w:sz w:val="32"/>
          <w:szCs w:val="32"/>
        </w:rPr>
        <w:t>万元，纳入专户管理的非税收入</w:t>
      </w:r>
      <w:r>
        <w:rPr>
          <w:rFonts w:ascii="仿宋" w:hAnsi="仿宋" w:eastAsia="仿宋" w:cs="仿宋"/>
          <w:sz w:val="32"/>
          <w:szCs w:val="32"/>
        </w:rPr>
        <w:t>0</w:t>
      </w:r>
      <w:r>
        <w:rPr>
          <w:rFonts w:hint="eastAsia" w:ascii="仿宋" w:hAnsi="仿宋" w:eastAsia="仿宋" w:cs="仿宋"/>
          <w:sz w:val="32"/>
          <w:szCs w:val="32"/>
        </w:rPr>
        <w:t>万元，其他收入</w:t>
      </w:r>
      <w:r>
        <w:rPr>
          <w:rFonts w:ascii="仿宋" w:hAnsi="仿宋" w:eastAsia="仿宋" w:cs="仿宋"/>
          <w:sz w:val="32"/>
          <w:szCs w:val="32"/>
        </w:rPr>
        <w:t>0</w:t>
      </w:r>
      <w:r>
        <w:rPr>
          <w:rFonts w:hint="eastAsia" w:ascii="仿宋" w:hAnsi="仿宋" w:eastAsia="仿宋" w:cs="仿宋"/>
          <w:sz w:val="32"/>
          <w:szCs w:val="32"/>
        </w:rPr>
        <w:t>万元，事业单位经营收入</w:t>
      </w:r>
      <w:r>
        <w:rPr>
          <w:rFonts w:ascii="仿宋" w:hAnsi="仿宋" w:eastAsia="仿宋" w:cs="仿宋"/>
          <w:sz w:val="32"/>
          <w:szCs w:val="32"/>
        </w:rPr>
        <w:t>0</w:t>
      </w:r>
      <w:r>
        <w:rPr>
          <w:rFonts w:hint="eastAsia" w:ascii="仿宋" w:hAnsi="仿宋" w:eastAsia="仿宋" w:cs="仿宋"/>
          <w:sz w:val="32"/>
          <w:szCs w:val="32"/>
        </w:rPr>
        <w:t>万元。支出预算总额为</w:t>
      </w:r>
      <w:r>
        <w:rPr>
          <w:rFonts w:ascii="仿宋" w:hAnsi="仿宋" w:eastAsia="仿宋" w:cs="仿宋"/>
          <w:sz w:val="32"/>
          <w:szCs w:val="32"/>
        </w:rPr>
        <w:t>238.75</w:t>
      </w:r>
      <w:r>
        <w:rPr>
          <w:rFonts w:hint="eastAsia" w:ascii="仿宋" w:hAnsi="仿宋" w:eastAsia="仿宋" w:cs="仿宋"/>
          <w:sz w:val="32"/>
          <w:szCs w:val="32"/>
        </w:rPr>
        <w:t>万元。</w:t>
      </w:r>
    </w:p>
    <w:p>
      <w:pPr>
        <w:pStyle w:val="8"/>
        <w:shd w:val="clear" w:color="auto" w:fill="FFFFFF"/>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（二）预算支出主要内容</w:t>
      </w:r>
    </w:p>
    <w:p>
      <w:pPr>
        <w:pStyle w:val="8"/>
        <w:shd w:val="clear" w:color="auto" w:fill="FFFFFF"/>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支出分为基本支出和项目支出，其中：基本支出预算安排</w:t>
      </w:r>
      <w:r>
        <w:rPr>
          <w:rFonts w:ascii="仿宋" w:hAnsi="仿宋" w:eastAsia="仿宋" w:cs="仿宋"/>
          <w:sz w:val="32"/>
          <w:szCs w:val="32"/>
        </w:rPr>
        <w:t>178.75</w:t>
      </w:r>
      <w:r>
        <w:rPr>
          <w:rFonts w:hint="eastAsia" w:ascii="仿宋" w:hAnsi="仿宋" w:eastAsia="仿宋" w:cs="仿宋"/>
          <w:sz w:val="32"/>
          <w:szCs w:val="32"/>
        </w:rPr>
        <w:t>万元，包括：工资福利支出</w:t>
      </w:r>
      <w:r>
        <w:rPr>
          <w:rFonts w:ascii="仿宋" w:hAnsi="仿宋" w:eastAsia="仿宋" w:cs="仿宋"/>
          <w:sz w:val="32"/>
          <w:szCs w:val="32"/>
        </w:rPr>
        <w:t>123.57</w:t>
      </w:r>
      <w:r>
        <w:rPr>
          <w:rFonts w:hint="eastAsia" w:ascii="仿宋" w:hAnsi="仿宋" w:eastAsia="仿宋" w:cs="仿宋"/>
          <w:sz w:val="32"/>
          <w:szCs w:val="32"/>
        </w:rPr>
        <w:t>万元，商品和服务支出</w:t>
      </w:r>
      <w:r>
        <w:rPr>
          <w:rFonts w:ascii="仿宋" w:hAnsi="仿宋" w:eastAsia="仿宋" w:cs="仿宋"/>
          <w:sz w:val="32"/>
          <w:szCs w:val="32"/>
        </w:rPr>
        <w:t>17.31</w:t>
      </w:r>
      <w:r>
        <w:rPr>
          <w:rFonts w:hint="eastAsia" w:ascii="仿宋" w:hAnsi="仿宋" w:eastAsia="仿宋" w:cs="仿宋"/>
          <w:sz w:val="32"/>
          <w:szCs w:val="32"/>
        </w:rPr>
        <w:t>万元，对个人和家庭</w:t>
      </w:r>
      <w:bookmarkStart w:id="0" w:name="_GoBack"/>
      <w:bookmarkEnd w:id="0"/>
      <w:r>
        <w:rPr>
          <w:rFonts w:hint="eastAsia" w:ascii="仿宋" w:hAnsi="仿宋" w:eastAsia="仿宋" w:cs="仿宋"/>
          <w:sz w:val="32"/>
          <w:szCs w:val="32"/>
        </w:rPr>
        <w:t>的补助支出</w:t>
      </w:r>
      <w:r>
        <w:rPr>
          <w:rFonts w:ascii="仿宋" w:hAnsi="仿宋" w:eastAsia="仿宋" w:cs="仿宋"/>
          <w:sz w:val="32"/>
          <w:szCs w:val="32"/>
        </w:rPr>
        <w:t>37.87</w:t>
      </w:r>
      <w:r>
        <w:rPr>
          <w:rFonts w:hint="eastAsia" w:ascii="仿宋" w:hAnsi="仿宋" w:eastAsia="仿宋" w:cs="仿宋"/>
          <w:sz w:val="32"/>
          <w:szCs w:val="32"/>
        </w:rPr>
        <w:t>万元。基本支出</w:t>
      </w:r>
      <w:r>
        <w:rPr>
          <w:rFonts w:hint="eastAsia" w:ascii="仿宋" w:hAnsi="仿宋" w:eastAsia="仿宋" w:cs="仿宋"/>
          <w:b/>
          <w:bCs/>
          <w:sz w:val="32"/>
          <w:szCs w:val="32"/>
        </w:rPr>
        <w:t>比上年</w:t>
      </w:r>
      <w:r>
        <w:rPr>
          <w:rFonts w:hint="eastAsia" w:ascii="仿宋" w:hAnsi="仿宋" w:eastAsia="仿宋" w:cs="仿宋"/>
          <w:sz w:val="32"/>
          <w:szCs w:val="32"/>
        </w:rPr>
        <w:t>预算减少</w:t>
      </w:r>
      <w:r>
        <w:rPr>
          <w:rFonts w:ascii="仿宋" w:hAnsi="仿宋" w:eastAsia="仿宋" w:cs="仿宋"/>
          <w:sz w:val="32"/>
          <w:szCs w:val="32"/>
        </w:rPr>
        <w:t>16.21</w:t>
      </w:r>
      <w:r>
        <w:rPr>
          <w:rFonts w:hint="eastAsia" w:ascii="仿宋" w:hAnsi="仿宋" w:eastAsia="仿宋" w:cs="仿宋"/>
          <w:sz w:val="32"/>
          <w:szCs w:val="32"/>
        </w:rPr>
        <w:t>万元，</w:t>
      </w:r>
      <w:r>
        <w:rPr>
          <w:rFonts w:hint="eastAsia" w:ascii="仿宋" w:hAnsi="仿宋" w:eastAsia="仿宋" w:cs="仿宋"/>
          <w:b/>
          <w:bCs/>
          <w:sz w:val="32"/>
          <w:szCs w:val="32"/>
        </w:rPr>
        <w:t>主要原因</w:t>
      </w:r>
      <w:r>
        <w:rPr>
          <w:rFonts w:hint="eastAsia" w:ascii="仿宋" w:hAnsi="仿宋" w:eastAsia="仿宋" w:cs="仿宋"/>
          <w:sz w:val="32"/>
          <w:szCs w:val="32"/>
        </w:rPr>
        <w:t>是压缩经费。</w:t>
      </w:r>
    </w:p>
    <w:p>
      <w:pPr>
        <w:pStyle w:val="8"/>
        <w:shd w:val="clear" w:color="auto" w:fill="FFFFFF"/>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项目支出预算安排</w:t>
      </w:r>
      <w:r>
        <w:rPr>
          <w:rFonts w:ascii="仿宋" w:hAnsi="仿宋" w:eastAsia="仿宋" w:cs="仿宋"/>
          <w:sz w:val="32"/>
          <w:szCs w:val="32"/>
        </w:rPr>
        <w:t>60</w:t>
      </w:r>
      <w:r>
        <w:rPr>
          <w:rFonts w:hint="eastAsia" w:ascii="仿宋" w:hAnsi="仿宋" w:eastAsia="仿宋" w:cs="仿宋"/>
          <w:sz w:val="32"/>
          <w:szCs w:val="32"/>
        </w:rPr>
        <w:t>万元，</w:t>
      </w:r>
      <w:r>
        <w:rPr>
          <w:rFonts w:hint="eastAsia" w:ascii="仿宋" w:hAnsi="仿宋" w:eastAsia="仿宋" w:cs="仿宋"/>
          <w:b/>
          <w:bCs/>
          <w:sz w:val="32"/>
          <w:szCs w:val="32"/>
        </w:rPr>
        <w:t>比上年</w:t>
      </w:r>
      <w:r>
        <w:rPr>
          <w:rFonts w:hint="eastAsia" w:ascii="仿宋" w:hAnsi="仿宋" w:eastAsia="仿宋" w:cs="仿宋"/>
          <w:sz w:val="32"/>
          <w:szCs w:val="32"/>
        </w:rPr>
        <w:t>预算减少</w:t>
      </w:r>
      <w:r>
        <w:rPr>
          <w:rFonts w:ascii="仿宋" w:hAnsi="仿宋" w:eastAsia="仿宋" w:cs="仿宋"/>
          <w:sz w:val="32"/>
          <w:szCs w:val="32"/>
        </w:rPr>
        <w:t>40</w:t>
      </w:r>
      <w:r>
        <w:rPr>
          <w:rFonts w:hint="eastAsia" w:ascii="仿宋" w:hAnsi="仿宋" w:eastAsia="仿宋" w:cs="仿宋"/>
          <w:sz w:val="32"/>
          <w:szCs w:val="32"/>
        </w:rPr>
        <w:t>万元，主要原因是项目减少。</w:t>
      </w:r>
    </w:p>
    <w:p>
      <w:pPr>
        <w:pStyle w:val="8"/>
        <w:shd w:val="clear" w:color="auto" w:fill="FFFFFF"/>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按资金来源分类，预算支出合计733.75万元，其中：一般公共预算支出733.75万元，政府性基金预算支出</w:t>
      </w:r>
      <w:r>
        <w:rPr>
          <w:rFonts w:ascii="仿宋" w:hAnsi="仿宋" w:eastAsia="仿宋" w:cs="仿宋"/>
          <w:sz w:val="32"/>
          <w:szCs w:val="32"/>
        </w:rPr>
        <w:t>0</w:t>
      </w:r>
      <w:r>
        <w:rPr>
          <w:rFonts w:hint="eastAsia" w:ascii="仿宋" w:hAnsi="仿宋" w:eastAsia="仿宋" w:cs="仿宋"/>
          <w:sz w:val="32"/>
          <w:szCs w:val="32"/>
        </w:rPr>
        <w:t>万元，纳入专户管理的非税收入支出</w:t>
      </w:r>
      <w:r>
        <w:rPr>
          <w:rFonts w:ascii="仿宋" w:hAnsi="仿宋" w:eastAsia="仿宋" w:cs="仿宋"/>
          <w:sz w:val="32"/>
          <w:szCs w:val="32"/>
        </w:rPr>
        <w:t>0</w:t>
      </w:r>
      <w:r>
        <w:rPr>
          <w:rFonts w:hint="eastAsia" w:ascii="仿宋" w:hAnsi="仿宋" w:eastAsia="仿宋" w:cs="仿宋"/>
          <w:sz w:val="32"/>
          <w:szCs w:val="32"/>
        </w:rPr>
        <w:t>万元，其他收入支出</w:t>
      </w:r>
      <w:r>
        <w:rPr>
          <w:rFonts w:ascii="仿宋" w:hAnsi="仿宋" w:eastAsia="仿宋" w:cs="仿宋"/>
          <w:sz w:val="32"/>
          <w:szCs w:val="32"/>
        </w:rPr>
        <w:t>0</w:t>
      </w:r>
      <w:r>
        <w:rPr>
          <w:rFonts w:hint="eastAsia" w:ascii="仿宋" w:hAnsi="仿宋" w:eastAsia="仿宋" w:cs="仿宋"/>
          <w:sz w:val="32"/>
          <w:szCs w:val="32"/>
        </w:rPr>
        <w:t>万元，事业单位经营收入支出</w:t>
      </w:r>
      <w:r>
        <w:rPr>
          <w:rFonts w:ascii="仿宋" w:hAnsi="仿宋" w:eastAsia="仿宋" w:cs="仿宋"/>
          <w:sz w:val="32"/>
          <w:szCs w:val="32"/>
        </w:rPr>
        <w:t>0</w:t>
      </w:r>
      <w:r>
        <w:rPr>
          <w:rFonts w:hint="eastAsia" w:ascii="仿宋" w:hAnsi="仿宋" w:eastAsia="仿宋" w:cs="仿宋"/>
          <w:sz w:val="32"/>
          <w:szCs w:val="32"/>
        </w:rPr>
        <w:t>万元。</w:t>
      </w:r>
    </w:p>
    <w:p>
      <w:pPr>
        <w:pStyle w:val="8"/>
        <w:shd w:val="clear" w:color="auto" w:fill="FFFFFF"/>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（三）机关运行经费情况</w:t>
      </w:r>
    </w:p>
    <w:p>
      <w:pPr>
        <w:pStyle w:val="8"/>
        <w:shd w:val="clear" w:color="auto" w:fill="FFFFFF"/>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机关运行经费预算支出</w:t>
      </w:r>
      <w:r>
        <w:rPr>
          <w:rFonts w:ascii="仿宋" w:hAnsi="仿宋" w:eastAsia="仿宋" w:cs="仿宋"/>
          <w:sz w:val="32"/>
          <w:szCs w:val="32"/>
        </w:rPr>
        <w:t>17.31</w:t>
      </w:r>
      <w:r>
        <w:rPr>
          <w:rFonts w:hint="eastAsia" w:ascii="仿宋" w:hAnsi="仿宋" w:eastAsia="仿宋" w:cs="仿宋"/>
          <w:sz w:val="32"/>
          <w:szCs w:val="32"/>
        </w:rPr>
        <w:t>万元，其中：一般公共预算支出</w:t>
      </w:r>
      <w:r>
        <w:rPr>
          <w:rFonts w:ascii="仿宋" w:hAnsi="仿宋" w:eastAsia="仿宋" w:cs="仿宋"/>
          <w:sz w:val="32"/>
          <w:szCs w:val="32"/>
        </w:rPr>
        <w:t>17.31</w:t>
      </w:r>
      <w:r>
        <w:rPr>
          <w:rFonts w:hint="eastAsia" w:ascii="仿宋" w:hAnsi="仿宋" w:eastAsia="仿宋" w:cs="仿宋"/>
          <w:sz w:val="32"/>
          <w:szCs w:val="32"/>
        </w:rPr>
        <w:t>万元，政府性基金预算支出</w:t>
      </w:r>
      <w:r>
        <w:rPr>
          <w:rFonts w:ascii="仿宋" w:hAnsi="仿宋" w:eastAsia="仿宋" w:cs="仿宋"/>
          <w:sz w:val="32"/>
          <w:szCs w:val="32"/>
        </w:rPr>
        <w:t>0</w:t>
      </w:r>
      <w:r>
        <w:rPr>
          <w:rFonts w:hint="eastAsia" w:ascii="仿宋" w:hAnsi="仿宋" w:eastAsia="仿宋" w:cs="仿宋"/>
          <w:sz w:val="32"/>
          <w:szCs w:val="32"/>
        </w:rPr>
        <w:t>万元，纳入专户管理的非税收入支出</w:t>
      </w:r>
      <w:r>
        <w:rPr>
          <w:rFonts w:ascii="仿宋" w:hAnsi="仿宋" w:eastAsia="仿宋" w:cs="仿宋"/>
          <w:sz w:val="32"/>
          <w:szCs w:val="32"/>
        </w:rPr>
        <w:t>0</w:t>
      </w:r>
      <w:r>
        <w:rPr>
          <w:rFonts w:hint="eastAsia" w:ascii="仿宋" w:hAnsi="仿宋" w:eastAsia="仿宋" w:cs="仿宋"/>
          <w:sz w:val="32"/>
          <w:szCs w:val="32"/>
        </w:rPr>
        <w:t>万元，其他收入支出</w:t>
      </w:r>
      <w:r>
        <w:rPr>
          <w:rFonts w:ascii="仿宋" w:hAnsi="仿宋" w:eastAsia="仿宋" w:cs="仿宋"/>
          <w:sz w:val="32"/>
          <w:szCs w:val="32"/>
        </w:rPr>
        <w:t>0</w:t>
      </w:r>
      <w:r>
        <w:rPr>
          <w:rFonts w:hint="eastAsia" w:ascii="仿宋" w:hAnsi="仿宋" w:eastAsia="仿宋" w:cs="仿宋"/>
          <w:sz w:val="32"/>
          <w:szCs w:val="32"/>
        </w:rPr>
        <w:t>万元，事业单位经营收入支出</w:t>
      </w:r>
      <w:r>
        <w:rPr>
          <w:rFonts w:ascii="仿宋" w:hAnsi="仿宋" w:eastAsia="仿宋" w:cs="仿宋"/>
          <w:sz w:val="32"/>
          <w:szCs w:val="32"/>
        </w:rPr>
        <w:t>0</w:t>
      </w:r>
      <w:r>
        <w:rPr>
          <w:rFonts w:hint="eastAsia" w:ascii="仿宋" w:hAnsi="仿宋" w:eastAsia="仿宋" w:cs="仿宋"/>
          <w:sz w:val="32"/>
          <w:szCs w:val="32"/>
        </w:rPr>
        <w:t>万元。</w:t>
      </w:r>
      <w:r>
        <w:rPr>
          <w:rFonts w:hint="eastAsia" w:ascii="仿宋" w:hAnsi="仿宋" w:eastAsia="仿宋" w:cs="仿宋"/>
          <w:b/>
          <w:bCs/>
          <w:sz w:val="32"/>
          <w:szCs w:val="32"/>
        </w:rPr>
        <w:t>与上年相比</w:t>
      </w:r>
      <w:r>
        <w:rPr>
          <w:rFonts w:hint="eastAsia" w:ascii="仿宋" w:hAnsi="仿宋" w:eastAsia="仿宋" w:cs="仿宋"/>
          <w:sz w:val="32"/>
          <w:szCs w:val="32"/>
        </w:rPr>
        <w:t>降低</w:t>
      </w:r>
      <w:r>
        <w:rPr>
          <w:rFonts w:ascii="仿宋" w:hAnsi="仿宋" w:eastAsia="仿宋" w:cs="仿宋"/>
          <w:sz w:val="32"/>
          <w:szCs w:val="32"/>
        </w:rPr>
        <w:t>1.42%,</w:t>
      </w:r>
      <w:r>
        <w:rPr>
          <w:rFonts w:hint="eastAsia" w:ascii="仿宋" w:hAnsi="仿宋" w:eastAsia="仿宋" w:cs="仿宋"/>
          <w:b/>
          <w:bCs/>
          <w:sz w:val="32"/>
          <w:szCs w:val="32"/>
        </w:rPr>
        <w:t>主要原因</w:t>
      </w:r>
      <w:r>
        <w:rPr>
          <w:rFonts w:hint="eastAsia" w:ascii="仿宋" w:hAnsi="仿宋" w:eastAsia="仿宋" w:cs="仿宋"/>
          <w:sz w:val="32"/>
          <w:szCs w:val="32"/>
        </w:rPr>
        <w:t>是压缩经费。</w:t>
      </w:r>
    </w:p>
    <w:p>
      <w:pPr>
        <w:pStyle w:val="8"/>
        <w:shd w:val="clear" w:color="auto" w:fill="FFFFFF"/>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三、</w:t>
      </w:r>
      <w:r>
        <w:rPr>
          <w:rFonts w:ascii="黑体" w:hAnsi="黑体" w:eastAsia="黑体" w:cs="黑体"/>
          <w:sz w:val="32"/>
          <w:szCs w:val="32"/>
        </w:rPr>
        <w:t>2017</w:t>
      </w:r>
      <w:r>
        <w:rPr>
          <w:rFonts w:hint="eastAsia" w:ascii="黑体" w:hAnsi="黑体" w:eastAsia="黑体" w:cs="黑体"/>
          <w:sz w:val="32"/>
          <w:szCs w:val="32"/>
        </w:rPr>
        <w:t>年财政拨款安排的“三公经费”支出预算</w:t>
      </w:r>
    </w:p>
    <w:p>
      <w:pPr>
        <w:pStyle w:val="8"/>
        <w:shd w:val="clear" w:color="auto" w:fill="FFFFFF"/>
        <w:spacing w:before="0" w:beforeAutospacing="0" w:after="0" w:line="560" w:lineRule="exact"/>
        <w:ind w:firstLine="640" w:firstLineChars="200"/>
        <w:jc w:val="both"/>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年喀什地区英吉沙县环境保护局财政拨款安排的“三公经费”预算安排总额为</w:t>
      </w:r>
      <w:r>
        <w:rPr>
          <w:rFonts w:ascii="仿宋" w:hAnsi="仿宋" w:eastAsia="仿宋" w:cs="仿宋"/>
          <w:sz w:val="32"/>
          <w:szCs w:val="32"/>
        </w:rPr>
        <w:t>3</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相同。</w:t>
      </w:r>
    </w:p>
    <w:p>
      <w:pPr>
        <w:pStyle w:val="8"/>
        <w:shd w:val="clear" w:color="auto" w:fill="FFFFFF"/>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（一）因公出国（境）经费预算</w:t>
      </w:r>
    </w:p>
    <w:p>
      <w:pPr>
        <w:pStyle w:val="8"/>
        <w:shd w:val="clear" w:color="auto" w:fill="FFFFFF"/>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因公出国（境）经费预算项目支出安排</w:t>
      </w:r>
      <w:r>
        <w:rPr>
          <w:rFonts w:ascii="仿宋" w:hAnsi="仿宋" w:eastAsia="仿宋" w:cs="仿宋"/>
          <w:sz w:val="32"/>
          <w:szCs w:val="32"/>
        </w:rPr>
        <w:t>0</w:t>
      </w:r>
      <w:r>
        <w:rPr>
          <w:rFonts w:hint="eastAsia" w:ascii="仿宋" w:hAnsi="仿宋" w:eastAsia="仿宋" w:cs="仿宋"/>
          <w:sz w:val="32"/>
          <w:szCs w:val="32"/>
        </w:rPr>
        <w:t>万元</w:t>
      </w:r>
      <w:r>
        <w:rPr>
          <w:rFonts w:ascii="仿宋" w:hAnsi="仿宋" w:eastAsia="仿宋" w:cs="仿宋"/>
          <w:sz w:val="32"/>
          <w:szCs w:val="32"/>
        </w:rPr>
        <w:t>,</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是无因公出国（境）事项等方面，</w:t>
      </w:r>
      <w:r>
        <w:rPr>
          <w:rFonts w:ascii="仿宋" w:hAnsi="仿宋" w:eastAsia="仿宋" w:cs="仿宋"/>
          <w:sz w:val="32"/>
          <w:szCs w:val="32"/>
        </w:rPr>
        <w:t>2017</w:t>
      </w:r>
      <w:r>
        <w:rPr>
          <w:rFonts w:hint="eastAsia" w:ascii="仿宋" w:hAnsi="仿宋" w:eastAsia="仿宋" w:cs="仿宋"/>
          <w:sz w:val="32"/>
          <w:szCs w:val="32"/>
        </w:rPr>
        <w:t>年因公出国（境）团组</w:t>
      </w:r>
      <w:r>
        <w:rPr>
          <w:rFonts w:ascii="仿宋" w:hAnsi="仿宋" w:eastAsia="仿宋" w:cs="仿宋"/>
          <w:sz w:val="32"/>
          <w:szCs w:val="32"/>
        </w:rPr>
        <w:t>0</w:t>
      </w:r>
      <w:r>
        <w:rPr>
          <w:rFonts w:hint="eastAsia" w:ascii="仿宋" w:hAnsi="仿宋" w:eastAsia="仿宋" w:cs="仿宋"/>
          <w:sz w:val="32"/>
          <w:szCs w:val="32"/>
        </w:rPr>
        <w:t>组、人数</w:t>
      </w:r>
      <w:r>
        <w:rPr>
          <w:rFonts w:ascii="仿宋" w:hAnsi="仿宋" w:eastAsia="仿宋" w:cs="仿宋"/>
          <w:sz w:val="32"/>
          <w:szCs w:val="32"/>
        </w:rPr>
        <w:t>0</w:t>
      </w:r>
      <w:r>
        <w:rPr>
          <w:rFonts w:hint="eastAsia" w:ascii="仿宋" w:hAnsi="仿宋" w:eastAsia="仿宋" w:cs="仿宋"/>
          <w:sz w:val="32"/>
          <w:szCs w:val="32"/>
        </w:rPr>
        <w:t>人。</w:t>
      </w:r>
    </w:p>
    <w:p>
      <w:pPr>
        <w:pStyle w:val="8"/>
        <w:shd w:val="clear" w:color="auto" w:fill="FFFFFF"/>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（二）公务接待费用预算</w:t>
      </w:r>
    </w:p>
    <w:p>
      <w:pPr>
        <w:pStyle w:val="8"/>
        <w:shd w:val="clear" w:color="auto" w:fill="FFFFFF"/>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公务接待费用预算安排</w:t>
      </w:r>
      <w:r>
        <w:rPr>
          <w:rFonts w:ascii="仿宋" w:hAnsi="仿宋" w:eastAsia="仿宋" w:cs="仿宋"/>
          <w:sz w:val="32"/>
          <w:szCs w:val="32"/>
        </w:rPr>
        <w:t>0</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是无公务接待费，</w:t>
      </w:r>
      <w:r>
        <w:rPr>
          <w:rFonts w:ascii="仿宋" w:hAnsi="仿宋" w:eastAsia="仿宋" w:cs="仿宋"/>
          <w:sz w:val="32"/>
          <w:szCs w:val="32"/>
        </w:rPr>
        <w:t>2017</w:t>
      </w:r>
      <w:r>
        <w:rPr>
          <w:rFonts w:hint="eastAsia" w:ascii="仿宋" w:hAnsi="仿宋" w:eastAsia="仿宋" w:cs="仿宋"/>
          <w:sz w:val="32"/>
          <w:szCs w:val="32"/>
        </w:rPr>
        <w:t>年国内公务接待的批次为</w:t>
      </w:r>
      <w:r>
        <w:rPr>
          <w:rFonts w:ascii="仿宋" w:hAnsi="仿宋" w:eastAsia="仿宋" w:cs="仿宋"/>
          <w:sz w:val="32"/>
          <w:szCs w:val="32"/>
        </w:rPr>
        <w:t>0</w:t>
      </w:r>
      <w:r>
        <w:rPr>
          <w:rFonts w:hint="eastAsia" w:ascii="仿宋" w:hAnsi="仿宋" w:eastAsia="仿宋" w:cs="仿宋"/>
          <w:sz w:val="32"/>
          <w:szCs w:val="32"/>
        </w:rPr>
        <w:t>批、人数为</w:t>
      </w:r>
      <w:r>
        <w:rPr>
          <w:rFonts w:ascii="仿宋" w:hAnsi="仿宋" w:eastAsia="仿宋" w:cs="仿宋"/>
          <w:sz w:val="32"/>
          <w:szCs w:val="32"/>
        </w:rPr>
        <w:t>0</w:t>
      </w:r>
      <w:r>
        <w:rPr>
          <w:rFonts w:hint="eastAsia" w:ascii="仿宋" w:hAnsi="仿宋" w:eastAsia="仿宋" w:cs="仿宋"/>
          <w:sz w:val="32"/>
          <w:szCs w:val="32"/>
        </w:rPr>
        <w:t>人。</w:t>
      </w:r>
    </w:p>
    <w:p>
      <w:pPr>
        <w:pStyle w:val="8"/>
        <w:shd w:val="clear" w:color="auto" w:fill="FFFFFF"/>
        <w:spacing w:before="0" w:beforeAutospacing="0" w:after="0" w:line="560" w:lineRule="exact"/>
        <w:ind w:firstLine="643" w:firstLineChars="200"/>
        <w:jc w:val="both"/>
        <w:rPr>
          <w:rFonts w:ascii="仿宋" w:hAnsi="仿宋" w:eastAsia="仿宋" w:cs="Times New Roman"/>
          <w:b/>
          <w:bCs/>
          <w:sz w:val="32"/>
          <w:szCs w:val="32"/>
        </w:rPr>
      </w:pPr>
      <w:r>
        <w:rPr>
          <w:rFonts w:hint="eastAsia" w:ascii="仿宋" w:hAnsi="仿宋" w:eastAsia="仿宋" w:cs="仿宋"/>
          <w:b/>
          <w:bCs/>
          <w:sz w:val="32"/>
          <w:szCs w:val="32"/>
        </w:rPr>
        <w:t>（三）公务用车购置及运行维护费预算</w:t>
      </w:r>
    </w:p>
    <w:p>
      <w:pPr>
        <w:pStyle w:val="8"/>
        <w:shd w:val="clear" w:color="auto" w:fill="FFFFFF"/>
        <w:spacing w:before="0" w:beforeAutospacing="0" w:after="0" w:line="560" w:lineRule="exact"/>
        <w:ind w:firstLine="640" w:firstLineChars="200"/>
        <w:jc w:val="both"/>
        <w:rPr>
          <w:rFonts w:ascii="仿宋" w:hAnsi="仿宋" w:eastAsia="仿宋" w:cs="Times New Roman"/>
          <w:sz w:val="32"/>
          <w:szCs w:val="32"/>
        </w:rPr>
      </w:pPr>
      <w:r>
        <w:rPr>
          <w:rFonts w:hint="eastAsia" w:ascii="仿宋" w:hAnsi="仿宋" w:eastAsia="仿宋" w:cs="仿宋"/>
          <w:sz w:val="32"/>
          <w:szCs w:val="32"/>
        </w:rPr>
        <w:t>公务用车购置及运行维护费预算安排</w:t>
      </w:r>
      <w:r>
        <w:rPr>
          <w:rFonts w:ascii="仿宋" w:hAnsi="仿宋" w:eastAsia="仿宋" w:cs="仿宋"/>
          <w:sz w:val="32"/>
          <w:szCs w:val="32"/>
        </w:rPr>
        <w:t>3</w:t>
      </w:r>
      <w:r>
        <w:rPr>
          <w:rFonts w:hint="eastAsia" w:ascii="仿宋" w:hAnsi="仿宋" w:eastAsia="仿宋" w:cs="仿宋"/>
          <w:sz w:val="32"/>
          <w:szCs w:val="32"/>
        </w:rPr>
        <w:t>万元，主要用于</w:t>
      </w:r>
      <w:r>
        <w:rPr>
          <w:rFonts w:ascii="仿宋" w:hAnsi="仿宋" w:eastAsia="仿宋" w:cs="仿宋"/>
          <w:sz w:val="32"/>
          <w:szCs w:val="32"/>
        </w:rPr>
        <w:t>2017</w:t>
      </w:r>
      <w:r>
        <w:rPr>
          <w:rFonts w:hint="eastAsia" w:ascii="仿宋" w:hAnsi="仿宋" w:eastAsia="仿宋" w:cs="仿宋"/>
          <w:sz w:val="32"/>
          <w:szCs w:val="32"/>
        </w:rPr>
        <w:t>年车辆的燃油、维修、维护等方面的支出，</w:t>
      </w:r>
      <w:r>
        <w:rPr>
          <w:rFonts w:hint="eastAsia" w:ascii="仿宋" w:hAnsi="仿宋" w:eastAsia="仿宋" w:cs="仿宋"/>
          <w:b/>
          <w:bCs/>
          <w:sz w:val="32"/>
          <w:szCs w:val="32"/>
        </w:rPr>
        <w:t>与上年</w:t>
      </w:r>
      <w:r>
        <w:rPr>
          <w:rFonts w:hint="eastAsia" w:ascii="仿宋" w:hAnsi="仿宋" w:eastAsia="仿宋" w:cs="仿宋"/>
          <w:sz w:val="32"/>
          <w:szCs w:val="32"/>
        </w:rPr>
        <w:t>相同，主要原因是与上年无变化。</w:t>
      </w:r>
    </w:p>
    <w:p>
      <w:pPr>
        <w:pStyle w:val="8"/>
        <w:shd w:val="clear" w:color="auto" w:fill="FFFFFF"/>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四、</w:t>
      </w:r>
      <w:r>
        <w:rPr>
          <w:rFonts w:ascii="黑体" w:hAnsi="黑体" w:eastAsia="黑体" w:cs="黑体"/>
          <w:sz w:val="32"/>
          <w:szCs w:val="32"/>
        </w:rPr>
        <w:t>2017</w:t>
      </w:r>
      <w:r>
        <w:rPr>
          <w:rFonts w:hint="eastAsia" w:ascii="黑体" w:hAnsi="黑体" w:eastAsia="黑体" w:cs="黑体"/>
          <w:sz w:val="32"/>
          <w:szCs w:val="32"/>
        </w:rPr>
        <w:t>年政府采购支出预算</w:t>
      </w:r>
    </w:p>
    <w:p>
      <w:pPr>
        <w:pStyle w:val="8"/>
        <w:shd w:val="clear" w:color="auto" w:fill="FFFFFF"/>
        <w:spacing w:before="0" w:beforeAutospacing="0" w:after="0" w:line="560" w:lineRule="exact"/>
        <w:ind w:firstLine="640" w:firstLineChars="200"/>
        <w:jc w:val="both"/>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年喀什地区英吉沙县环境保护局财政拨款安排政府采购经费支出总计</w:t>
      </w:r>
      <w:r>
        <w:rPr>
          <w:rFonts w:ascii="仿宋" w:hAnsi="仿宋" w:eastAsia="仿宋" w:cs="仿宋"/>
          <w:sz w:val="32"/>
          <w:szCs w:val="32"/>
        </w:rPr>
        <w:t>0</w:t>
      </w:r>
      <w:r>
        <w:rPr>
          <w:rFonts w:hint="eastAsia" w:ascii="仿宋" w:hAnsi="仿宋" w:eastAsia="仿宋" w:cs="仿宋"/>
          <w:sz w:val="32"/>
          <w:szCs w:val="32"/>
        </w:rPr>
        <w:t>万元。</w:t>
      </w:r>
    </w:p>
    <w:p>
      <w:pPr>
        <w:pStyle w:val="8"/>
        <w:shd w:val="clear" w:color="auto" w:fill="FFFFFF"/>
        <w:spacing w:before="0" w:beforeAutospacing="0" w:after="0" w:line="560" w:lineRule="exact"/>
        <w:ind w:firstLine="640" w:firstLineChars="200"/>
        <w:jc w:val="both"/>
        <w:rPr>
          <w:rFonts w:ascii="黑体" w:hAnsi="黑体" w:eastAsia="黑体" w:cs="Times New Roman"/>
          <w:sz w:val="32"/>
          <w:szCs w:val="32"/>
        </w:rPr>
      </w:pPr>
      <w:r>
        <w:rPr>
          <w:rFonts w:hint="eastAsia" w:ascii="黑体" w:hAnsi="黑体" w:eastAsia="黑体" w:cs="黑体"/>
          <w:sz w:val="32"/>
          <w:szCs w:val="32"/>
        </w:rPr>
        <w:t>五、预算绩效信息</w:t>
      </w:r>
    </w:p>
    <w:p>
      <w:pPr>
        <w:spacing w:line="560" w:lineRule="exact"/>
        <w:ind w:firstLine="640" w:firstLineChars="200"/>
        <w:rPr>
          <w:rFonts w:ascii="仿宋" w:hAnsi="仿宋" w:eastAsia="仿宋"/>
          <w:sz w:val="32"/>
          <w:szCs w:val="32"/>
        </w:rPr>
      </w:pPr>
      <w:r>
        <w:rPr>
          <w:rFonts w:hint="eastAsia" w:ascii="仿宋" w:hAnsi="仿宋" w:eastAsia="仿宋" w:cs="仿宋"/>
          <w:sz w:val="32"/>
          <w:szCs w:val="32"/>
        </w:rPr>
        <w:t>根据地区财政局《</w:t>
      </w:r>
      <w:r>
        <w:rPr>
          <w:rFonts w:hint="eastAsia" w:ascii="仿宋" w:hAnsi="仿宋" w:eastAsia="仿宋" w:cs="仿宋"/>
          <w:kern w:val="0"/>
          <w:sz w:val="32"/>
          <w:szCs w:val="32"/>
        </w:rPr>
        <w:t>关于开展</w:t>
      </w:r>
      <w:r>
        <w:rPr>
          <w:rFonts w:ascii="仿宋" w:hAnsi="仿宋" w:eastAsia="仿宋" w:cs="仿宋"/>
          <w:kern w:val="0"/>
          <w:sz w:val="32"/>
          <w:szCs w:val="32"/>
        </w:rPr>
        <w:t>2017</w:t>
      </w:r>
      <w:r>
        <w:rPr>
          <w:rFonts w:hint="eastAsia" w:ascii="仿宋" w:hAnsi="仿宋" w:eastAsia="仿宋" w:cs="仿宋"/>
          <w:kern w:val="0"/>
          <w:sz w:val="32"/>
          <w:szCs w:val="32"/>
        </w:rPr>
        <w:t>年喀什地区本级财政资金绩效评价的通知</w:t>
      </w:r>
      <w:r>
        <w:rPr>
          <w:rFonts w:hint="eastAsia" w:ascii="仿宋" w:hAnsi="仿宋" w:eastAsia="仿宋" w:cs="仿宋"/>
          <w:sz w:val="32"/>
          <w:szCs w:val="32"/>
        </w:rPr>
        <w:t>》（喀地财预﹝</w:t>
      </w:r>
      <w:r>
        <w:rPr>
          <w:rFonts w:ascii="仿宋" w:hAnsi="仿宋" w:eastAsia="仿宋" w:cs="仿宋"/>
          <w:sz w:val="32"/>
          <w:szCs w:val="32"/>
        </w:rPr>
        <w:t>2017</w:t>
      </w:r>
      <w:r>
        <w:rPr>
          <w:rFonts w:hint="eastAsia" w:ascii="仿宋" w:hAnsi="仿宋" w:eastAsia="仿宋" w:cs="仿宋"/>
          <w:sz w:val="32"/>
          <w:szCs w:val="32"/>
        </w:rPr>
        <w:t>﹞</w:t>
      </w:r>
      <w:r>
        <w:rPr>
          <w:rFonts w:ascii="仿宋" w:hAnsi="仿宋" w:eastAsia="仿宋" w:cs="仿宋"/>
          <w:sz w:val="32"/>
          <w:szCs w:val="32"/>
        </w:rPr>
        <w:t>41</w:t>
      </w:r>
      <w:r>
        <w:rPr>
          <w:rFonts w:hint="eastAsia" w:ascii="仿宋" w:hAnsi="仿宋" w:eastAsia="仿宋" w:cs="仿宋"/>
          <w:sz w:val="32"/>
          <w:szCs w:val="32"/>
        </w:rPr>
        <w:t>号）的要求，我单位录入预算绩效范围项目共</w:t>
      </w:r>
      <w:r>
        <w:rPr>
          <w:rFonts w:ascii="仿宋" w:hAnsi="仿宋" w:eastAsia="仿宋" w:cs="仿宋"/>
          <w:sz w:val="32"/>
          <w:szCs w:val="32"/>
        </w:rPr>
        <w:t>0</w:t>
      </w:r>
      <w:r>
        <w:rPr>
          <w:rFonts w:hint="eastAsia" w:ascii="仿宋" w:hAnsi="仿宋" w:eastAsia="仿宋" w:cs="仿宋"/>
          <w:sz w:val="32"/>
          <w:szCs w:val="32"/>
        </w:rPr>
        <w:t>个，涉及金额</w:t>
      </w:r>
      <w:r>
        <w:rPr>
          <w:rFonts w:ascii="仿宋" w:hAnsi="仿宋" w:eastAsia="仿宋" w:cs="仿宋"/>
          <w:sz w:val="32"/>
          <w:szCs w:val="32"/>
        </w:rPr>
        <w:t>0</w:t>
      </w:r>
      <w:r>
        <w:rPr>
          <w:rFonts w:hint="eastAsia" w:ascii="仿宋" w:hAnsi="仿宋" w:eastAsia="仿宋" w:cs="仿宋"/>
          <w:sz w:val="32"/>
          <w:szCs w:val="32"/>
        </w:rPr>
        <w:t>万元。</w:t>
      </w:r>
    </w:p>
    <w:p>
      <w:pPr>
        <w:pStyle w:val="8"/>
        <w:shd w:val="clear" w:color="auto" w:fill="FFFFFF"/>
        <w:spacing w:before="0" w:beforeAutospacing="0" w:after="0" w:line="560" w:lineRule="exact"/>
        <w:ind w:firstLine="640" w:firstLineChars="200"/>
        <w:jc w:val="both"/>
        <w:rPr>
          <w:rFonts w:ascii="黑体" w:eastAsia="黑体"/>
          <w:sz w:val="32"/>
          <w:szCs w:val="32"/>
        </w:rPr>
      </w:pPr>
      <w:r>
        <w:rPr>
          <w:rFonts w:hint="eastAsia" w:ascii="黑体" w:eastAsia="黑体"/>
          <w:sz w:val="32"/>
          <w:szCs w:val="32"/>
        </w:rPr>
        <w:t>六、名词解释</w:t>
      </w:r>
    </w:p>
    <w:p>
      <w:pPr>
        <w:spacing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（一）财政拨款：指由一般公共预算、政府性基金预算安排的财政拨款数。</w:t>
      </w:r>
    </w:p>
    <w:p>
      <w:pPr>
        <w:spacing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（二）一般公共预算：包括公共财政拨款（补助）资金、专项收入。</w:t>
      </w:r>
    </w:p>
    <w:p>
      <w:pPr>
        <w:spacing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（三）财政专户管理资金：包括专户管理行政事业性收费（主要是教育收费）、其他非税收入。</w:t>
      </w:r>
    </w:p>
    <w:p>
      <w:pPr>
        <w:spacing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（四）其他资金：包括事业收入、经营收入、其他收入等。</w:t>
      </w:r>
    </w:p>
    <w:p>
      <w:pPr>
        <w:spacing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（五）基本支出：包括人员经费、商品和服务支出（定额）。其中，人员经费包括工资福利支出、对个人和家庭的补助。</w:t>
      </w:r>
    </w:p>
    <w:p>
      <w:pPr>
        <w:spacing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（六）项目支出：部门支出预算的组成部分，是自治区本级部门为完成其特定的行政任务或事业发展目标，在基本支出预算之外编制的年度项目支出计划。</w:t>
      </w:r>
    </w:p>
    <w:p>
      <w:pPr>
        <w:spacing w:line="560" w:lineRule="exact"/>
        <w:ind w:firstLine="640" w:firstLineChars="200"/>
        <w:jc w:val="right"/>
        <w:rPr>
          <w:rFonts w:ascii="仿宋_GB2312" w:hAnsi="Arial" w:eastAsia="仿宋_GB2312" w:cs="Arial"/>
          <w:sz w:val="32"/>
          <w:szCs w:val="32"/>
        </w:rPr>
      </w:pPr>
      <w:r>
        <w:rPr>
          <w:rFonts w:hint="eastAsia" w:ascii="仿宋_GB2312" w:hAnsi="Arial" w:eastAsia="仿宋_GB2312" w:cs="Arial"/>
          <w:sz w:val="32"/>
          <w:szCs w:val="32"/>
        </w:rPr>
        <w:t>（七）“三公”经费：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60" w:lineRule="exact"/>
        <w:ind w:firstLine="640" w:firstLineChars="200"/>
        <w:rPr>
          <w:rFonts w:ascii="仿宋_GB2312" w:hAnsi="Arial" w:eastAsia="仿宋_GB2312" w:cs="Arial"/>
          <w:sz w:val="32"/>
          <w:szCs w:val="32"/>
        </w:rPr>
      </w:pPr>
      <w:r>
        <w:rPr>
          <w:rFonts w:hint="eastAsia" w:ascii="仿宋_GB2312" w:hAnsi="Arial" w:eastAsia="仿宋_GB2312" w:cs="Arial"/>
          <w:sz w:val="32"/>
          <w:szCs w:val="32"/>
        </w:rPr>
        <w:t>（八）机关运行经费：指各部门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ind w:firstLine="640" w:firstLineChars="200"/>
        <w:rPr>
          <w:rFonts w:ascii="仿宋" w:hAnsi="仿宋" w:eastAsia="仿宋"/>
          <w:sz w:val="32"/>
          <w:szCs w:val="32"/>
        </w:rPr>
      </w:pPr>
    </w:p>
    <w:p>
      <w:pPr>
        <w:spacing w:line="560" w:lineRule="exact"/>
        <w:ind w:firstLine="640" w:firstLineChars="200"/>
        <w:rPr>
          <w:rFonts w:ascii="仿宋" w:hAnsi="仿宋" w:eastAsia="仿宋"/>
          <w:sz w:val="32"/>
          <w:szCs w:val="32"/>
        </w:rPr>
      </w:pPr>
    </w:p>
    <w:p>
      <w:pPr>
        <w:spacing w:line="560" w:lineRule="exact"/>
        <w:ind w:firstLine="640" w:firstLineChars="200"/>
        <w:jc w:val="center"/>
        <w:rPr>
          <w:rFonts w:ascii="仿宋" w:hAnsi="仿宋" w:eastAsia="仿宋"/>
          <w:sz w:val="32"/>
          <w:szCs w:val="32"/>
        </w:rPr>
      </w:pPr>
      <w:r>
        <w:rPr>
          <w:rFonts w:hint="eastAsia" w:ascii="仿宋" w:hAnsi="仿宋" w:eastAsia="仿宋" w:cs="仿宋"/>
          <w:sz w:val="32"/>
          <w:szCs w:val="32"/>
        </w:rPr>
        <w:t>喀什地区英吉沙县环境保护局</w:t>
      </w:r>
    </w:p>
    <w:p>
      <w:pPr>
        <w:spacing w:line="560" w:lineRule="exact"/>
        <w:ind w:firstLine="640" w:firstLineChars="200"/>
        <w:jc w:val="center"/>
        <w:rPr>
          <w:rFonts w:ascii="仿宋" w:hAnsi="仿宋" w:eastAsia="仿宋" w:cs="仿宋"/>
          <w:sz w:val="32"/>
          <w:szCs w:val="32"/>
        </w:rPr>
      </w:pPr>
    </w:p>
    <w:p>
      <w:pPr>
        <w:spacing w:line="560" w:lineRule="exact"/>
        <w:ind w:firstLine="640" w:firstLineChars="200"/>
        <w:jc w:val="center"/>
        <w:rPr>
          <w:rFonts w:ascii="仿宋" w:hAnsi="仿宋" w:eastAsia="仿宋"/>
          <w:kern w:val="0"/>
          <w:sz w:val="32"/>
          <w:szCs w:val="32"/>
        </w:rPr>
      </w:pPr>
      <w:r>
        <w:rPr>
          <w:rFonts w:ascii="仿宋" w:hAnsi="仿宋" w:eastAsia="仿宋" w:cs="仿宋"/>
          <w:sz w:val="32"/>
          <w:szCs w:val="32"/>
        </w:rPr>
        <w:t>2017</w:t>
      </w:r>
      <w:r>
        <w:rPr>
          <w:rFonts w:hint="eastAsia" w:ascii="仿宋" w:hAnsi="仿宋" w:eastAsia="仿宋" w:cs="仿宋"/>
          <w:sz w:val="32"/>
          <w:szCs w:val="32"/>
        </w:rPr>
        <w:t>年3月31日</w:t>
      </w:r>
    </w:p>
    <w:p>
      <w:pPr>
        <w:spacing w:line="560" w:lineRule="exact"/>
        <w:ind w:firstLine="420" w:firstLineChars="20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2</w:t>
    </w:r>
    <w:r>
      <w:rPr>
        <w:lang w:val="zh-CN"/>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A2E"/>
    <w:rsid w:val="00037A3E"/>
    <w:rsid w:val="001C7BAB"/>
    <w:rsid w:val="00226681"/>
    <w:rsid w:val="0034035D"/>
    <w:rsid w:val="00346C4F"/>
    <w:rsid w:val="004A1B2F"/>
    <w:rsid w:val="004D428D"/>
    <w:rsid w:val="005E6980"/>
    <w:rsid w:val="00821B25"/>
    <w:rsid w:val="008227E0"/>
    <w:rsid w:val="00951767"/>
    <w:rsid w:val="009519BA"/>
    <w:rsid w:val="009716A9"/>
    <w:rsid w:val="009E2E9B"/>
    <w:rsid w:val="009E3510"/>
    <w:rsid w:val="00A30513"/>
    <w:rsid w:val="00A420DA"/>
    <w:rsid w:val="00AA6561"/>
    <w:rsid w:val="00AE4FA4"/>
    <w:rsid w:val="00AF4F1E"/>
    <w:rsid w:val="00B0624B"/>
    <w:rsid w:val="00B6392E"/>
    <w:rsid w:val="00B77CE1"/>
    <w:rsid w:val="00C27677"/>
    <w:rsid w:val="00C90B99"/>
    <w:rsid w:val="00CA1C2A"/>
    <w:rsid w:val="00DB3C8C"/>
    <w:rsid w:val="00DD2893"/>
    <w:rsid w:val="00EA5142"/>
    <w:rsid w:val="00F86A2E"/>
    <w:rsid w:val="00FF6951"/>
    <w:rsid w:val="00FF7A5B"/>
    <w:rsid w:val="185716C1"/>
    <w:rsid w:val="2CCC5F7D"/>
    <w:rsid w:val="3C9F4EF6"/>
    <w:rsid w:val="4BA732A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2"/>
    <w:qFormat/>
    <w:uiPriority w:val="99"/>
    <w:pPr>
      <w:widowControl/>
      <w:spacing w:before="240" w:after="240"/>
      <w:jc w:val="left"/>
      <w:outlineLvl w:val="0"/>
    </w:pPr>
    <w:rPr>
      <w:rFonts w:ascii="宋体" w:hAnsi="宋体" w:cs="宋体"/>
      <w:b/>
      <w:bCs/>
      <w:kern w:val="36"/>
      <w:sz w:val="43"/>
      <w:szCs w:val="43"/>
    </w:rPr>
  </w:style>
  <w:style w:type="character" w:default="1" w:styleId="9">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4"/>
    <w:semiHidden/>
    <w:qFormat/>
    <w:uiPriority w:val="99"/>
    <w:rPr>
      <w:b/>
      <w:bCs/>
    </w:rPr>
  </w:style>
  <w:style w:type="paragraph" w:styleId="4">
    <w:name w:val="annotation text"/>
    <w:basedOn w:val="1"/>
    <w:link w:val="13"/>
    <w:semiHidden/>
    <w:qFormat/>
    <w:uiPriority w:val="99"/>
    <w:pPr>
      <w:jc w:val="left"/>
    </w:pPr>
  </w:style>
  <w:style w:type="paragraph" w:styleId="5">
    <w:name w:val="Balloon Text"/>
    <w:basedOn w:val="1"/>
    <w:link w:val="15"/>
    <w:semiHidden/>
    <w:qFormat/>
    <w:uiPriority w:val="99"/>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link w:val="17"/>
    <w:semiHidden/>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240"/>
      <w:jc w:val="left"/>
    </w:pPr>
    <w:rPr>
      <w:rFonts w:ascii="宋体" w:hAnsi="宋体" w:cs="宋体"/>
      <w:kern w:val="0"/>
      <w:sz w:val="24"/>
      <w:szCs w:val="24"/>
    </w:rPr>
  </w:style>
  <w:style w:type="character" w:styleId="10">
    <w:name w:val="annotation reference"/>
    <w:basedOn w:val="9"/>
    <w:semiHidden/>
    <w:qFormat/>
    <w:uiPriority w:val="99"/>
    <w:rPr>
      <w:sz w:val="21"/>
      <w:szCs w:val="21"/>
    </w:rPr>
  </w:style>
  <w:style w:type="character" w:customStyle="1" w:styleId="12">
    <w:name w:val="标题 1 Char"/>
    <w:basedOn w:val="9"/>
    <w:link w:val="2"/>
    <w:qFormat/>
    <w:locked/>
    <w:uiPriority w:val="99"/>
    <w:rPr>
      <w:rFonts w:ascii="宋体" w:hAnsi="宋体" w:eastAsia="宋体" w:cs="宋体"/>
      <w:b/>
      <w:bCs/>
      <w:kern w:val="36"/>
      <w:sz w:val="43"/>
      <w:szCs w:val="43"/>
    </w:rPr>
  </w:style>
  <w:style w:type="character" w:customStyle="1" w:styleId="13">
    <w:name w:val="批注文字 Char"/>
    <w:basedOn w:val="9"/>
    <w:link w:val="4"/>
    <w:semiHidden/>
    <w:qFormat/>
    <w:locked/>
    <w:uiPriority w:val="99"/>
    <w:rPr>
      <w:rFonts w:ascii="Times New Roman" w:hAnsi="Times New Roman" w:eastAsia="宋体" w:cs="Times New Roman"/>
      <w:sz w:val="24"/>
      <w:szCs w:val="24"/>
    </w:rPr>
  </w:style>
  <w:style w:type="character" w:customStyle="1" w:styleId="14">
    <w:name w:val="批注主题 Char"/>
    <w:basedOn w:val="13"/>
    <w:link w:val="3"/>
    <w:semiHidden/>
    <w:qFormat/>
    <w:locked/>
    <w:uiPriority w:val="99"/>
    <w:rPr>
      <w:rFonts w:ascii="Times New Roman" w:hAnsi="Times New Roman" w:eastAsia="宋体" w:cs="Times New Roman"/>
      <w:b/>
      <w:bCs/>
      <w:sz w:val="24"/>
      <w:szCs w:val="24"/>
    </w:rPr>
  </w:style>
  <w:style w:type="character" w:customStyle="1" w:styleId="15">
    <w:name w:val="批注框文本 Char"/>
    <w:basedOn w:val="9"/>
    <w:link w:val="5"/>
    <w:semiHidden/>
    <w:qFormat/>
    <w:locked/>
    <w:uiPriority w:val="99"/>
    <w:rPr>
      <w:rFonts w:ascii="Times New Roman" w:hAnsi="Times New Roman" w:eastAsia="宋体" w:cs="Times New Roman"/>
      <w:sz w:val="18"/>
      <w:szCs w:val="18"/>
    </w:rPr>
  </w:style>
  <w:style w:type="character" w:customStyle="1" w:styleId="16">
    <w:name w:val="页脚 Char"/>
    <w:basedOn w:val="9"/>
    <w:link w:val="6"/>
    <w:qFormat/>
    <w:locked/>
    <w:uiPriority w:val="99"/>
    <w:rPr>
      <w:rFonts w:ascii="Times New Roman" w:hAnsi="Times New Roman" w:eastAsia="宋体" w:cs="Times New Roman"/>
      <w:sz w:val="18"/>
      <w:szCs w:val="18"/>
    </w:rPr>
  </w:style>
  <w:style w:type="character" w:customStyle="1" w:styleId="17">
    <w:name w:val="页眉 Char"/>
    <w:basedOn w:val="9"/>
    <w:link w:val="7"/>
    <w:semiHidden/>
    <w:qFormat/>
    <w:locked/>
    <w:uiPriority w:val="99"/>
    <w:rPr>
      <w:rFonts w:ascii="Times New Roman" w:hAnsi="Times New Roman" w:eastAsia="宋体" w:cs="Times New Roman"/>
      <w:sz w:val="18"/>
      <w:szCs w:val="18"/>
    </w:rPr>
  </w:style>
  <w:style w:type="paragraph" w:customStyle="1" w:styleId="18">
    <w:name w:val="notice_title"/>
    <w:basedOn w:val="1"/>
    <w:qFormat/>
    <w:uiPriority w:val="99"/>
    <w:pPr>
      <w:widowControl/>
      <w:spacing w:after="225"/>
      <w:jc w:val="center"/>
    </w:pPr>
    <w:rPr>
      <w:rFonts w:ascii="宋体" w:hAnsi="宋体" w:cs="宋体"/>
      <w:b/>
      <w:bCs/>
      <w:color w:val="771325"/>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378</Words>
  <Characters>2159</Characters>
  <Lines>17</Lines>
  <Paragraphs>5</Paragraphs>
  <TotalTime>6</TotalTime>
  <ScaleCrop>false</ScaleCrop>
  <LinksUpToDate>false</LinksUpToDate>
  <CharactersWithSpaces>2532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2018-12-26T09:32:00Z</dcterms:created>
  <dc:creator>Administrator</dc:creator>
  <cp:lastModifiedBy>lenovo</cp:lastModifiedBy>
  <dcterms:modified xsi:type="dcterms:W3CDTF">2019-01-03T15:19:01Z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