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ascii="黑体" w:hAnsi="黑体" w:eastAsia="黑体" w:cs="Times New Roman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喀什地区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英吉沙县粮食局</w:t>
      </w:r>
      <w:r>
        <w:rPr>
          <w:rFonts w:ascii="黑体" w:hAnsi="黑体" w:eastAsia="黑体" w:cs="黑体"/>
          <w:b w:val="0"/>
          <w:bCs w:val="0"/>
          <w:sz w:val="44"/>
          <w:szCs w:val="44"/>
        </w:rPr>
        <w:t>2017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年部门预算信息公开说明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361" w:firstLineChars="200"/>
        <w:jc w:val="both"/>
        <w:textAlignment w:val="auto"/>
        <w:rPr>
          <w:rFonts w:ascii="黑体" w:hAnsi="黑体" w:eastAsia="黑体" w:cs="Times New Roman"/>
          <w:b/>
          <w:bCs/>
          <w:sz w:val="18"/>
          <w:szCs w:val="18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为进一步增强政府预算透明度，提升预算管理水平，更好地保障公民的知情权、参与权和监督权，根据喀什地区《关于</w:t>
      </w:r>
      <w:r>
        <w:rPr>
          <w:rFonts w:ascii="仿宋" w:hAnsi="仿宋" w:eastAsia="仿宋" w:cs="仿宋"/>
          <w:b w:val="0"/>
          <w:bCs w:val="0"/>
          <w:color w:val="auto"/>
          <w:sz w:val="32"/>
          <w:szCs w:val="32"/>
        </w:rPr>
        <w:t>2017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年部门预算信息公开工作的通知》（喀地财预﹝</w:t>
      </w:r>
      <w:r>
        <w:rPr>
          <w:rFonts w:ascii="仿宋" w:hAnsi="仿宋" w:eastAsia="仿宋" w:cs="仿宋"/>
          <w:b w:val="0"/>
          <w:bCs w:val="0"/>
          <w:color w:val="auto"/>
          <w:sz w:val="32"/>
          <w:szCs w:val="32"/>
        </w:rPr>
        <w:t>2017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﹞</w:t>
      </w:r>
      <w:r>
        <w:rPr>
          <w:rFonts w:ascii="仿宋" w:hAnsi="仿宋" w:eastAsia="仿宋" w:cs="仿宋"/>
          <w:b w:val="0"/>
          <w:bCs w:val="0"/>
          <w:color w:val="auto"/>
          <w:sz w:val="32"/>
          <w:szCs w:val="32"/>
        </w:rPr>
        <w:t>40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号）的要求，现将喀什地区英吉沙县粮食局</w:t>
      </w:r>
      <w:r>
        <w:rPr>
          <w:rFonts w:ascii="仿宋" w:hAnsi="仿宋" w:eastAsia="仿宋" w:cs="仿宋"/>
          <w:b w:val="0"/>
          <w:bCs w:val="0"/>
          <w:color w:val="auto"/>
          <w:sz w:val="32"/>
          <w:szCs w:val="32"/>
        </w:rPr>
        <w:t>2017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年部门预算及“三公经费”信息公开如下：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一、部门基本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情况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（一）部门职能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、本部门单位工作职能。贯彻执行国家级自治区有关粮食的法律、法规、规章和方针政策，协调整顿和规范市场经济秩序工作，做好市场经济运行分析及粮食收购、销售工作。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（二）机构设置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根据职责，纳入</w:t>
      </w: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年部门预算编制范围的有粮食局。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（三）人员编制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编制人数</w:t>
      </w:r>
      <w:r>
        <w:rPr>
          <w:rFonts w:ascii="仿宋" w:hAnsi="仿宋" w:eastAsia="仿宋" w:cs="仿宋"/>
          <w:sz w:val="32"/>
          <w:szCs w:val="32"/>
        </w:rPr>
        <w:t xml:space="preserve"> 1 </w:t>
      </w:r>
      <w:r>
        <w:rPr>
          <w:rFonts w:hint="eastAsia" w:ascii="仿宋" w:hAnsi="仿宋" w:eastAsia="仿宋" w:cs="仿宋"/>
          <w:sz w:val="32"/>
          <w:szCs w:val="32"/>
        </w:rPr>
        <w:t>人，其中：行政人员编制</w:t>
      </w:r>
      <w:r>
        <w:rPr>
          <w:rFonts w:ascii="仿宋" w:hAnsi="仿宋" w:eastAsia="仿宋" w:cs="仿宋"/>
          <w:sz w:val="32"/>
          <w:szCs w:val="32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人，参照公务员管理的事业单位人员编制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人，全额拨款事业单位人员编制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人。实有在职人数</w:t>
      </w: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人，其中：行政在职</w:t>
      </w:r>
      <w:r>
        <w:rPr>
          <w:rFonts w:ascii="仿宋" w:hAnsi="仿宋" w:eastAsia="仿宋" w:cs="仿宋"/>
          <w:sz w:val="32"/>
          <w:szCs w:val="32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人，参照公务员管理的事业单位人员</w:t>
      </w:r>
      <w:r>
        <w:rPr>
          <w:rFonts w:ascii="仿宋" w:hAnsi="仿宋" w:eastAsia="仿宋" w:cs="仿宋"/>
          <w:sz w:val="32"/>
          <w:szCs w:val="32"/>
        </w:rPr>
        <w:t xml:space="preserve"> 0</w:t>
      </w:r>
      <w:r>
        <w:rPr>
          <w:rFonts w:hint="eastAsia" w:ascii="仿宋" w:hAnsi="仿宋" w:eastAsia="仿宋" w:cs="仿宋"/>
          <w:sz w:val="32"/>
          <w:szCs w:val="32"/>
        </w:rPr>
        <w:t>人，事业在职</w:t>
      </w:r>
      <w:r>
        <w:rPr>
          <w:rFonts w:ascii="仿宋" w:hAnsi="仿宋" w:eastAsia="仿宋" w:cs="仿宋"/>
          <w:sz w:val="32"/>
          <w:szCs w:val="32"/>
        </w:rPr>
        <w:t xml:space="preserve"> 0</w:t>
      </w:r>
      <w:r>
        <w:rPr>
          <w:rFonts w:hint="eastAsia" w:ascii="仿宋" w:hAnsi="仿宋" w:eastAsia="仿宋" w:cs="仿宋"/>
          <w:sz w:val="32"/>
          <w:szCs w:val="32"/>
        </w:rPr>
        <w:t>人，工勤在职人数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人。离退休人员</w:t>
      </w: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人，其中：离休人员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人，退休人员</w:t>
      </w: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人。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（四）资产情况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年单位占有使用国有资产35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93万元，其中：流动资产25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07万元，固定资产10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86万元，长期投资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万元，在建工程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万元，无形资产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万元，其他资产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万元。拥有房屋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平方米。汽车</w:t>
      </w: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辆。单价在</w:t>
      </w:r>
      <w:r>
        <w:rPr>
          <w:rFonts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万元以上的设备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台（套）。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与上年相比</w:t>
      </w:r>
      <w:r>
        <w:rPr>
          <w:rFonts w:hint="eastAsia" w:ascii="仿宋" w:hAnsi="仿宋" w:eastAsia="仿宋" w:cs="仿宋"/>
          <w:sz w:val="32"/>
          <w:szCs w:val="32"/>
        </w:rPr>
        <w:t>减少</w:t>
      </w:r>
      <w:r>
        <w:rPr>
          <w:rFonts w:ascii="仿宋" w:hAnsi="仿宋" w:eastAsia="仿宋" w:cs="仿宋"/>
          <w:sz w:val="32"/>
          <w:szCs w:val="32"/>
        </w:rPr>
        <w:t>11.48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主要原因</w:t>
      </w:r>
      <w:r>
        <w:rPr>
          <w:rFonts w:hint="eastAsia" w:ascii="仿宋" w:hAnsi="仿宋" w:eastAsia="仿宋" w:cs="仿宋"/>
          <w:sz w:val="32"/>
          <w:szCs w:val="32"/>
        </w:rPr>
        <w:t>是工资福支出利减少</w:t>
      </w:r>
      <w:r>
        <w:rPr>
          <w:rFonts w:ascii="仿宋" w:hAnsi="仿宋" w:eastAsia="仿宋" w:cs="仿宋"/>
          <w:sz w:val="32"/>
          <w:szCs w:val="32"/>
        </w:rPr>
        <w:t>4.01</w:t>
      </w:r>
      <w:r>
        <w:rPr>
          <w:rFonts w:hint="eastAsia" w:ascii="仿宋" w:hAnsi="仿宋" w:eastAsia="仿宋" w:cs="仿宋"/>
          <w:sz w:val="32"/>
          <w:szCs w:val="32"/>
        </w:rPr>
        <w:t>万元，退休人员减少</w:t>
      </w: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人，对个人和家庭的补助支出减少</w:t>
      </w:r>
      <w:r>
        <w:rPr>
          <w:rFonts w:ascii="仿宋" w:hAnsi="仿宋" w:eastAsia="仿宋" w:cs="仿宋"/>
          <w:sz w:val="32"/>
          <w:szCs w:val="32"/>
        </w:rPr>
        <w:t>7.47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ascii="黑体" w:hAnsi="黑体" w:eastAsia="黑体" w:cs="黑体"/>
          <w:sz w:val="32"/>
          <w:szCs w:val="32"/>
        </w:rPr>
        <w:t>2017</w:t>
      </w:r>
      <w:r>
        <w:rPr>
          <w:rFonts w:hint="eastAsia" w:ascii="黑体" w:hAnsi="黑体" w:eastAsia="黑体" w:cs="黑体"/>
          <w:sz w:val="32"/>
          <w:szCs w:val="32"/>
        </w:rPr>
        <w:t>年部门预算收支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（一）收支总体情况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收入预算</w:t>
      </w:r>
      <w:r>
        <w:rPr>
          <w:rFonts w:ascii="仿宋" w:hAnsi="仿宋" w:eastAsia="仿宋" w:cs="仿宋"/>
          <w:sz w:val="32"/>
          <w:szCs w:val="32"/>
        </w:rPr>
        <w:t>60.71</w:t>
      </w:r>
      <w:r>
        <w:rPr>
          <w:rFonts w:hint="eastAsia" w:ascii="仿宋" w:hAnsi="仿宋" w:eastAsia="仿宋" w:cs="仿宋"/>
          <w:sz w:val="32"/>
          <w:szCs w:val="32"/>
        </w:rPr>
        <w:t>万元，其中：一般公共预算收入</w:t>
      </w:r>
      <w:r>
        <w:rPr>
          <w:rFonts w:ascii="仿宋" w:hAnsi="仿宋" w:eastAsia="仿宋" w:cs="仿宋"/>
          <w:sz w:val="32"/>
          <w:szCs w:val="32"/>
        </w:rPr>
        <w:t>60.71</w:t>
      </w:r>
      <w:r>
        <w:rPr>
          <w:rFonts w:hint="eastAsia" w:ascii="仿宋" w:hAnsi="仿宋" w:eastAsia="仿宋" w:cs="仿宋"/>
          <w:sz w:val="32"/>
          <w:szCs w:val="32"/>
        </w:rPr>
        <w:t>万元，政府性基金预算收入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万元，纳入专户管理的非税收入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万元，其他收入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万元，事业单位经营收入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万元。支出预算总额为</w:t>
      </w:r>
      <w:r>
        <w:rPr>
          <w:rFonts w:ascii="仿宋" w:hAnsi="仿宋" w:eastAsia="仿宋" w:cs="仿宋"/>
          <w:sz w:val="32"/>
          <w:szCs w:val="32"/>
        </w:rPr>
        <w:t xml:space="preserve">0 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（二）预算支出主要内容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支出分为基本支出和项目支出</w:t>
      </w:r>
      <w:r>
        <w:rPr>
          <w:rFonts w:ascii="仿宋" w:hAnsi="仿宋" w:eastAsia="仿宋" w:cs="仿宋"/>
          <w:sz w:val="32"/>
          <w:szCs w:val="32"/>
        </w:rPr>
        <w:t>60.71</w:t>
      </w:r>
      <w:r>
        <w:rPr>
          <w:rFonts w:hint="eastAsia" w:ascii="仿宋" w:hAnsi="仿宋" w:eastAsia="仿宋" w:cs="仿宋"/>
          <w:sz w:val="32"/>
          <w:szCs w:val="32"/>
        </w:rPr>
        <w:t>万元，其中：基本支出预算安排</w:t>
      </w:r>
      <w:r>
        <w:rPr>
          <w:rFonts w:ascii="仿宋" w:hAnsi="仿宋" w:eastAsia="仿宋" w:cs="仿宋"/>
          <w:sz w:val="32"/>
          <w:szCs w:val="32"/>
        </w:rPr>
        <w:t xml:space="preserve"> 60.71</w:t>
      </w:r>
      <w:r>
        <w:rPr>
          <w:rFonts w:hint="eastAsia" w:ascii="仿宋" w:hAnsi="仿宋" w:eastAsia="仿宋" w:cs="仿宋"/>
          <w:sz w:val="32"/>
          <w:szCs w:val="32"/>
        </w:rPr>
        <w:t>万元，包括：工资福利支出</w:t>
      </w:r>
      <w:r>
        <w:rPr>
          <w:rFonts w:ascii="仿宋" w:hAnsi="仿宋" w:eastAsia="仿宋" w:cs="仿宋"/>
          <w:sz w:val="32"/>
          <w:szCs w:val="32"/>
        </w:rPr>
        <w:t>16.66</w:t>
      </w:r>
      <w:r>
        <w:rPr>
          <w:rFonts w:hint="eastAsia" w:ascii="仿宋" w:hAnsi="仿宋" w:eastAsia="仿宋" w:cs="仿宋"/>
          <w:sz w:val="32"/>
          <w:szCs w:val="32"/>
        </w:rPr>
        <w:t>万元，商品和服务支出</w:t>
      </w:r>
      <w:r>
        <w:rPr>
          <w:rFonts w:ascii="仿宋" w:hAnsi="仿宋" w:eastAsia="仿宋" w:cs="仿宋"/>
          <w:sz w:val="32"/>
          <w:szCs w:val="32"/>
        </w:rPr>
        <w:t xml:space="preserve"> 2.53</w:t>
      </w:r>
      <w:r>
        <w:rPr>
          <w:rFonts w:hint="eastAsia" w:ascii="仿宋" w:hAnsi="仿宋" w:eastAsia="仿宋" w:cs="仿宋"/>
          <w:sz w:val="32"/>
          <w:szCs w:val="32"/>
        </w:rPr>
        <w:t>万元，对个人和家庭的补助支出</w:t>
      </w:r>
      <w:r>
        <w:rPr>
          <w:rFonts w:ascii="仿宋" w:hAnsi="仿宋" w:eastAsia="仿宋" w:cs="仿宋"/>
          <w:sz w:val="32"/>
          <w:szCs w:val="32"/>
        </w:rPr>
        <w:t xml:space="preserve">41.52 </w:t>
      </w:r>
      <w:r>
        <w:rPr>
          <w:rFonts w:hint="eastAsia" w:ascii="仿宋" w:hAnsi="仿宋" w:eastAsia="仿宋" w:cs="仿宋"/>
          <w:sz w:val="32"/>
          <w:szCs w:val="32"/>
        </w:rPr>
        <w:t>万元。基本支出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比上年</w:t>
      </w:r>
      <w:r>
        <w:rPr>
          <w:rFonts w:hint="eastAsia" w:ascii="仿宋" w:hAnsi="仿宋" w:eastAsia="仿宋" w:cs="仿宋"/>
          <w:sz w:val="32"/>
          <w:szCs w:val="32"/>
        </w:rPr>
        <w:t>预算减少</w:t>
      </w:r>
      <w:r>
        <w:rPr>
          <w:rFonts w:ascii="仿宋" w:hAnsi="仿宋" w:eastAsia="仿宋" w:cs="仿宋"/>
          <w:sz w:val="32"/>
          <w:szCs w:val="32"/>
        </w:rPr>
        <w:t xml:space="preserve">11.48 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主要原因</w:t>
      </w:r>
      <w:r>
        <w:rPr>
          <w:rFonts w:hint="eastAsia" w:ascii="仿宋" w:hAnsi="仿宋" w:eastAsia="仿宋" w:cs="仿宋"/>
          <w:sz w:val="32"/>
          <w:szCs w:val="32"/>
        </w:rPr>
        <w:t>是工资福利减少</w:t>
      </w:r>
      <w:r>
        <w:rPr>
          <w:rFonts w:ascii="仿宋" w:hAnsi="仿宋" w:eastAsia="仿宋" w:cs="仿宋"/>
          <w:sz w:val="32"/>
          <w:szCs w:val="32"/>
        </w:rPr>
        <w:t>4.01</w:t>
      </w:r>
      <w:r>
        <w:rPr>
          <w:rFonts w:hint="eastAsia" w:ascii="仿宋" w:hAnsi="仿宋" w:eastAsia="仿宋" w:cs="仿宋"/>
          <w:sz w:val="32"/>
          <w:szCs w:val="32"/>
        </w:rPr>
        <w:t>万元，退休人员减少</w:t>
      </w: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人，对个人和家庭的补助减少</w:t>
      </w:r>
      <w:r>
        <w:rPr>
          <w:rFonts w:ascii="仿宋" w:hAnsi="仿宋" w:eastAsia="仿宋" w:cs="仿宋"/>
          <w:sz w:val="32"/>
          <w:szCs w:val="32"/>
        </w:rPr>
        <w:t>7.47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项目支出预算安排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万元，与上年相同，主要原因是未安排项目支出。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按资金来源分类，预算支出合计</w:t>
      </w:r>
      <w:r>
        <w:rPr>
          <w:rFonts w:ascii="仿宋" w:hAnsi="仿宋" w:eastAsia="仿宋" w:cs="仿宋"/>
          <w:sz w:val="32"/>
          <w:szCs w:val="32"/>
        </w:rPr>
        <w:t>60.71</w:t>
      </w:r>
      <w:r>
        <w:rPr>
          <w:rFonts w:hint="eastAsia" w:ascii="仿宋" w:hAnsi="仿宋" w:eastAsia="仿宋" w:cs="仿宋"/>
          <w:sz w:val="32"/>
          <w:szCs w:val="32"/>
        </w:rPr>
        <w:t>万元，其中：一般公共预算支出</w:t>
      </w:r>
      <w:r>
        <w:rPr>
          <w:rFonts w:ascii="仿宋" w:hAnsi="仿宋" w:eastAsia="仿宋" w:cs="仿宋"/>
          <w:sz w:val="32"/>
          <w:szCs w:val="32"/>
        </w:rPr>
        <w:t>60.71</w:t>
      </w:r>
      <w:r>
        <w:rPr>
          <w:rFonts w:hint="eastAsia" w:ascii="仿宋" w:hAnsi="仿宋" w:eastAsia="仿宋" w:cs="仿宋"/>
          <w:sz w:val="32"/>
          <w:szCs w:val="32"/>
        </w:rPr>
        <w:t>万元，政府性基金预算支出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万元，纳入专户管理的非税收入支出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万元，其他收入支出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万元，事业单位经营收入支出</w:t>
      </w:r>
      <w:r>
        <w:rPr>
          <w:rFonts w:ascii="仿宋" w:hAnsi="仿宋" w:eastAsia="仿宋" w:cs="仿宋"/>
          <w:sz w:val="32"/>
          <w:szCs w:val="32"/>
        </w:rPr>
        <w:t xml:space="preserve"> 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（三）机关运行经费情况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机关运行经费预算支出</w:t>
      </w:r>
      <w:r>
        <w:rPr>
          <w:rFonts w:ascii="仿宋" w:hAnsi="仿宋" w:eastAsia="仿宋" w:cs="仿宋"/>
          <w:sz w:val="32"/>
          <w:szCs w:val="32"/>
        </w:rPr>
        <w:t>2.53</w:t>
      </w:r>
      <w:r>
        <w:rPr>
          <w:rFonts w:hint="eastAsia" w:ascii="仿宋" w:hAnsi="仿宋" w:eastAsia="仿宋" w:cs="仿宋"/>
          <w:sz w:val="32"/>
          <w:szCs w:val="32"/>
        </w:rPr>
        <w:t>万元，其中：一般公共预算支出</w:t>
      </w:r>
      <w:r>
        <w:rPr>
          <w:rFonts w:ascii="仿宋" w:hAnsi="仿宋" w:eastAsia="仿宋" w:cs="仿宋"/>
          <w:sz w:val="32"/>
          <w:szCs w:val="32"/>
        </w:rPr>
        <w:t>2.53</w:t>
      </w:r>
      <w:r>
        <w:rPr>
          <w:rFonts w:hint="eastAsia" w:ascii="仿宋" w:hAnsi="仿宋" w:eastAsia="仿宋" w:cs="仿宋"/>
          <w:sz w:val="32"/>
          <w:szCs w:val="32"/>
        </w:rPr>
        <w:t>万元，政府性基金预算支出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万元，纳入专户管理的非税收入支出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万元，其他收入支出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万元，事业单位经营收入支出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与上年</w:t>
      </w:r>
      <w:r>
        <w:rPr>
          <w:rFonts w:hint="eastAsia" w:ascii="仿宋" w:hAnsi="仿宋" w:eastAsia="仿宋" w:cs="仿宋"/>
          <w:sz w:val="32"/>
          <w:szCs w:val="32"/>
        </w:rPr>
        <w:t>相同，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主要原因</w:t>
      </w:r>
      <w:r>
        <w:rPr>
          <w:rFonts w:hint="eastAsia" w:ascii="仿宋" w:hAnsi="仿宋" w:eastAsia="仿宋" w:cs="仿宋"/>
          <w:sz w:val="32"/>
          <w:szCs w:val="32"/>
        </w:rPr>
        <w:t>是未发生变动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ascii="黑体" w:hAnsi="黑体" w:eastAsia="黑体" w:cs="黑体"/>
          <w:sz w:val="32"/>
          <w:szCs w:val="32"/>
        </w:rPr>
        <w:t>2017</w:t>
      </w:r>
      <w:r>
        <w:rPr>
          <w:rFonts w:hint="eastAsia" w:ascii="黑体" w:hAnsi="黑体" w:eastAsia="黑体" w:cs="黑体"/>
          <w:sz w:val="32"/>
          <w:szCs w:val="32"/>
        </w:rPr>
        <w:t>年财政拨款安排的“三公经费”支出预算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年喀什地区英吉沙县粮食局财政拨款安排的“三公经费”预算安排总额为</w:t>
      </w:r>
      <w:r>
        <w:rPr>
          <w:rFonts w:ascii="仿宋" w:hAnsi="仿宋" w:eastAsia="仿宋" w:cs="仿宋"/>
          <w:sz w:val="32"/>
          <w:szCs w:val="32"/>
        </w:rPr>
        <w:t>1.5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与上年</w:t>
      </w:r>
      <w:r>
        <w:rPr>
          <w:rFonts w:hint="eastAsia" w:ascii="仿宋" w:hAnsi="仿宋" w:eastAsia="仿宋" w:cs="仿宋"/>
          <w:sz w:val="32"/>
          <w:szCs w:val="32"/>
        </w:rPr>
        <w:t>相同。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（一）因公出国（境）经费预算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因公出国（境）经费预算项目支出安排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ascii="仿宋" w:hAnsi="仿宋" w:eastAsia="仿宋" w:cs="仿宋"/>
          <w:sz w:val="32"/>
          <w:szCs w:val="32"/>
        </w:rPr>
        <w:t xml:space="preserve">,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与上年</w:t>
      </w:r>
      <w:r>
        <w:rPr>
          <w:rFonts w:hint="eastAsia" w:ascii="仿宋" w:hAnsi="仿宋" w:eastAsia="仿宋" w:cs="仿宋"/>
          <w:sz w:val="32"/>
          <w:szCs w:val="32"/>
        </w:rPr>
        <w:t>相同，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主要原因</w:t>
      </w:r>
      <w:r>
        <w:rPr>
          <w:rFonts w:hint="eastAsia" w:ascii="仿宋" w:hAnsi="仿宋" w:eastAsia="仿宋" w:cs="仿宋"/>
          <w:sz w:val="32"/>
          <w:szCs w:val="32"/>
        </w:rPr>
        <w:t>是无因公出国（境）事项等方面，</w:t>
      </w:r>
      <w:r>
        <w:rPr>
          <w:rFonts w:ascii="仿宋" w:hAnsi="仿宋" w:eastAsia="仿宋" w:cs="仿宋"/>
          <w:sz w:val="32"/>
          <w:szCs w:val="32"/>
        </w:rPr>
        <w:t xml:space="preserve"> 2017</w:t>
      </w:r>
      <w:r>
        <w:rPr>
          <w:rFonts w:hint="eastAsia" w:ascii="仿宋" w:hAnsi="仿宋" w:eastAsia="仿宋" w:cs="仿宋"/>
          <w:sz w:val="32"/>
          <w:szCs w:val="32"/>
        </w:rPr>
        <w:t>年因公出国（境）团组</w:t>
      </w:r>
      <w:r>
        <w:rPr>
          <w:rFonts w:ascii="仿宋" w:hAnsi="仿宋" w:eastAsia="仿宋" w:cs="仿宋"/>
          <w:sz w:val="32"/>
          <w:szCs w:val="32"/>
        </w:rPr>
        <w:t xml:space="preserve">0 </w:t>
      </w:r>
      <w:r>
        <w:rPr>
          <w:rFonts w:hint="eastAsia" w:ascii="仿宋" w:hAnsi="仿宋" w:eastAsia="仿宋" w:cs="仿宋"/>
          <w:sz w:val="32"/>
          <w:szCs w:val="32"/>
        </w:rPr>
        <w:t>组、人数</w:t>
      </w:r>
      <w:r>
        <w:rPr>
          <w:rFonts w:ascii="仿宋" w:hAnsi="仿宋" w:eastAsia="仿宋" w:cs="仿宋"/>
          <w:sz w:val="32"/>
          <w:szCs w:val="32"/>
        </w:rPr>
        <w:t xml:space="preserve">0 </w:t>
      </w:r>
      <w:r>
        <w:rPr>
          <w:rFonts w:hint="eastAsia" w:ascii="仿宋" w:hAnsi="仿宋" w:eastAsia="仿宋" w:cs="仿宋"/>
          <w:sz w:val="32"/>
          <w:szCs w:val="32"/>
        </w:rPr>
        <w:t>人。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（二）公务接待费用预算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公务接待费用预算安排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与上年</w:t>
      </w:r>
      <w:r>
        <w:rPr>
          <w:rFonts w:hint="eastAsia" w:ascii="仿宋" w:hAnsi="仿宋" w:eastAsia="仿宋" w:cs="仿宋"/>
          <w:sz w:val="32"/>
          <w:szCs w:val="32"/>
        </w:rPr>
        <w:t>相同，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主要原因</w:t>
      </w:r>
      <w:r>
        <w:rPr>
          <w:rFonts w:hint="eastAsia" w:ascii="仿宋" w:hAnsi="仿宋" w:eastAsia="仿宋" w:cs="仿宋"/>
          <w:sz w:val="32"/>
          <w:szCs w:val="32"/>
        </w:rPr>
        <w:t>是未安排预算，</w:t>
      </w: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年国内公务接待的批次为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批、人数为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（三）公务用车购置及运行维护费预算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公务用车购置及运行维护费预算安排</w:t>
      </w:r>
      <w:r>
        <w:rPr>
          <w:rFonts w:ascii="仿宋" w:hAnsi="仿宋" w:eastAsia="仿宋" w:cs="仿宋"/>
          <w:sz w:val="32"/>
          <w:szCs w:val="32"/>
        </w:rPr>
        <w:t>1.5</w:t>
      </w:r>
      <w:r>
        <w:rPr>
          <w:rFonts w:hint="eastAsia" w:ascii="仿宋" w:hAnsi="仿宋" w:eastAsia="仿宋" w:cs="仿宋"/>
          <w:sz w:val="32"/>
          <w:szCs w:val="32"/>
        </w:rPr>
        <w:t>万元，主要用于</w:t>
      </w: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年车辆的公务用车运行维护费等方面的支出，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与上年</w:t>
      </w:r>
      <w:r>
        <w:rPr>
          <w:rFonts w:hint="eastAsia" w:ascii="仿宋" w:hAnsi="仿宋" w:eastAsia="仿宋" w:cs="仿宋"/>
          <w:sz w:val="32"/>
          <w:szCs w:val="32"/>
        </w:rPr>
        <w:t>相同，主要原因是未发生变动。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ascii="黑体" w:hAnsi="黑体" w:eastAsia="黑体" w:cs="黑体"/>
          <w:sz w:val="32"/>
          <w:szCs w:val="32"/>
        </w:rPr>
        <w:t>2017</w:t>
      </w:r>
      <w:r>
        <w:rPr>
          <w:rFonts w:hint="eastAsia" w:ascii="黑体" w:hAnsi="黑体" w:eastAsia="黑体" w:cs="黑体"/>
          <w:sz w:val="32"/>
          <w:szCs w:val="32"/>
        </w:rPr>
        <w:t>年政府采购支出预算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年喀什地区英吉沙县粮食局财政拨款安排政府采购经费支出总计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五、预算绩效信息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根据地区财政局《</w:t>
      </w:r>
      <w:r>
        <w:rPr>
          <w:rFonts w:hint="eastAsia" w:ascii="仿宋" w:hAnsi="仿宋" w:eastAsia="仿宋" w:cs="仿宋"/>
          <w:kern w:val="0"/>
          <w:sz w:val="32"/>
          <w:szCs w:val="32"/>
        </w:rPr>
        <w:t>关于开展</w:t>
      </w:r>
      <w:r>
        <w:rPr>
          <w:rFonts w:ascii="仿宋" w:hAnsi="仿宋" w:eastAsia="仿宋" w:cs="仿宋"/>
          <w:kern w:val="0"/>
          <w:sz w:val="32"/>
          <w:szCs w:val="32"/>
        </w:rPr>
        <w:t>2017</w:t>
      </w:r>
      <w:r>
        <w:rPr>
          <w:rFonts w:hint="eastAsia" w:ascii="仿宋" w:hAnsi="仿宋" w:eastAsia="仿宋" w:cs="仿宋"/>
          <w:kern w:val="0"/>
          <w:sz w:val="32"/>
          <w:szCs w:val="32"/>
        </w:rPr>
        <w:t>年喀什地区本级财政资金绩效评价的通知</w:t>
      </w:r>
      <w:r>
        <w:rPr>
          <w:rFonts w:hint="eastAsia" w:ascii="仿宋" w:hAnsi="仿宋" w:eastAsia="仿宋" w:cs="仿宋"/>
          <w:sz w:val="32"/>
          <w:szCs w:val="32"/>
        </w:rPr>
        <w:t>》（喀地财预﹝</w:t>
      </w: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﹞</w:t>
      </w:r>
      <w:r>
        <w:rPr>
          <w:rFonts w:ascii="仿宋" w:hAnsi="仿宋" w:eastAsia="仿宋" w:cs="仿宋"/>
          <w:sz w:val="32"/>
          <w:szCs w:val="32"/>
        </w:rPr>
        <w:t>41</w:t>
      </w:r>
      <w:r>
        <w:rPr>
          <w:rFonts w:hint="eastAsia" w:ascii="仿宋" w:hAnsi="仿宋" w:eastAsia="仿宋" w:cs="仿宋"/>
          <w:sz w:val="32"/>
          <w:szCs w:val="32"/>
        </w:rPr>
        <w:t>号）的要求，我单位录入预算绩效范围项目共</w:t>
      </w:r>
      <w:r>
        <w:rPr>
          <w:rFonts w:ascii="仿宋" w:hAnsi="仿宋" w:eastAsia="仿宋" w:cs="仿宋"/>
          <w:sz w:val="32"/>
          <w:szCs w:val="32"/>
        </w:rPr>
        <w:t xml:space="preserve">0 </w:t>
      </w:r>
      <w:r>
        <w:rPr>
          <w:rFonts w:hint="eastAsia" w:ascii="仿宋" w:hAnsi="仿宋" w:eastAsia="仿宋" w:cs="仿宋"/>
          <w:sz w:val="32"/>
          <w:szCs w:val="32"/>
        </w:rPr>
        <w:t>个，涉及金额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eastAsia="zh-CN"/>
        </w:rPr>
        <w:t>六、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名词解释：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 w:cs="仿宋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</w:rPr>
        <w:t>一、财政拨款：指由一般公共预算、政府性基金预算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安排的财政拨款数。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二、一般公共预算：包括公共财政拨款（补助）资金、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专项收入。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三、财政专户管理资金：包括专户管理行政事业性收费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（主要是教育收费）、其他非税收入。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四、其他资金：包括事业收入、经营收入、其他收入等。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五、基本支出：包括人员经费、商品和服务支出（定额）。其中，人员经费包括工资福利支出、对个人和家庭的补助。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六、项目支出：部门支出预算的组成部分，是自治区本级部门为完成其特定的行政任务或事业发展目标，在基本支出预算之外编制的年度项目支出计划。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七、“三公”经费：指自治区本级部门用一般公共预算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公务接待（含外宾接待）支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八、机关运行经费：指各部门的公用经费，包括办公及印刷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费、邮电费、差旅费、会议费、福利费、日常维修费、专用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400" w:firstLine="640" w:firstLineChars="200"/>
        <w:jc w:val="center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喀什地区</w:t>
      </w:r>
      <w:r>
        <w:rPr>
          <w:rFonts w:hint="eastAsia" w:ascii="仿宋" w:hAnsi="仿宋" w:eastAsia="仿宋" w:cs="仿宋"/>
          <w:sz w:val="32"/>
          <w:szCs w:val="32"/>
        </w:rPr>
        <w:t>英吉沙县粮食局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400" w:firstLine="640" w:firstLineChars="200"/>
        <w:jc w:val="center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400" w:firstLine="640" w:firstLineChars="200"/>
        <w:jc w:val="center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400" w:firstLine="420" w:firstLineChars="200"/>
        <w:jc w:val="center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6A2E"/>
    <w:rsid w:val="00022B77"/>
    <w:rsid w:val="000E2384"/>
    <w:rsid w:val="00190E0B"/>
    <w:rsid w:val="00226681"/>
    <w:rsid w:val="00377EAD"/>
    <w:rsid w:val="003B2DB3"/>
    <w:rsid w:val="0052499C"/>
    <w:rsid w:val="005D5B4E"/>
    <w:rsid w:val="0077492D"/>
    <w:rsid w:val="00780F95"/>
    <w:rsid w:val="008227E0"/>
    <w:rsid w:val="008C0C19"/>
    <w:rsid w:val="009E2E9B"/>
    <w:rsid w:val="00A420DA"/>
    <w:rsid w:val="00AF4F1E"/>
    <w:rsid w:val="00B0624B"/>
    <w:rsid w:val="00BB2EEB"/>
    <w:rsid w:val="00C27677"/>
    <w:rsid w:val="00E232A6"/>
    <w:rsid w:val="00E87EAB"/>
    <w:rsid w:val="00EF7D60"/>
    <w:rsid w:val="00F045E2"/>
    <w:rsid w:val="00F86A2E"/>
    <w:rsid w:val="00FA1EF0"/>
    <w:rsid w:val="00FF7A5B"/>
    <w:rsid w:val="264D38B3"/>
    <w:rsid w:val="28E8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nhideWhenUsed="0"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9"/>
    <w:pPr>
      <w:widowControl/>
      <w:spacing w:before="240" w:after="240"/>
      <w:jc w:val="left"/>
      <w:outlineLvl w:val="0"/>
    </w:pPr>
    <w:rPr>
      <w:rFonts w:ascii="宋体" w:hAnsi="宋体" w:cs="宋体"/>
      <w:b/>
      <w:bCs/>
      <w:kern w:val="36"/>
      <w:sz w:val="43"/>
      <w:szCs w:val="43"/>
    </w:rPr>
  </w:style>
  <w:style w:type="character" w:default="1" w:styleId="9">
    <w:name w:val="Default Paragraph Font"/>
    <w:semiHidden/>
    <w:uiPriority w:val="99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14"/>
    <w:semiHidden/>
    <w:uiPriority w:val="99"/>
    <w:rPr>
      <w:b/>
      <w:bCs/>
    </w:rPr>
  </w:style>
  <w:style w:type="paragraph" w:styleId="4">
    <w:name w:val="annotation text"/>
    <w:basedOn w:val="1"/>
    <w:link w:val="13"/>
    <w:semiHidden/>
    <w:uiPriority w:val="99"/>
    <w:pPr>
      <w:jc w:val="left"/>
    </w:pPr>
  </w:style>
  <w:style w:type="paragraph" w:styleId="5">
    <w:name w:val="Balloon Text"/>
    <w:basedOn w:val="1"/>
    <w:link w:val="15"/>
    <w:semiHidden/>
    <w:uiPriority w:val="99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99"/>
    <w:pPr>
      <w:widowControl/>
      <w:spacing w:before="100" w:beforeAutospacing="1" w:after="240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annotation reference"/>
    <w:basedOn w:val="9"/>
    <w:semiHidden/>
    <w:qFormat/>
    <w:uiPriority w:val="99"/>
    <w:rPr>
      <w:sz w:val="21"/>
      <w:szCs w:val="21"/>
    </w:rPr>
  </w:style>
  <w:style w:type="character" w:customStyle="1" w:styleId="12">
    <w:name w:val="Heading 1 Char"/>
    <w:basedOn w:val="9"/>
    <w:link w:val="2"/>
    <w:locked/>
    <w:uiPriority w:val="99"/>
    <w:rPr>
      <w:rFonts w:ascii="宋体" w:hAnsi="宋体" w:eastAsia="宋体" w:cs="宋体"/>
      <w:b/>
      <w:bCs/>
      <w:kern w:val="36"/>
      <w:sz w:val="43"/>
      <w:szCs w:val="43"/>
    </w:rPr>
  </w:style>
  <w:style w:type="character" w:customStyle="1" w:styleId="13">
    <w:name w:val="Comment Text Char"/>
    <w:basedOn w:val="9"/>
    <w:link w:val="4"/>
    <w:semiHidden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4">
    <w:name w:val="Comment Subject Char"/>
    <w:basedOn w:val="13"/>
    <w:link w:val="3"/>
    <w:semiHidden/>
    <w:locked/>
    <w:uiPriority w:val="99"/>
    <w:rPr>
      <w:b/>
      <w:bCs/>
    </w:rPr>
  </w:style>
  <w:style w:type="character" w:customStyle="1" w:styleId="15">
    <w:name w:val="Balloon Text Char"/>
    <w:basedOn w:val="9"/>
    <w:link w:val="5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Footer Char"/>
    <w:basedOn w:val="9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Header Char"/>
    <w:basedOn w:val="9"/>
    <w:link w:val="7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8">
    <w:name w:val="notice_title"/>
    <w:basedOn w:val="1"/>
    <w:qFormat/>
    <w:uiPriority w:val="99"/>
    <w:pPr>
      <w:widowControl/>
      <w:spacing w:after="225"/>
      <w:jc w:val="center"/>
    </w:pPr>
    <w:rPr>
      <w:rFonts w:ascii="宋体" w:hAnsi="宋体" w:cs="宋体"/>
      <w:b/>
      <w:bCs/>
      <w:color w:val="771325"/>
      <w:kern w:val="0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5</Pages>
  <Words>326</Words>
  <Characters>1863</Characters>
  <Lines>0</Lines>
  <Paragraphs>0</Paragraphs>
  <TotalTime>11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2018-12-26T09:58:00Z</dcterms:created>
  <dc:creator>Administrator</dc:creator>
  <cp:lastModifiedBy>lenovo</cp:lastModifiedBy>
  <dcterms:modified xsi:type="dcterms:W3CDTF">2019-01-02T11:34:55Z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