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中共英吉沙县委党校2024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53DF25A">
      <w:r>
        <w:br w:type="page"/>
      </w:r>
    </w:p>
    <w:p w14:paraId="27A66D2C">
      <w:pPr>
        <w:spacing w:line="640" w:lineRule="exact"/>
        <w:jc w:val="center"/>
        <w:outlineLvl w:val="1"/>
      </w:pPr>
      <w:r>
        <w:rPr>
          <w:rFonts w:ascii="黑体" w:hAnsi="黑体" w:eastAsia="黑体"/>
          <w:sz w:val="32"/>
        </w:rPr>
        <w:t>第一部分 单位概况</w:t>
      </w:r>
    </w:p>
    <w:p w14:paraId="3D6928BF">
      <w:pPr>
        <w:spacing w:line="640" w:lineRule="exact"/>
        <w:ind w:firstLine="640"/>
        <w:jc w:val="both"/>
        <w:outlineLvl w:val="2"/>
      </w:pPr>
      <w:r>
        <w:rPr>
          <w:rFonts w:ascii="黑体" w:hAnsi="黑体" w:eastAsia="黑体"/>
          <w:sz w:val="32"/>
        </w:rPr>
        <w:t>一、主要职能</w:t>
      </w:r>
    </w:p>
    <w:p w14:paraId="66DECD97">
      <w:pPr>
        <w:spacing w:line="580" w:lineRule="exact"/>
        <w:ind w:firstLine="640"/>
        <w:jc w:val="both"/>
      </w:pPr>
      <w:r>
        <w:rPr>
          <w:rFonts w:ascii="仿宋_GB2312" w:hAnsi="仿宋_GB2312" w:eastAsia="仿宋_GB2312"/>
          <w:sz w:val="32"/>
        </w:rPr>
        <w:t>围绕党的中心任务以及自治区、地区和县的重大战略部署，对重大现实问题开展理论研究。根据英吉沙县委对干部队伍建设的要求，有计划地培训和轮训党员领导干部、后备干部、理论骨干和高级知识分子，并对学员在校学习期间的表现进行考核。</w:t>
      </w:r>
    </w:p>
    <w:p w14:paraId="77EC0FAF">
      <w:pPr>
        <w:spacing w:line="640" w:lineRule="exact"/>
        <w:ind w:firstLine="640"/>
        <w:jc w:val="both"/>
        <w:outlineLvl w:val="2"/>
      </w:pPr>
      <w:r>
        <w:rPr>
          <w:rFonts w:ascii="黑体" w:hAnsi="黑体" w:eastAsia="黑体"/>
          <w:sz w:val="32"/>
        </w:rPr>
        <w:t>二、机构设置及人员情况</w:t>
      </w:r>
    </w:p>
    <w:p w14:paraId="27189BE8">
      <w:pPr>
        <w:spacing w:line="580" w:lineRule="exact"/>
        <w:ind w:firstLine="640"/>
        <w:jc w:val="both"/>
      </w:pPr>
      <w:r>
        <w:rPr>
          <w:rFonts w:ascii="仿宋_GB2312" w:hAnsi="仿宋_GB2312" w:eastAsia="仿宋_GB2312"/>
          <w:sz w:val="32"/>
        </w:rPr>
        <w:t>中共英吉沙县委党校2024年度，实有人数24人，其中：在职人员14人，减少3人；离休人员0人，增加0人；退休人员10人,增加0人。</w:t>
      </w:r>
    </w:p>
    <w:p w14:paraId="1FC054EC">
      <w:pPr>
        <w:spacing w:line="580" w:lineRule="exact"/>
        <w:ind w:firstLine="640"/>
        <w:jc w:val="both"/>
      </w:pPr>
      <w:r>
        <w:rPr>
          <w:rFonts w:ascii="仿宋_GB2312" w:hAnsi="仿宋_GB2312" w:eastAsia="仿宋_GB2312"/>
          <w:sz w:val="32"/>
        </w:rPr>
        <w:t>中共英吉沙县委党校无下属预算单位，下设2个科室，分别是：总务处、教研室。</w:t>
      </w:r>
    </w:p>
    <w:p w14:paraId="702C6F9F">
      <w:r>
        <w:br w:type="page"/>
      </w:r>
    </w:p>
    <w:p w14:paraId="1DF34800">
      <w:pPr>
        <w:spacing w:line="240" w:lineRule="auto"/>
        <w:jc w:val="center"/>
        <w:outlineLvl w:val="1"/>
      </w:pPr>
      <w:r>
        <w:rPr>
          <w:rFonts w:ascii="黑体" w:hAnsi="黑体" w:eastAsia="黑体"/>
          <w:sz w:val="32"/>
        </w:rPr>
        <w:t>第二部分 部门决算情况说明</w:t>
      </w:r>
    </w:p>
    <w:p w14:paraId="416F9E89">
      <w:pPr>
        <w:spacing w:line="640" w:lineRule="exact"/>
        <w:ind w:firstLine="640"/>
        <w:jc w:val="both"/>
        <w:outlineLvl w:val="2"/>
      </w:pPr>
      <w:r>
        <w:rPr>
          <w:rFonts w:ascii="黑体" w:hAnsi="黑体" w:eastAsia="黑体"/>
          <w:sz w:val="32"/>
        </w:rPr>
        <w:t>一、收入支出决算总体情况说明</w:t>
      </w:r>
    </w:p>
    <w:p w14:paraId="07ED49D2">
      <w:pPr>
        <w:spacing w:line="580" w:lineRule="exact"/>
        <w:ind w:firstLine="640"/>
        <w:jc w:val="both"/>
      </w:pPr>
      <w:r>
        <w:rPr>
          <w:rFonts w:ascii="仿宋_GB2312" w:hAnsi="仿宋_GB2312" w:eastAsia="仿宋_GB2312"/>
          <w:b/>
          <w:sz w:val="32"/>
        </w:rPr>
        <w:t>2024年度收入总计396.69万元，</w:t>
      </w:r>
      <w:r>
        <w:rPr>
          <w:rFonts w:ascii="仿宋_GB2312" w:hAnsi="仿宋_GB2312" w:eastAsia="仿宋_GB2312"/>
          <w:b w:val="0"/>
          <w:sz w:val="32"/>
        </w:rPr>
        <w:t>其中：本年收入合计396.69万元，使用非财政拨款结余（含专用结余）0.00万元，年初结转和结余0.00万元。</w:t>
      </w:r>
    </w:p>
    <w:p w14:paraId="7889D3A7">
      <w:pPr>
        <w:spacing w:line="580" w:lineRule="exact"/>
        <w:ind w:firstLine="640"/>
        <w:jc w:val="both"/>
      </w:pPr>
      <w:r>
        <w:rPr>
          <w:rFonts w:ascii="仿宋_GB2312" w:hAnsi="仿宋_GB2312" w:eastAsia="仿宋_GB2312"/>
          <w:b/>
          <w:sz w:val="32"/>
        </w:rPr>
        <w:t>2024年度支出总计396.69万元，</w:t>
      </w:r>
      <w:r>
        <w:rPr>
          <w:rFonts w:ascii="仿宋_GB2312" w:hAnsi="仿宋_GB2312" w:eastAsia="仿宋_GB2312"/>
          <w:b w:val="0"/>
          <w:sz w:val="32"/>
        </w:rPr>
        <w:t>其中：本年支出合计396.69万元，结余分配0.00万元，年末结转和结余0.00万元。</w:t>
      </w:r>
    </w:p>
    <w:p w14:paraId="06E70E25">
      <w:pPr>
        <w:spacing w:line="580" w:lineRule="exact"/>
        <w:ind w:firstLine="640"/>
        <w:jc w:val="both"/>
      </w:pPr>
      <w:r>
        <w:rPr>
          <w:rFonts w:ascii="仿宋_GB2312" w:hAnsi="仿宋_GB2312" w:eastAsia="仿宋_GB2312"/>
          <w:b w:val="0"/>
          <w:sz w:val="32"/>
        </w:rPr>
        <w:t>收入支出总体与上年相比，增加59.19万元，增长17.54%，主要原因是：本年新增组织部拨付培训经费。</w:t>
      </w:r>
    </w:p>
    <w:p w14:paraId="420DFF4E">
      <w:pPr>
        <w:spacing w:line="640" w:lineRule="exact"/>
        <w:ind w:firstLine="640"/>
        <w:jc w:val="both"/>
        <w:outlineLvl w:val="2"/>
      </w:pPr>
      <w:r>
        <w:rPr>
          <w:rFonts w:ascii="黑体" w:hAnsi="黑体" w:eastAsia="黑体"/>
          <w:sz w:val="32"/>
        </w:rPr>
        <w:t>二、收入决算情况说明</w:t>
      </w:r>
    </w:p>
    <w:p w14:paraId="397F895C">
      <w:pPr>
        <w:spacing w:line="580" w:lineRule="exact"/>
        <w:ind w:firstLine="640"/>
        <w:jc w:val="both"/>
      </w:pPr>
      <w:r>
        <w:rPr>
          <w:rFonts w:ascii="仿宋_GB2312" w:hAnsi="仿宋_GB2312" w:eastAsia="仿宋_GB2312"/>
          <w:b/>
          <w:sz w:val="32"/>
        </w:rPr>
        <w:t>本年收入396.69万元，</w:t>
      </w:r>
      <w:r>
        <w:rPr>
          <w:rFonts w:ascii="仿宋_GB2312" w:hAnsi="仿宋_GB2312" w:eastAsia="仿宋_GB2312"/>
          <w:b w:val="0"/>
          <w:sz w:val="32"/>
        </w:rPr>
        <w:t>其中：财政拨款收入316.61万元，占79.81%；上级补助收入0.00万元，占0.00%；事业收入0.00万元，占0.00%；经营收入0.00万元，占0.00%；附属单位上缴收入0.00万元，占0.00%；其他收入80.08万元，占20.19%。</w:t>
      </w:r>
    </w:p>
    <w:p w14:paraId="3697BAE9">
      <w:pPr>
        <w:spacing w:line="640" w:lineRule="exact"/>
        <w:ind w:firstLine="640"/>
        <w:jc w:val="both"/>
        <w:outlineLvl w:val="2"/>
      </w:pPr>
      <w:r>
        <w:rPr>
          <w:rFonts w:ascii="黑体" w:hAnsi="黑体" w:eastAsia="黑体"/>
          <w:sz w:val="32"/>
        </w:rPr>
        <w:t>三、支出决算情况说明</w:t>
      </w:r>
    </w:p>
    <w:p w14:paraId="3FBFECF5">
      <w:pPr>
        <w:spacing w:line="580" w:lineRule="exact"/>
        <w:ind w:firstLine="640"/>
        <w:jc w:val="both"/>
      </w:pPr>
      <w:r>
        <w:rPr>
          <w:rFonts w:ascii="仿宋_GB2312" w:hAnsi="仿宋_GB2312" w:eastAsia="仿宋_GB2312"/>
          <w:b/>
          <w:sz w:val="32"/>
        </w:rPr>
        <w:t>本年支出396.69万元，</w:t>
      </w:r>
      <w:r>
        <w:rPr>
          <w:rFonts w:ascii="仿宋_GB2312" w:hAnsi="仿宋_GB2312" w:eastAsia="仿宋_GB2312"/>
          <w:b w:val="0"/>
          <w:sz w:val="32"/>
        </w:rPr>
        <w:t>其中：基本支出396.69万元，占100.00%；项目支出0.00万元，占0.00%；上缴上级支出0.00万元，占0.00%；经营支出0.00万元，占0.00%；对附属单位补助支出0.00万元，占0.00%。</w:t>
      </w:r>
    </w:p>
    <w:p w14:paraId="0CA51271">
      <w:pPr>
        <w:spacing w:line="640" w:lineRule="exact"/>
        <w:ind w:firstLine="640"/>
        <w:jc w:val="both"/>
        <w:outlineLvl w:val="2"/>
      </w:pPr>
      <w:r>
        <w:rPr>
          <w:rFonts w:ascii="黑体" w:hAnsi="黑体" w:eastAsia="黑体"/>
          <w:sz w:val="32"/>
        </w:rPr>
        <w:t>四、财政拨款收入支出决算总体情况说明</w:t>
      </w:r>
    </w:p>
    <w:p w14:paraId="62659723">
      <w:pPr>
        <w:spacing w:line="580" w:lineRule="exact"/>
        <w:ind w:firstLine="640"/>
        <w:jc w:val="both"/>
      </w:pPr>
      <w:r>
        <w:rPr>
          <w:rFonts w:ascii="仿宋_GB2312" w:hAnsi="仿宋_GB2312" w:eastAsia="仿宋_GB2312"/>
          <w:b/>
          <w:sz w:val="32"/>
        </w:rPr>
        <w:t>2024年度财政拨款收入总计316.61万元，</w:t>
      </w:r>
      <w:r>
        <w:rPr>
          <w:rFonts w:ascii="仿宋_GB2312" w:hAnsi="仿宋_GB2312" w:eastAsia="仿宋_GB2312"/>
          <w:b w:val="0"/>
          <w:sz w:val="32"/>
        </w:rPr>
        <w:t>其中：年初财政拨款结转和结余0.00万元，本年财政拨款收入316.61万元。</w:t>
      </w:r>
      <w:r>
        <w:rPr>
          <w:rFonts w:ascii="仿宋_GB2312" w:hAnsi="仿宋_GB2312" w:eastAsia="仿宋_GB2312"/>
          <w:b/>
          <w:sz w:val="32"/>
        </w:rPr>
        <w:t>财政拨款支出总计316.61万元，</w:t>
      </w:r>
      <w:r>
        <w:rPr>
          <w:rFonts w:ascii="仿宋_GB2312" w:hAnsi="仿宋_GB2312" w:eastAsia="仿宋_GB2312"/>
          <w:b w:val="0"/>
          <w:sz w:val="32"/>
        </w:rPr>
        <w:t>其中：年末财政拨款结转和结余0.00万元，本年财政拨款支出316.61万元。</w:t>
      </w:r>
    </w:p>
    <w:p w14:paraId="4410616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减少6.97万元，下降2.15%，主要原因是：本年在职人员减少，相关人员经费较上年减少。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年初预算数326.58万元，决算数316.61万元，预决算差异率-3.05%，主要原因是：本年在职人员减少，年中调减人员经费，导致预决算存在差异。</w:t>
      </w:r>
    </w:p>
    <w:p w14:paraId="686E5D68">
      <w:pPr>
        <w:spacing w:line="640" w:lineRule="exact"/>
        <w:ind w:firstLine="640"/>
        <w:jc w:val="both"/>
        <w:outlineLvl w:val="2"/>
      </w:pPr>
      <w:r>
        <w:rPr>
          <w:rFonts w:ascii="黑体" w:hAnsi="黑体" w:eastAsia="黑体"/>
          <w:sz w:val="32"/>
        </w:rPr>
        <w:t>五、一般公共预算财政拨款支出决算情况说明</w:t>
      </w:r>
    </w:p>
    <w:p w14:paraId="678D60C0">
      <w:pPr>
        <w:spacing w:line="640" w:lineRule="exact"/>
        <w:ind w:firstLine="640"/>
        <w:jc w:val="both"/>
        <w:outlineLvl w:val="3"/>
      </w:pPr>
      <w:r>
        <w:rPr>
          <w:rFonts w:ascii="楷体_GB2312" w:hAnsi="楷体_GB2312" w:eastAsia="楷体_GB2312"/>
          <w:b/>
          <w:sz w:val="32"/>
        </w:rPr>
        <w:t>（一）一般公共预算财政拨款支出决算总体情况</w:t>
      </w:r>
    </w:p>
    <w:p w14:paraId="659DCFB4">
      <w:pPr>
        <w:spacing w:line="580" w:lineRule="exact"/>
        <w:ind w:firstLine="640"/>
        <w:jc w:val="both"/>
      </w:pPr>
      <w:r>
        <w:rPr>
          <w:rFonts w:ascii="仿宋_GB2312" w:hAnsi="仿宋_GB2312" w:eastAsia="仿宋_GB2312"/>
          <w:b/>
          <w:sz w:val="32"/>
        </w:rPr>
        <w:t>2024年度一般公共预算财政拨款支出316.61万元，</w:t>
      </w:r>
      <w:r>
        <w:rPr>
          <w:rFonts w:ascii="仿宋_GB2312" w:hAnsi="仿宋_GB2312" w:eastAsia="仿宋_GB2312"/>
          <w:b w:val="0"/>
          <w:sz w:val="32"/>
        </w:rPr>
        <w:t>占本年支出合计的79.81%。</w:t>
      </w:r>
      <w:r>
        <w:rPr>
          <w:rFonts w:ascii="仿宋_GB2312" w:hAnsi="仿宋_GB2312" w:eastAsia="仿宋_GB2312"/>
          <w:b/>
          <w:sz w:val="32"/>
        </w:rPr>
        <w:t>与上年相比，</w:t>
      </w:r>
      <w:r>
        <w:rPr>
          <w:rFonts w:ascii="仿宋_GB2312" w:hAnsi="仿宋_GB2312" w:eastAsia="仿宋_GB2312"/>
          <w:b w:val="0"/>
          <w:sz w:val="32"/>
        </w:rPr>
        <w:t>减少6.97万元，下降2.15%，主要原因是：本年在职人员减少，相关人员经费较上年减少。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年初预算数326.58万元，决算数316.61万元，预决算差异率-3.05%，主要原因是：本年在职人员减少，年中调减人员经费，导致预决算存在差异。</w:t>
      </w:r>
    </w:p>
    <w:p w14:paraId="2038C6D9">
      <w:pPr>
        <w:spacing w:line="640" w:lineRule="exact"/>
        <w:ind w:firstLine="640"/>
        <w:jc w:val="both"/>
        <w:outlineLvl w:val="3"/>
      </w:pPr>
      <w:r>
        <w:rPr>
          <w:rFonts w:ascii="楷体_GB2312" w:hAnsi="楷体_GB2312" w:eastAsia="楷体_GB2312"/>
          <w:b/>
          <w:sz w:val="32"/>
        </w:rPr>
        <w:t>（二）一般公共预算财政拨款支出决算结构情况</w:t>
      </w:r>
    </w:p>
    <w:p w14:paraId="79F87E11">
      <w:pPr>
        <w:spacing w:line="580" w:lineRule="exact"/>
        <w:ind w:firstLine="640"/>
        <w:jc w:val="both"/>
      </w:pPr>
      <w:r>
        <w:rPr>
          <w:rFonts w:ascii="仿宋_GB2312" w:hAnsi="仿宋_GB2312" w:eastAsia="仿宋_GB2312"/>
          <w:b w:val="0"/>
          <w:sz w:val="32"/>
        </w:rPr>
        <w:t>1.一般公共服务支出(类)4.04万元,占1.28%。</w:t>
      </w:r>
    </w:p>
    <w:p w14:paraId="78242E5E">
      <w:pPr>
        <w:spacing w:line="580" w:lineRule="exact"/>
        <w:ind w:firstLine="640"/>
        <w:jc w:val="both"/>
      </w:pPr>
      <w:r>
        <w:rPr>
          <w:rFonts w:ascii="仿宋_GB2312" w:hAnsi="仿宋_GB2312" w:eastAsia="仿宋_GB2312"/>
          <w:b w:val="0"/>
          <w:sz w:val="32"/>
        </w:rPr>
        <w:t>2.教育支出(类)312.56万元,占98.72%。</w:t>
      </w:r>
    </w:p>
    <w:p w14:paraId="2AADD1E9">
      <w:pPr>
        <w:spacing w:line="640" w:lineRule="exact"/>
        <w:ind w:firstLine="640"/>
        <w:jc w:val="both"/>
        <w:outlineLvl w:val="3"/>
      </w:pPr>
      <w:r>
        <w:rPr>
          <w:rFonts w:ascii="楷体_GB2312" w:hAnsi="楷体_GB2312" w:eastAsia="楷体_GB2312"/>
          <w:b/>
          <w:sz w:val="32"/>
        </w:rPr>
        <w:t>（三）一般公共预算财政拨款支出决算具体情况</w:t>
      </w:r>
    </w:p>
    <w:p w14:paraId="3DDF0CDC">
      <w:pPr>
        <w:spacing w:line="580" w:lineRule="exact"/>
        <w:ind w:firstLine="640"/>
        <w:jc w:val="both"/>
      </w:pPr>
      <w:r>
        <w:rPr>
          <w:rFonts w:ascii="仿宋_GB2312" w:hAnsi="仿宋_GB2312" w:eastAsia="仿宋_GB2312"/>
          <w:b w:val="0"/>
          <w:sz w:val="32"/>
        </w:rPr>
        <w:t>1.一般公共服务支出(类)其他一般公共服务支出(款)其他一般公共服务支出(项):支出决算数为4.04万元，比上年决算增加4.04万元，增长100.00%,主要原因是：本年职工7-12月人员基本工资补发经费调整至此科目列支。</w:t>
      </w:r>
    </w:p>
    <w:p w14:paraId="623AD2B7">
      <w:pPr>
        <w:spacing w:line="580" w:lineRule="exact"/>
        <w:ind w:firstLine="640"/>
        <w:jc w:val="both"/>
        <w:rPr>
          <w:rFonts w:hint="eastAsia" w:eastAsia="仿宋_GB2312"/>
          <w:lang w:eastAsia="zh-CN"/>
        </w:rPr>
      </w:pPr>
      <w:r>
        <w:rPr>
          <w:rFonts w:ascii="仿宋_GB2312" w:hAnsi="仿宋_GB2312" w:eastAsia="仿宋_GB2312"/>
          <w:b w:val="0"/>
          <w:sz w:val="32"/>
        </w:rPr>
        <w:t>2.教育支出(类)进修及培训(款)干部教育(项):支出决算数为312.56万元，比上年决算减少11.02万元，下降3.41%,主要原因是：本年在职人员减少，相关人员经费较上年减少</w:t>
      </w:r>
      <w:r>
        <w:rPr>
          <w:rFonts w:hint="eastAsia" w:ascii="仿宋_GB2312" w:hAnsi="仿宋_GB2312" w:eastAsia="仿宋_GB2312"/>
          <w:b w:val="0"/>
          <w:sz w:val="32"/>
          <w:lang w:eastAsia="zh-CN"/>
        </w:rPr>
        <w:t>；</w:t>
      </w:r>
      <w:r>
        <w:rPr>
          <w:rFonts w:ascii="仿宋_GB2312" w:hAnsi="仿宋_GB2312" w:eastAsia="仿宋_GB2312"/>
          <w:b w:val="0"/>
          <w:sz w:val="32"/>
        </w:rPr>
        <w:t>本年职工7-12月人员基本工资补发经费调整至</w:t>
      </w:r>
      <w:r>
        <w:rPr>
          <w:rFonts w:hint="eastAsia" w:ascii="仿宋_GB2312" w:hAnsi="仿宋_GB2312" w:eastAsia="仿宋_GB2312"/>
          <w:b w:val="0"/>
          <w:sz w:val="32"/>
          <w:lang w:val="en-US" w:eastAsia="zh-CN"/>
        </w:rPr>
        <w:t>其他</w:t>
      </w:r>
      <w:bookmarkStart w:id="0" w:name="_GoBack"/>
      <w:bookmarkEnd w:id="0"/>
      <w:r>
        <w:rPr>
          <w:rFonts w:ascii="仿宋_GB2312" w:hAnsi="仿宋_GB2312" w:eastAsia="仿宋_GB2312"/>
          <w:b w:val="0"/>
          <w:sz w:val="32"/>
        </w:rPr>
        <w:t>一般公共服务支出科目列支。</w:t>
      </w:r>
    </w:p>
    <w:p w14:paraId="42C73D7E">
      <w:pPr>
        <w:spacing w:line="640" w:lineRule="exact"/>
        <w:ind w:firstLine="640"/>
        <w:jc w:val="both"/>
        <w:outlineLvl w:val="2"/>
      </w:pPr>
      <w:r>
        <w:rPr>
          <w:rFonts w:ascii="黑体" w:hAnsi="黑体" w:eastAsia="黑体"/>
          <w:sz w:val="32"/>
        </w:rPr>
        <w:t>六、一般公共预算财政拨款基本支出决算情况说明</w:t>
      </w:r>
    </w:p>
    <w:p w14:paraId="2A461B83">
      <w:pPr>
        <w:spacing w:line="580" w:lineRule="exact"/>
        <w:ind w:firstLine="640"/>
        <w:jc w:val="both"/>
      </w:pPr>
      <w:r>
        <w:rPr>
          <w:rFonts w:ascii="仿宋_GB2312" w:hAnsi="仿宋_GB2312" w:eastAsia="仿宋_GB2312"/>
          <w:b w:val="0"/>
          <w:sz w:val="32"/>
        </w:rPr>
        <w:t>2024年度一般公共预算财政拨款基本支出316.61万元，其中：</w:t>
      </w:r>
      <w:r>
        <w:rPr>
          <w:rFonts w:ascii="仿宋_GB2312" w:hAnsi="仿宋_GB2312" w:eastAsia="仿宋_GB2312"/>
          <w:b/>
          <w:sz w:val="32"/>
        </w:rPr>
        <w:t>人员经费292.59万元，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w:t>
      </w:r>
    </w:p>
    <w:p w14:paraId="2590F53E">
      <w:pPr>
        <w:spacing w:line="580" w:lineRule="exact"/>
        <w:ind w:firstLine="640"/>
        <w:jc w:val="both"/>
      </w:pPr>
      <w:r>
        <w:rPr>
          <w:rFonts w:ascii="仿宋_GB2312" w:hAnsi="仿宋_GB2312" w:eastAsia="仿宋_GB2312"/>
          <w:b/>
          <w:sz w:val="32"/>
        </w:rPr>
        <w:t>公用经费24.02万元，</w:t>
      </w:r>
      <w:r>
        <w:rPr>
          <w:rFonts w:ascii="仿宋_GB2312" w:hAnsi="仿宋_GB2312" w:eastAsia="仿宋_GB2312"/>
          <w:b w:val="0"/>
          <w:sz w:val="32"/>
        </w:rPr>
        <w:t>包括：办公费、邮电费、取暖费、差旅费。</w:t>
      </w:r>
    </w:p>
    <w:p w14:paraId="49BF59C2">
      <w:pPr>
        <w:spacing w:line="640" w:lineRule="exact"/>
        <w:ind w:firstLine="640"/>
        <w:jc w:val="both"/>
        <w:outlineLvl w:val="2"/>
      </w:pPr>
      <w:r>
        <w:rPr>
          <w:rFonts w:ascii="黑体" w:hAnsi="黑体" w:eastAsia="黑体"/>
          <w:sz w:val="32"/>
        </w:rPr>
        <w:t>七、政府性基金预算财政拨款收入支出决算情况说明</w:t>
      </w:r>
    </w:p>
    <w:p w14:paraId="4E7539C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3BD765C">
      <w:pPr>
        <w:spacing w:line="640" w:lineRule="exact"/>
        <w:ind w:firstLine="640"/>
        <w:jc w:val="both"/>
        <w:outlineLvl w:val="2"/>
      </w:pPr>
      <w:r>
        <w:rPr>
          <w:rFonts w:ascii="黑体" w:hAnsi="黑体" w:eastAsia="黑体"/>
          <w:sz w:val="32"/>
        </w:rPr>
        <w:t>八、国有资本经营预算财政拨款收入支出决算情况说明</w:t>
      </w:r>
    </w:p>
    <w:p w14:paraId="2797B4A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68AF498">
      <w:pPr>
        <w:spacing w:line="640" w:lineRule="exact"/>
        <w:ind w:firstLine="640"/>
        <w:jc w:val="both"/>
        <w:outlineLvl w:val="2"/>
      </w:pPr>
      <w:r>
        <w:rPr>
          <w:rFonts w:ascii="黑体" w:hAnsi="黑体" w:eastAsia="黑体"/>
          <w:sz w:val="32"/>
        </w:rPr>
        <w:t>九、财政拨款“三公”经费支出决算情况说明</w:t>
      </w:r>
    </w:p>
    <w:p w14:paraId="1D2FA25A">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CCBA87F">
      <w:pPr>
        <w:spacing w:line="580" w:lineRule="exact"/>
        <w:ind w:firstLine="640"/>
        <w:jc w:val="both"/>
      </w:pPr>
      <w:r>
        <w:rPr>
          <w:rFonts w:ascii="仿宋_GB2312" w:hAnsi="仿宋_GB2312" w:eastAsia="仿宋_GB2312"/>
          <w:b/>
          <w:sz w:val="32"/>
        </w:rPr>
        <w:t>具体情况如下：</w:t>
      </w:r>
    </w:p>
    <w:p w14:paraId="0027DD8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F026275">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1932B07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767D54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FE4B6AE">
      <w:pPr>
        <w:spacing w:line="640" w:lineRule="exact"/>
        <w:ind w:firstLine="640"/>
        <w:jc w:val="both"/>
        <w:outlineLvl w:val="2"/>
      </w:pPr>
      <w:r>
        <w:rPr>
          <w:rFonts w:ascii="黑体" w:hAnsi="黑体" w:eastAsia="黑体"/>
          <w:sz w:val="32"/>
        </w:rPr>
        <w:t>十、其他重要事项的情况说明</w:t>
      </w:r>
    </w:p>
    <w:p w14:paraId="7BF9FBCC">
      <w:pPr>
        <w:spacing w:line="640" w:lineRule="exact"/>
        <w:ind w:firstLine="640"/>
        <w:jc w:val="both"/>
        <w:outlineLvl w:val="3"/>
      </w:pPr>
      <w:r>
        <w:rPr>
          <w:rFonts w:ascii="楷体_GB2312" w:hAnsi="楷体_GB2312" w:eastAsia="楷体_GB2312"/>
          <w:b/>
          <w:sz w:val="32"/>
        </w:rPr>
        <w:t>（一）机关运行经费及公用经费支出情况</w:t>
      </w:r>
    </w:p>
    <w:p w14:paraId="52AEF620">
      <w:pPr>
        <w:spacing w:line="580" w:lineRule="exact"/>
        <w:ind w:firstLine="640"/>
        <w:jc w:val="both"/>
      </w:pPr>
      <w:r>
        <w:rPr>
          <w:rFonts w:ascii="仿宋_GB2312" w:hAnsi="仿宋_GB2312" w:eastAsia="仿宋_GB2312"/>
          <w:b w:val="0"/>
          <w:sz w:val="32"/>
        </w:rPr>
        <w:t>2024年度中共英吉沙县委党校（事业单位）公用经费支出24.02万元，比上年增加0.27万元，增长1.14%，主要原因是：本年办公用房取暖费增加。</w:t>
      </w:r>
    </w:p>
    <w:p w14:paraId="3BE50DC3">
      <w:pPr>
        <w:spacing w:line="640" w:lineRule="exact"/>
        <w:ind w:firstLine="640"/>
        <w:jc w:val="both"/>
        <w:outlineLvl w:val="3"/>
      </w:pPr>
      <w:r>
        <w:rPr>
          <w:rFonts w:ascii="楷体_GB2312" w:hAnsi="楷体_GB2312" w:eastAsia="楷体_GB2312"/>
          <w:b/>
          <w:sz w:val="32"/>
        </w:rPr>
        <w:t>（二）政府采购情况</w:t>
      </w:r>
    </w:p>
    <w:p w14:paraId="025F9414">
      <w:pPr>
        <w:spacing w:line="580" w:lineRule="exact"/>
        <w:ind w:firstLine="640"/>
        <w:jc w:val="both"/>
      </w:pPr>
      <w:r>
        <w:rPr>
          <w:rFonts w:ascii="仿宋_GB2312" w:hAnsi="仿宋_GB2312" w:eastAsia="仿宋_GB2312"/>
          <w:b w:val="0"/>
          <w:sz w:val="32"/>
        </w:rPr>
        <w:t>2024年度政府采购支出总额0.40万元，其中：政府采购货物支出0.40万元、政府采购工程支出0.00万元、政府采购服务支出0.00万元。</w:t>
      </w:r>
    </w:p>
    <w:p w14:paraId="615545B5">
      <w:pPr>
        <w:spacing w:line="580" w:lineRule="exact"/>
        <w:ind w:firstLine="640"/>
        <w:jc w:val="both"/>
      </w:pPr>
      <w:r>
        <w:rPr>
          <w:rFonts w:ascii="仿宋_GB2312" w:hAnsi="仿宋_GB2312" w:eastAsia="仿宋_GB2312"/>
          <w:b w:val="0"/>
          <w:sz w:val="32"/>
        </w:rPr>
        <w:t>授予中小企业合同金额0.40万元，占政府采购支出总额的100.00%，其中：授予小微企业合同金额0.40万元，占政府采购支出总额的100.00%。</w:t>
      </w:r>
    </w:p>
    <w:p w14:paraId="7009AB01">
      <w:pPr>
        <w:spacing w:line="640" w:lineRule="exact"/>
        <w:ind w:firstLine="640"/>
        <w:jc w:val="both"/>
        <w:outlineLvl w:val="3"/>
      </w:pPr>
      <w:r>
        <w:rPr>
          <w:rFonts w:ascii="楷体_GB2312" w:hAnsi="楷体_GB2312" w:eastAsia="楷体_GB2312"/>
          <w:b/>
          <w:sz w:val="32"/>
        </w:rPr>
        <w:t>（三）国有资产占用情况说明</w:t>
      </w:r>
    </w:p>
    <w:p w14:paraId="7C41940C">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B7B1B7F">
      <w:pPr>
        <w:spacing w:line="640" w:lineRule="exact"/>
        <w:ind w:firstLine="640"/>
        <w:jc w:val="both"/>
        <w:outlineLvl w:val="2"/>
      </w:pPr>
      <w:r>
        <w:rPr>
          <w:rFonts w:ascii="黑体" w:hAnsi="黑体" w:eastAsia="黑体"/>
          <w:sz w:val="32"/>
        </w:rPr>
        <w:t>十一、预算绩效的情况说明</w:t>
      </w:r>
    </w:p>
    <w:p w14:paraId="174643C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396.69万元，实际执行总额396.69万元；预算绩效评价项目0个，全年预算数0.00万元，全年执行数0.00万元。预算绩效管理取得的成效：一是确保资金的高效使用，切实发挥财政资金使用效果；二是严格按照工作职责和相关文件依据，确保专款专用；三是严格控制资金的流出方向，确保资金的合规性。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加强学习，进一步明确如何参照考核体系，科学合理设定绩效目标，充分发挥预算绩效管理工作效用。二是财务上会计核算要更加详细，为本单位各项工作的开展、总结、评估提供有效数据资料支撑,为各项业务工作更好</w:t>
      </w:r>
      <w:r>
        <w:rPr>
          <w:rFonts w:hint="eastAsia" w:ascii="仿宋_GB2312" w:hAnsi="仿宋_GB2312" w:eastAsia="仿宋_GB2312"/>
          <w:b w:val="0"/>
          <w:sz w:val="32"/>
          <w:lang w:eastAsia="zh-CN"/>
        </w:rPr>
        <w:t>地</w:t>
      </w:r>
      <w:r>
        <w:rPr>
          <w:rFonts w:ascii="仿宋_GB2312" w:hAnsi="仿宋_GB2312" w:eastAsia="仿宋_GB2312"/>
          <w:b w:val="0"/>
          <w:sz w:val="32"/>
        </w:rPr>
        <w:t>开展提供帮助。具体附整体支出绩效自评表。</w:t>
      </w:r>
    </w:p>
    <w:p w14:paraId="7681D56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156273A">
        <w:tblPrEx>
          <w:tblCellMar>
            <w:top w:w="0" w:type="dxa"/>
            <w:left w:w="108" w:type="dxa"/>
            <w:bottom w:w="0" w:type="dxa"/>
            <w:right w:w="108" w:type="dxa"/>
          </w:tblCellMar>
        </w:tblPrEx>
        <w:tc>
          <w:tcPr>
            <w:tcW w:w="8847" w:type="dxa"/>
            <w:gridSpan w:val="9"/>
            <w:vAlign w:val="center"/>
          </w:tcPr>
          <w:p w14:paraId="6943F8F9">
            <w:pPr>
              <w:jc w:val="center"/>
            </w:pPr>
            <w:r>
              <w:rPr>
                <w:rFonts w:ascii="宋体" w:hAnsi="宋体" w:eastAsia="宋体"/>
                <w:sz w:val="24"/>
              </w:rPr>
              <w:t>单位整体支出绩效自评表</w:t>
            </w:r>
          </w:p>
        </w:tc>
      </w:tr>
      <w:tr w14:paraId="13E9BCB7">
        <w:tblPrEx>
          <w:tblCellMar>
            <w:top w:w="0" w:type="dxa"/>
            <w:left w:w="108" w:type="dxa"/>
            <w:bottom w:w="0" w:type="dxa"/>
            <w:right w:w="108" w:type="dxa"/>
          </w:tblCellMar>
        </w:tblPrEx>
        <w:tc>
          <w:tcPr>
            <w:tcW w:w="8847" w:type="dxa"/>
            <w:gridSpan w:val="9"/>
            <w:vAlign w:val="center"/>
          </w:tcPr>
          <w:p w14:paraId="32B41802">
            <w:pPr>
              <w:jc w:val="center"/>
            </w:pPr>
            <w:r>
              <w:rPr>
                <w:rFonts w:ascii="宋体" w:hAnsi="宋体" w:eastAsia="宋体"/>
                <w:sz w:val="24"/>
              </w:rPr>
              <w:t>（2024年度）</w:t>
            </w:r>
          </w:p>
        </w:tc>
      </w:tr>
      <w:tr w14:paraId="54A7685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81B62">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519AAC7">
            <w:pPr>
              <w:jc w:val="center"/>
            </w:pPr>
            <w:r>
              <w:rPr>
                <w:rFonts w:ascii="宋体" w:hAnsi="宋体" w:eastAsia="宋体"/>
                <w:sz w:val="16"/>
              </w:rPr>
              <w:t>中共英吉沙县委党校</w:t>
            </w:r>
          </w:p>
        </w:tc>
      </w:tr>
      <w:tr w14:paraId="4CCBDC7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38E8A3">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62F06">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3922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2924E">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CCC6CD">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60A9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58AC1">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19BED">
            <w:pPr>
              <w:jc w:val="center"/>
            </w:pPr>
            <w:r>
              <w:rPr>
                <w:rFonts w:ascii="宋体" w:hAnsi="宋体" w:eastAsia="宋体"/>
                <w:sz w:val="16"/>
              </w:rPr>
              <w:t>得分</w:t>
            </w:r>
          </w:p>
        </w:tc>
      </w:tr>
      <w:tr w14:paraId="0F58E6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A1D88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01A82">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7F1F3">
            <w:pPr>
              <w:jc w:val="center"/>
            </w:pPr>
            <w:r>
              <w:rPr>
                <w:rFonts w:ascii="宋体" w:hAnsi="宋体" w:eastAsia="宋体"/>
                <w:sz w:val="16"/>
              </w:rPr>
              <w:t>326.58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CA5607">
            <w:pPr>
              <w:jc w:val="center"/>
            </w:pPr>
            <w:r>
              <w:rPr>
                <w:rFonts w:ascii="宋体" w:hAnsi="宋体" w:eastAsia="宋体"/>
                <w:sz w:val="16"/>
              </w:rPr>
              <w:t>396.69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0EAF2">
            <w:pPr>
              <w:jc w:val="center"/>
            </w:pPr>
            <w:r>
              <w:rPr>
                <w:rFonts w:ascii="宋体" w:hAnsi="宋体" w:eastAsia="宋体"/>
                <w:sz w:val="16"/>
              </w:rPr>
              <w:t>396.69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4D3C4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5426C">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E5DED">
            <w:pPr>
              <w:jc w:val="center"/>
            </w:pPr>
            <w:r>
              <w:rPr>
                <w:rFonts w:ascii="宋体" w:hAnsi="宋体" w:eastAsia="宋体"/>
                <w:sz w:val="16"/>
              </w:rPr>
              <w:t>10</w:t>
            </w:r>
          </w:p>
        </w:tc>
      </w:tr>
      <w:tr w14:paraId="07F065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B0013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71B7BF">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4CEC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6534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BFE17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8C660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1C60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9E7FD">
            <w:pPr>
              <w:jc w:val="center"/>
            </w:pPr>
            <w:r>
              <w:rPr>
                <w:rFonts w:ascii="宋体" w:hAnsi="宋体" w:eastAsia="宋体"/>
                <w:sz w:val="16"/>
              </w:rPr>
              <w:t>—</w:t>
            </w:r>
          </w:p>
        </w:tc>
      </w:tr>
      <w:tr w14:paraId="7CEAB5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A8111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18155">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6E4C7">
            <w:pPr>
              <w:jc w:val="center"/>
            </w:pPr>
            <w:r>
              <w:rPr>
                <w:rFonts w:ascii="宋体" w:hAnsi="宋体" w:eastAsia="宋体"/>
                <w:sz w:val="16"/>
              </w:rPr>
              <w:t>326.58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EAC8D">
            <w:pPr>
              <w:jc w:val="center"/>
            </w:pPr>
            <w:r>
              <w:rPr>
                <w:rFonts w:ascii="宋体" w:hAnsi="宋体" w:eastAsia="宋体"/>
                <w:sz w:val="16"/>
              </w:rPr>
              <w:t>316.61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A6133">
            <w:pPr>
              <w:jc w:val="center"/>
            </w:pPr>
            <w:r>
              <w:rPr>
                <w:rFonts w:ascii="宋体" w:hAnsi="宋体" w:eastAsia="宋体"/>
                <w:sz w:val="16"/>
              </w:rPr>
              <w:t>316.61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19E9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AC32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5CEB1">
            <w:pPr>
              <w:jc w:val="center"/>
            </w:pPr>
            <w:r>
              <w:rPr>
                <w:rFonts w:ascii="宋体" w:hAnsi="宋体" w:eastAsia="宋体"/>
                <w:sz w:val="16"/>
              </w:rPr>
              <w:t>—</w:t>
            </w:r>
          </w:p>
        </w:tc>
      </w:tr>
      <w:tr w14:paraId="0BCE00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DF043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639C3">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5CFF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EE7119">
            <w:pPr>
              <w:jc w:val="center"/>
            </w:pPr>
            <w:r>
              <w:rPr>
                <w:rFonts w:ascii="宋体" w:hAnsi="宋体" w:eastAsia="宋体"/>
                <w:sz w:val="16"/>
              </w:rPr>
              <w:t>80.08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4E500">
            <w:pPr>
              <w:jc w:val="center"/>
            </w:pPr>
            <w:r>
              <w:rPr>
                <w:rFonts w:ascii="宋体" w:hAnsi="宋体" w:eastAsia="宋体"/>
                <w:sz w:val="16"/>
              </w:rPr>
              <w:t>80.08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22B6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46D1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2BD24">
            <w:pPr>
              <w:jc w:val="center"/>
            </w:pPr>
            <w:r>
              <w:rPr>
                <w:rFonts w:ascii="宋体" w:hAnsi="宋体" w:eastAsia="宋体"/>
                <w:sz w:val="16"/>
              </w:rPr>
              <w:t>—</w:t>
            </w:r>
          </w:p>
        </w:tc>
      </w:tr>
      <w:tr w14:paraId="45B0AEB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E884E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59E257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7F25C5">
            <w:pPr>
              <w:jc w:val="center"/>
            </w:pPr>
            <w:r>
              <w:rPr>
                <w:rFonts w:ascii="宋体" w:hAnsi="宋体" w:eastAsia="宋体"/>
                <w:sz w:val="16"/>
              </w:rPr>
              <w:t>实际完成情况</w:t>
            </w:r>
          </w:p>
        </w:tc>
      </w:tr>
      <w:tr w14:paraId="67F4DA0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C6990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CE8DC06">
            <w:pPr>
              <w:jc w:val="both"/>
            </w:pPr>
            <w:r>
              <w:rPr>
                <w:rFonts w:ascii="宋体" w:hAnsi="宋体" w:eastAsia="宋体"/>
                <w:sz w:val="16"/>
              </w:rPr>
              <w:t>2024年总体工作思路是：坚持以习近平新时代中国特色社会主义思想为指导，深入学习贯彻习近平总书记关于党校办学治校系列重要指示精神和《中国共产党党校工作条例》，严格落实上级党校工作部署安排坚持把全县干部集中培训的主体班、专题班和县级部门、行业系统及乡镇专题培训统筹纳入年度培训计划，实行干部培训工作统筹管理。选优秀中青年教师到相关部门单位挂职历练、配合开发特色课程、打造特色教学基地，充分整合运用我县各类资源，通过“党校+基地”融合发展，走特色办学之路2024年计划开展各类培训班不少于25期，与其他单位联合开展培训班不少于5期，培训干部人员不少于1250人；参加培训学员满意度达到95%以上。教师外出培训9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B7B404">
            <w:pPr>
              <w:jc w:val="both"/>
            </w:pPr>
            <w:r>
              <w:rPr>
                <w:rFonts w:hint="eastAsia" w:ascii="宋体" w:hAnsi="宋体"/>
                <w:sz w:val="16"/>
                <w:lang w:eastAsia="zh-CN"/>
              </w:rPr>
              <w:t>截至2024</w:t>
            </w:r>
            <w:r>
              <w:rPr>
                <w:rFonts w:ascii="宋体" w:hAnsi="宋体" w:eastAsia="宋体"/>
                <w:sz w:val="16"/>
              </w:rPr>
              <w:t>年12月，</w:t>
            </w:r>
            <w:r>
              <w:rPr>
                <w:rFonts w:hint="eastAsia" w:ascii="宋体" w:hAnsi="宋体"/>
                <w:sz w:val="16"/>
                <w:lang w:eastAsia="zh-CN"/>
              </w:rPr>
              <w:t>本单位</w:t>
            </w:r>
            <w:r>
              <w:rPr>
                <w:rFonts w:ascii="宋体" w:hAnsi="宋体" w:eastAsia="宋体"/>
                <w:sz w:val="16"/>
              </w:rPr>
              <w:t>实际开展各类培训班25期；培训学员人数达3054人；联合其他单位开展培训班5期；本单位教师外出培训共9次；培训学员满意度95%，进一步丰富教学方式和内容，强化成果转化，培养复合型干部，有效提升党校教师的教学水平与理论素养，同时拓宽视野，更新观念。</w:t>
            </w:r>
          </w:p>
        </w:tc>
      </w:tr>
      <w:tr w14:paraId="36F8B6E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1EA7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7FE7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032BB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8DDB3B">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DD7A2">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78275C">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A54F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F49BF">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9CFF38">
            <w:pPr>
              <w:jc w:val="center"/>
            </w:pPr>
            <w:r>
              <w:rPr>
                <w:rFonts w:ascii="宋体" w:hAnsi="宋体" w:eastAsia="宋体"/>
                <w:sz w:val="16"/>
              </w:rPr>
              <w:t>得分</w:t>
            </w:r>
          </w:p>
        </w:tc>
      </w:tr>
      <w:tr w14:paraId="563A8ED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355C08">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4A14C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022CC3">
            <w:pPr>
              <w:jc w:val="center"/>
            </w:pPr>
            <w:r>
              <w:rPr>
                <w:rFonts w:ascii="宋体" w:hAnsi="宋体" w:eastAsia="宋体"/>
                <w:sz w:val="16"/>
              </w:rPr>
              <w:t>开展各类培训班期数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9D03C">
            <w:pPr>
              <w:jc w:val="center"/>
            </w:pPr>
            <w:r>
              <w:rPr>
                <w:rFonts w:ascii="宋体" w:hAnsi="宋体" w:eastAsia="宋体"/>
                <w:sz w:val="16"/>
              </w:rPr>
              <w:t>&gt;=25期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ED28F">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1FADA">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35BA3">
            <w:pPr>
              <w:jc w:val="center"/>
            </w:pPr>
            <w:r>
              <w:rPr>
                <w:rFonts w:ascii="宋体" w:hAnsi="宋体" w:eastAsia="宋体"/>
                <w:sz w:val="16"/>
              </w:rPr>
              <w:t>=25期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6F4A9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81987">
            <w:pPr>
              <w:jc w:val="center"/>
            </w:pPr>
            <w:r>
              <w:rPr>
                <w:rFonts w:ascii="宋体" w:hAnsi="宋体" w:eastAsia="宋体"/>
                <w:sz w:val="16"/>
              </w:rPr>
              <w:t>30</w:t>
            </w:r>
          </w:p>
        </w:tc>
      </w:tr>
      <w:tr w14:paraId="02D989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DFA60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8479B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3FA52">
            <w:pPr>
              <w:jc w:val="center"/>
            </w:pPr>
            <w:r>
              <w:rPr>
                <w:rFonts w:ascii="宋体" w:hAnsi="宋体" w:eastAsia="宋体"/>
                <w:sz w:val="16"/>
              </w:rPr>
              <w:t>培训学员人数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D0B5FE">
            <w:pPr>
              <w:jc w:val="center"/>
            </w:pPr>
            <w:r>
              <w:rPr>
                <w:rFonts w:ascii="宋体" w:hAnsi="宋体" w:eastAsia="宋体"/>
                <w:sz w:val="16"/>
              </w:rPr>
              <w:t>&gt;=1250人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B867E">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24ED3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676A80">
            <w:pPr>
              <w:jc w:val="center"/>
            </w:pPr>
            <w:r>
              <w:rPr>
                <w:rFonts w:ascii="宋体" w:hAnsi="宋体" w:eastAsia="宋体"/>
                <w:sz w:val="16"/>
              </w:rPr>
              <w:t>=3054人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F2956">
            <w:pPr>
              <w:jc w:val="center"/>
            </w:pPr>
            <w:r>
              <w:rPr>
                <w:rFonts w:ascii="宋体" w:hAnsi="宋体" w:eastAsia="宋体"/>
                <w:sz w:val="16"/>
              </w:rPr>
              <w:t>244.32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7D1278">
            <w:pPr>
              <w:jc w:val="center"/>
            </w:pPr>
            <w:r>
              <w:rPr>
                <w:rFonts w:ascii="宋体" w:hAnsi="宋体" w:eastAsia="宋体"/>
                <w:sz w:val="16"/>
              </w:rPr>
              <w:t>20</w:t>
            </w:r>
          </w:p>
        </w:tc>
      </w:tr>
      <w:tr w14:paraId="5DFD48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49F07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55A8C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69725">
            <w:pPr>
              <w:jc w:val="center"/>
            </w:pPr>
            <w:r>
              <w:rPr>
                <w:rFonts w:ascii="宋体" w:hAnsi="宋体" w:eastAsia="宋体"/>
                <w:sz w:val="16"/>
              </w:rPr>
              <w:t>联合其他单位开展培训班期数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360EBB">
            <w:pPr>
              <w:jc w:val="center"/>
            </w:pPr>
            <w:r>
              <w:rPr>
                <w:rFonts w:ascii="宋体" w:hAnsi="宋体" w:eastAsia="宋体"/>
                <w:sz w:val="16"/>
              </w:rPr>
              <w:t>&gt;=5期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053CC">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83BF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1BD51">
            <w:pPr>
              <w:jc w:val="center"/>
            </w:pPr>
            <w:r>
              <w:rPr>
                <w:rFonts w:ascii="宋体" w:hAnsi="宋体" w:eastAsia="宋体"/>
                <w:sz w:val="16"/>
              </w:rPr>
              <w:t>=5期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0D9F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92C6A">
            <w:pPr>
              <w:jc w:val="center"/>
            </w:pPr>
            <w:r>
              <w:rPr>
                <w:rFonts w:ascii="宋体" w:hAnsi="宋体" w:eastAsia="宋体"/>
                <w:sz w:val="16"/>
              </w:rPr>
              <w:t>20</w:t>
            </w:r>
          </w:p>
        </w:tc>
      </w:tr>
      <w:tr w14:paraId="4721C7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933BD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6E526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7DB46">
            <w:pPr>
              <w:jc w:val="center"/>
            </w:pPr>
            <w:r>
              <w:rPr>
                <w:rFonts w:ascii="宋体" w:hAnsi="宋体" w:eastAsia="宋体"/>
                <w:sz w:val="16"/>
              </w:rPr>
              <w:t>教师外出培训次数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14DF3">
            <w:pPr>
              <w:jc w:val="center"/>
            </w:pPr>
            <w:r>
              <w:rPr>
                <w:rFonts w:ascii="宋体" w:hAnsi="宋体" w:eastAsia="宋体"/>
                <w:sz w:val="16"/>
              </w:rPr>
              <w:t>&gt;=9次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F88DE">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50E1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6961E5">
            <w:pPr>
              <w:jc w:val="center"/>
            </w:pPr>
            <w:r>
              <w:rPr>
                <w:rFonts w:ascii="宋体" w:hAnsi="宋体" w:eastAsia="宋体"/>
                <w:sz w:val="16"/>
              </w:rPr>
              <w:t>=9次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14E8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C8D89">
            <w:pPr>
              <w:jc w:val="center"/>
            </w:pPr>
            <w:r>
              <w:rPr>
                <w:rFonts w:ascii="宋体" w:hAnsi="宋体" w:eastAsia="宋体"/>
                <w:sz w:val="16"/>
              </w:rPr>
              <w:t>10</w:t>
            </w:r>
          </w:p>
        </w:tc>
      </w:tr>
      <w:tr w14:paraId="6EF7C24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2D6FE">
            <w:pPr>
              <w:jc w:val="center"/>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784E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F50E9">
            <w:pPr>
              <w:jc w:val="center"/>
            </w:pPr>
            <w:r>
              <w:rPr>
                <w:rFonts w:ascii="宋体" w:hAnsi="宋体" w:eastAsia="宋体"/>
                <w:sz w:val="16"/>
              </w:rPr>
              <w:t>培训学员满意度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4E1A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502B32">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0133B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692FB7">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84D4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AE594B">
            <w:pPr>
              <w:jc w:val="center"/>
            </w:pPr>
            <w:r>
              <w:rPr>
                <w:rFonts w:ascii="宋体" w:hAnsi="宋体" w:eastAsia="宋体"/>
                <w:sz w:val="16"/>
              </w:rPr>
              <w:t>10</w:t>
            </w:r>
          </w:p>
        </w:tc>
      </w:tr>
    </w:tbl>
    <w:p w14:paraId="0F3D9E1C">
      <w:r>
        <w:br w:type="page"/>
      </w:r>
    </w:p>
    <w:p w14:paraId="596291B7">
      <w:pPr>
        <w:spacing w:line="640" w:lineRule="exact"/>
        <w:ind w:firstLine="640"/>
        <w:jc w:val="both"/>
        <w:outlineLvl w:val="2"/>
      </w:pPr>
      <w:r>
        <w:rPr>
          <w:rFonts w:ascii="黑体" w:hAnsi="黑体" w:eastAsia="黑体"/>
          <w:sz w:val="32"/>
        </w:rPr>
        <w:t>十二、其他需说明的事项</w:t>
      </w:r>
    </w:p>
    <w:p w14:paraId="27EDE5B6">
      <w:pPr>
        <w:spacing w:line="580" w:lineRule="exact"/>
        <w:ind w:firstLine="640"/>
        <w:jc w:val="both"/>
      </w:pPr>
      <w:r>
        <w:rPr>
          <w:rFonts w:ascii="仿宋_GB2312" w:hAnsi="仿宋_GB2312" w:eastAsia="仿宋_GB2312"/>
          <w:b w:val="0"/>
          <w:sz w:val="32"/>
        </w:rPr>
        <w:t>本单位无其他需说明的事项。</w:t>
      </w:r>
    </w:p>
    <w:p w14:paraId="4479DA06">
      <w:r>
        <w:br w:type="page"/>
      </w:r>
    </w:p>
    <w:p w14:paraId="428AB00C">
      <w:pPr>
        <w:spacing w:line="240" w:lineRule="auto"/>
        <w:jc w:val="center"/>
        <w:outlineLvl w:val="1"/>
      </w:pPr>
      <w:r>
        <w:rPr>
          <w:rFonts w:ascii="黑体" w:hAnsi="黑体" w:eastAsia="黑体"/>
          <w:sz w:val="32"/>
        </w:rPr>
        <w:t>第三部分 专业名词解释</w:t>
      </w:r>
    </w:p>
    <w:p w14:paraId="71FB223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DAACB2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83A2F7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4195CF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84A536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F33152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A50A35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18EC5C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D503AD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40D84A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30FDCD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AA2F37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E37634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FE5172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F4EB067">
      <w:r>
        <w:br w:type="page"/>
      </w:r>
    </w:p>
    <w:p w14:paraId="52C2C131">
      <w:pPr>
        <w:spacing w:line="240" w:lineRule="auto"/>
        <w:jc w:val="center"/>
        <w:outlineLvl w:val="1"/>
      </w:pPr>
      <w:r>
        <w:rPr>
          <w:rFonts w:ascii="黑体" w:hAnsi="黑体" w:eastAsia="黑体"/>
          <w:sz w:val="32"/>
        </w:rPr>
        <w:t>第四部分 部门决算报表（见附表）</w:t>
      </w:r>
    </w:p>
    <w:p w14:paraId="546C6343">
      <w:pPr>
        <w:spacing w:line="240" w:lineRule="auto"/>
        <w:ind w:firstLine="640"/>
        <w:jc w:val="both"/>
      </w:pPr>
      <w:r>
        <w:rPr>
          <w:rFonts w:ascii="仿宋_GB2312" w:hAnsi="仿宋_GB2312" w:eastAsia="仿宋_GB2312"/>
          <w:b w:val="0"/>
          <w:sz w:val="32"/>
        </w:rPr>
        <w:t>一、《收入支出决算总表》</w:t>
      </w:r>
    </w:p>
    <w:p w14:paraId="7CD41992">
      <w:pPr>
        <w:spacing w:line="240" w:lineRule="auto"/>
        <w:ind w:firstLine="640"/>
        <w:jc w:val="both"/>
      </w:pPr>
      <w:r>
        <w:rPr>
          <w:rFonts w:ascii="仿宋_GB2312" w:hAnsi="仿宋_GB2312" w:eastAsia="仿宋_GB2312"/>
          <w:b w:val="0"/>
          <w:sz w:val="32"/>
        </w:rPr>
        <w:t>二、《收入决算表》</w:t>
      </w:r>
    </w:p>
    <w:p w14:paraId="3C23F0D0">
      <w:pPr>
        <w:spacing w:line="240" w:lineRule="auto"/>
        <w:ind w:firstLine="640"/>
        <w:jc w:val="both"/>
      </w:pPr>
      <w:r>
        <w:rPr>
          <w:rFonts w:ascii="仿宋_GB2312" w:hAnsi="仿宋_GB2312" w:eastAsia="仿宋_GB2312"/>
          <w:b w:val="0"/>
          <w:sz w:val="32"/>
        </w:rPr>
        <w:t>三、《支出决算表》</w:t>
      </w:r>
    </w:p>
    <w:p w14:paraId="668F3046">
      <w:pPr>
        <w:spacing w:line="240" w:lineRule="auto"/>
        <w:ind w:firstLine="640"/>
        <w:jc w:val="both"/>
      </w:pPr>
      <w:r>
        <w:rPr>
          <w:rFonts w:ascii="仿宋_GB2312" w:hAnsi="仿宋_GB2312" w:eastAsia="仿宋_GB2312"/>
          <w:b w:val="0"/>
          <w:sz w:val="32"/>
        </w:rPr>
        <w:t>四、《财政拨款收入支出决算总表》</w:t>
      </w:r>
    </w:p>
    <w:p w14:paraId="1B6B1518">
      <w:pPr>
        <w:spacing w:line="240" w:lineRule="auto"/>
        <w:ind w:firstLine="640"/>
        <w:jc w:val="both"/>
      </w:pPr>
      <w:r>
        <w:rPr>
          <w:rFonts w:ascii="仿宋_GB2312" w:hAnsi="仿宋_GB2312" w:eastAsia="仿宋_GB2312"/>
          <w:b w:val="0"/>
          <w:sz w:val="32"/>
        </w:rPr>
        <w:t>五、《一般公共预算财政拨款支出决算表》</w:t>
      </w:r>
    </w:p>
    <w:p w14:paraId="411EABDE">
      <w:pPr>
        <w:spacing w:line="240" w:lineRule="auto"/>
        <w:ind w:firstLine="640"/>
        <w:jc w:val="both"/>
      </w:pPr>
      <w:r>
        <w:rPr>
          <w:rFonts w:ascii="仿宋_GB2312" w:hAnsi="仿宋_GB2312" w:eastAsia="仿宋_GB2312"/>
          <w:b w:val="0"/>
          <w:sz w:val="32"/>
        </w:rPr>
        <w:t>六、《一般公共预算财政拨款基本支出决算表》</w:t>
      </w:r>
    </w:p>
    <w:p w14:paraId="2D0A5832">
      <w:pPr>
        <w:spacing w:line="240" w:lineRule="auto"/>
        <w:ind w:firstLine="640"/>
        <w:jc w:val="both"/>
      </w:pPr>
      <w:r>
        <w:rPr>
          <w:rFonts w:ascii="仿宋_GB2312" w:hAnsi="仿宋_GB2312" w:eastAsia="仿宋_GB2312"/>
          <w:b w:val="0"/>
          <w:sz w:val="32"/>
        </w:rPr>
        <w:t>七、《政府性基金预算财政拨款收入支出决算表》</w:t>
      </w:r>
    </w:p>
    <w:p w14:paraId="2350F112">
      <w:pPr>
        <w:spacing w:line="240" w:lineRule="auto"/>
        <w:ind w:firstLine="640"/>
        <w:jc w:val="both"/>
      </w:pPr>
      <w:r>
        <w:rPr>
          <w:rFonts w:ascii="仿宋_GB2312" w:hAnsi="仿宋_GB2312" w:eastAsia="仿宋_GB2312"/>
          <w:b w:val="0"/>
          <w:sz w:val="32"/>
        </w:rPr>
        <w:t>八、《国有资本经营预算财政拨款收入支出决算表》</w:t>
      </w:r>
    </w:p>
    <w:p w14:paraId="56059D18">
      <w:pPr>
        <w:spacing w:line="240" w:lineRule="auto"/>
        <w:ind w:firstLine="640"/>
        <w:jc w:val="both"/>
      </w:pPr>
      <w:r>
        <w:rPr>
          <w:rFonts w:ascii="仿宋_GB2312" w:hAnsi="仿宋_GB2312" w:eastAsia="仿宋_GB2312"/>
          <w:b w:val="0"/>
          <w:sz w:val="32"/>
        </w:rPr>
        <w:t>九、《财政拨款“三公”经费支出决算表》</w:t>
      </w:r>
    </w:p>
    <w:p w14:paraId="1B3C81B5">
      <w:pPr>
        <w:spacing w:line="240" w:lineRule="auto"/>
        <w:ind w:firstLine="640"/>
        <w:jc w:val="both"/>
      </w:pPr>
    </w:p>
    <w:p w14:paraId="26DB3865">
      <w:pPr>
        <w:spacing w:line="240" w:lineRule="auto"/>
        <w:ind w:firstLine="640"/>
        <w:jc w:val="both"/>
      </w:pPr>
    </w:p>
    <w:p w14:paraId="51F7670C">
      <w:pPr>
        <w:spacing w:line="240" w:lineRule="auto"/>
        <w:ind w:firstLine="640"/>
        <w:jc w:val="both"/>
      </w:pPr>
    </w:p>
    <w:p w14:paraId="65B0AB77">
      <w:pPr>
        <w:spacing w:line="240" w:lineRule="auto"/>
        <w:ind w:firstLine="640"/>
        <w:jc w:val="both"/>
      </w:pPr>
    </w:p>
    <w:p w14:paraId="5B43679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A380539-59C3-4F70-9E58-CF3C38BD589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B98A81D6-72D3-45FE-AA05-55433B86E898}"/>
  </w:font>
  <w:font w:name="仿宋_GB2312">
    <w:panose1 w:val="02010609030101010101"/>
    <w:charset w:val="86"/>
    <w:family w:val="modern"/>
    <w:pitch w:val="default"/>
    <w:sig w:usb0="00000001" w:usb1="080E0000" w:usb2="00000000" w:usb3="00000000" w:csb0="00040000" w:csb1="00000000"/>
    <w:embedRegular r:id="rId3" w:fontKey="{88AD7F77-5364-409D-9B8D-7F53C54E5868}"/>
  </w:font>
  <w:font w:name="楷体_GB2312">
    <w:panose1 w:val="02010609030101010101"/>
    <w:charset w:val="86"/>
    <w:family w:val="auto"/>
    <w:pitch w:val="default"/>
    <w:sig w:usb0="00000001" w:usb1="080E0000" w:usb2="00000000" w:usb3="00000000" w:csb0="00040000" w:csb1="00000000"/>
    <w:embedRegular r:id="rId4" w:fontKey="{3CBC20D0-DF9E-4163-9B2C-2B2DB66F2CB8}"/>
  </w:font>
  <w:font w:name="WPSEMBED35">
    <w:panose1 w:val="02010609030101010101"/>
    <w:charset w:val="86"/>
    <w:family w:val="auto"/>
    <w:pitch w:val="default"/>
    <w:sig w:usb0="00000001" w:usb1="080E0000" w:usb2="00000000" w:usb3="00000000" w:csb0="00040000" w:csb1="00000000"/>
  </w:font>
  <w:font w:name="WPSEMBED36">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7D40634"/>
    <w:rsid w:val="583059FA"/>
    <w:rsid w:val="587E6212"/>
    <w:rsid w:val="5913331C"/>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3684</Words>
  <Characters>4223</Characters>
  <Lines>0</Lines>
  <Paragraphs>0</Paragraphs>
  <TotalTime>10</TotalTime>
  <ScaleCrop>false</ScaleCrop>
  <LinksUpToDate>false</LinksUpToDate>
  <CharactersWithSpaces>4231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2025-09-05T05:01:16Z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