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76BB2BB">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中共英吉沙县委办公室</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E00964F">
      <w:r>
        <w:br w:type="page"/>
      </w:r>
    </w:p>
    <w:p w14:paraId="55D8FE73">
      <w:pPr>
        <w:spacing w:line="640" w:lineRule="exact"/>
        <w:jc w:val="center"/>
        <w:outlineLvl w:val="1"/>
      </w:pPr>
      <w:r>
        <w:rPr>
          <w:rFonts w:ascii="黑体" w:hAnsi="黑体" w:eastAsia="黑体"/>
          <w:sz w:val="32"/>
        </w:rPr>
        <w:t>第一部分 单位概况</w:t>
      </w:r>
    </w:p>
    <w:p w14:paraId="3EE5BE88">
      <w:pPr>
        <w:spacing w:line="640" w:lineRule="exact"/>
        <w:ind w:firstLine="640"/>
        <w:jc w:val="both"/>
        <w:outlineLvl w:val="2"/>
      </w:pPr>
      <w:r>
        <w:rPr>
          <w:rFonts w:ascii="黑体" w:hAnsi="黑体" w:eastAsia="黑体"/>
          <w:sz w:val="32"/>
        </w:rPr>
        <w:t>一、主要职能</w:t>
      </w:r>
    </w:p>
    <w:p w14:paraId="19AB3655">
      <w:pPr>
        <w:spacing w:line="580" w:lineRule="exact"/>
        <w:ind w:firstLine="640"/>
        <w:jc w:val="both"/>
      </w:pPr>
      <w:r>
        <w:rPr>
          <w:rFonts w:ascii="仿宋_GB2312" w:hAnsi="仿宋_GB2312" w:eastAsia="仿宋_GB2312"/>
          <w:sz w:val="32"/>
        </w:rPr>
        <w:t>（1）协助县委领导处理县委日常工作，协调乡镇和单位工作。</w:t>
      </w:r>
    </w:p>
    <w:p w14:paraId="14CC2985">
      <w:pPr>
        <w:spacing w:line="580" w:lineRule="exact"/>
        <w:ind w:firstLine="640"/>
        <w:jc w:val="both"/>
      </w:pPr>
      <w:r>
        <w:rPr>
          <w:rFonts w:ascii="仿宋_GB2312" w:hAnsi="仿宋_GB2312" w:eastAsia="仿宋_GB2312"/>
          <w:sz w:val="32"/>
        </w:rPr>
        <w:t>（2）负责县委日常文书处理、县委领导同志公务活动的组织安排、县委各类会议的组织工作。</w:t>
      </w:r>
    </w:p>
    <w:p w14:paraId="6AC42176">
      <w:pPr>
        <w:spacing w:line="580" w:lineRule="exact"/>
        <w:ind w:firstLine="640"/>
        <w:jc w:val="both"/>
      </w:pPr>
      <w:r>
        <w:rPr>
          <w:rFonts w:ascii="仿宋_GB2312" w:hAnsi="仿宋_GB2312" w:eastAsia="仿宋_GB2312"/>
          <w:sz w:val="32"/>
        </w:rPr>
        <w:t>（3）负责县委文件、文稿的起草、批办、审批和</w:t>
      </w:r>
      <w:r>
        <w:rPr>
          <w:rFonts w:hint="eastAsia" w:ascii="仿宋_GB2312" w:hAnsi="仿宋_GB2312" w:eastAsia="仿宋_GB2312"/>
          <w:sz w:val="32"/>
          <w:lang w:eastAsia="zh-CN"/>
        </w:rPr>
        <w:t>印发</w:t>
      </w:r>
      <w:r>
        <w:rPr>
          <w:rFonts w:ascii="仿宋_GB2312" w:hAnsi="仿宋_GB2312" w:eastAsia="仿宋_GB2312"/>
          <w:sz w:val="32"/>
        </w:rPr>
        <w:t>工作。</w:t>
      </w:r>
    </w:p>
    <w:p w14:paraId="23D3D8E0">
      <w:pPr>
        <w:spacing w:line="580" w:lineRule="exact"/>
        <w:ind w:firstLine="640"/>
        <w:jc w:val="both"/>
      </w:pPr>
      <w:r>
        <w:rPr>
          <w:rFonts w:ascii="仿宋_GB2312" w:hAnsi="仿宋_GB2312" w:eastAsia="仿宋_GB2312"/>
          <w:sz w:val="32"/>
        </w:rPr>
        <w:t>（4）领导县委机要局、县委档案馆的工作。</w:t>
      </w:r>
    </w:p>
    <w:p w14:paraId="3BB02306">
      <w:pPr>
        <w:spacing w:line="580" w:lineRule="exact"/>
        <w:ind w:firstLine="640"/>
        <w:jc w:val="both"/>
      </w:pPr>
      <w:r>
        <w:rPr>
          <w:rFonts w:ascii="仿宋_GB2312" w:hAnsi="仿宋_GB2312" w:eastAsia="仿宋_GB2312"/>
          <w:sz w:val="32"/>
        </w:rPr>
        <w:t>（5）一年来围绕县委中心工作，组织力量对全县经济、政治、文化、党建等全局性、战略性重大问题提出意见。</w:t>
      </w:r>
    </w:p>
    <w:p w14:paraId="6D310B03">
      <w:pPr>
        <w:spacing w:line="580" w:lineRule="exact"/>
        <w:ind w:firstLine="640"/>
        <w:jc w:val="both"/>
      </w:pPr>
      <w:r>
        <w:rPr>
          <w:rFonts w:ascii="仿宋_GB2312" w:hAnsi="仿宋_GB2312" w:eastAsia="仿宋_GB2312"/>
          <w:sz w:val="32"/>
        </w:rPr>
        <w:t>（6）县委、县委办公室公文的拟制、办理、管理等工作。承担党内法规制度规划计划、起草审核、备案清理、督促指导等职责。</w:t>
      </w:r>
    </w:p>
    <w:p w14:paraId="762F378A">
      <w:pPr>
        <w:spacing w:line="580" w:lineRule="exact"/>
        <w:ind w:firstLine="640"/>
        <w:jc w:val="both"/>
      </w:pPr>
      <w:r>
        <w:rPr>
          <w:rFonts w:ascii="仿宋_GB2312" w:hAnsi="仿宋_GB2312" w:eastAsia="仿宋_GB2312"/>
          <w:sz w:val="32"/>
        </w:rPr>
        <w:t>（7）承担全县党委信息工作的目标管理、考核和业务指导工作，承担县委及县委办公室的信息收集、整理、编辑、上报工作。</w:t>
      </w:r>
    </w:p>
    <w:p w14:paraId="619D6D25">
      <w:pPr>
        <w:spacing w:line="580" w:lineRule="exact"/>
        <w:ind w:firstLine="640"/>
        <w:jc w:val="both"/>
      </w:pPr>
      <w:r>
        <w:rPr>
          <w:rFonts w:ascii="仿宋_GB2312" w:hAnsi="仿宋_GB2312" w:eastAsia="仿宋_GB2312"/>
          <w:sz w:val="32"/>
        </w:rPr>
        <w:t>（8）承担全县电子文件管理、党委信息化、信息化密码保障工作。</w:t>
      </w:r>
    </w:p>
    <w:p w14:paraId="057FB538">
      <w:pPr>
        <w:spacing w:line="580" w:lineRule="exact"/>
        <w:ind w:firstLine="640"/>
        <w:jc w:val="both"/>
      </w:pPr>
      <w:r>
        <w:rPr>
          <w:rFonts w:ascii="仿宋_GB2312" w:hAnsi="仿宋_GB2312" w:eastAsia="仿宋_GB2312"/>
          <w:sz w:val="32"/>
        </w:rPr>
        <w:t>（9）组织开展保密宣传教育培训，负责全县党政机关、涉密单位保密管理工作，依法开展保密执法；贯彻执行党和国家有关档案工作方针政策以及《中华人民共和国档案法》，指导、督促、检查、考核全县机关、团体、企业事业单位和其他组织的档案管理工作。</w:t>
      </w:r>
    </w:p>
    <w:p w14:paraId="4ECF6024">
      <w:pPr>
        <w:spacing w:line="640" w:lineRule="exact"/>
        <w:ind w:firstLine="640"/>
        <w:jc w:val="both"/>
        <w:outlineLvl w:val="2"/>
      </w:pPr>
      <w:r>
        <w:rPr>
          <w:rFonts w:ascii="黑体" w:hAnsi="黑体" w:eastAsia="黑体"/>
          <w:sz w:val="32"/>
        </w:rPr>
        <w:t>二、机构设置及人员情况</w:t>
      </w:r>
    </w:p>
    <w:p w14:paraId="75004B25">
      <w:pPr>
        <w:spacing w:line="580" w:lineRule="exact"/>
        <w:ind w:firstLine="640"/>
        <w:jc w:val="both"/>
      </w:pPr>
      <w:r>
        <w:rPr>
          <w:rFonts w:ascii="仿宋_GB2312" w:hAnsi="仿宋_GB2312" w:eastAsia="仿宋_GB2312"/>
          <w:sz w:val="32"/>
        </w:rPr>
        <w:t>中共英吉沙县委办公室2024年度，实有人数66人，其中：在职人员41人，减少124人；离休人员0人，增加0人；退休人员25人,减少31人。</w:t>
      </w:r>
    </w:p>
    <w:p w14:paraId="0D882AF1">
      <w:pPr>
        <w:spacing w:line="580" w:lineRule="exact"/>
        <w:ind w:firstLine="640"/>
        <w:jc w:val="both"/>
      </w:pPr>
      <w:r>
        <w:rPr>
          <w:rFonts w:ascii="仿宋_GB2312" w:hAnsi="仿宋_GB2312" w:eastAsia="仿宋_GB2312"/>
          <w:sz w:val="32"/>
        </w:rPr>
        <w:t>中共英吉沙县委办公室无下属预算单位，下设</w:t>
      </w:r>
      <w:r>
        <w:rPr>
          <w:rFonts w:hint="eastAsia" w:ascii="仿宋_GB2312" w:hAnsi="仿宋_GB2312" w:eastAsia="仿宋_GB2312"/>
          <w:sz w:val="32"/>
          <w:lang w:val="en-US" w:eastAsia="zh-CN"/>
        </w:rPr>
        <w:t>4</w:t>
      </w:r>
      <w:r>
        <w:rPr>
          <w:rFonts w:ascii="仿宋_GB2312" w:hAnsi="仿宋_GB2312" w:eastAsia="仿宋_GB2312"/>
          <w:sz w:val="32"/>
        </w:rPr>
        <w:t>个科室，分别是：英吉沙县委机要保密局、英吉沙县信息化中心、英吉沙县专用通信局、英吉沙县档案史志馆。</w:t>
      </w:r>
    </w:p>
    <w:p w14:paraId="0565ADF4">
      <w:r>
        <w:br w:type="page"/>
      </w:r>
    </w:p>
    <w:p w14:paraId="1D7994DB">
      <w:pPr>
        <w:spacing w:line="240" w:lineRule="auto"/>
        <w:jc w:val="center"/>
        <w:outlineLvl w:val="1"/>
      </w:pPr>
      <w:r>
        <w:rPr>
          <w:rFonts w:ascii="黑体" w:hAnsi="黑体" w:eastAsia="黑体"/>
          <w:sz w:val="32"/>
        </w:rPr>
        <w:t>第二部分 部门决算情况说明</w:t>
      </w:r>
    </w:p>
    <w:p w14:paraId="072CC6C4">
      <w:pPr>
        <w:spacing w:line="640" w:lineRule="exact"/>
        <w:ind w:firstLine="640"/>
        <w:jc w:val="both"/>
        <w:outlineLvl w:val="2"/>
      </w:pPr>
      <w:r>
        <w:rPr>
          <w:rFonts w:ascii="黑体" w:hAnsi="黑体" w:eastAsia="黑体"/>
          <w:sz w:val="32"/>
        </w:rPr>
        <w:t>一、收入支出决算总体情况说明</w:t>
      </w:r>
    </w:p>
    <w:p w14:paraId="7437EDA8">
      <w:pPr>
        <w:spacing w:line="580" w:lineRule="exact"/>
        <w:ind w:firstLine="640"/>
        <w:jc w:val="both"/>
      </w:pPr>
      <w:r>
        <w:rPr>
          <w:rFonts w:ascii="仿宋_GB2312" w:hAnsi="仿宋_GB2312" w:eastAsia="仿宋_GB2312"/>
          <w:b/>
          <w:sz w:val="32"/>
        </w:rPr>
        <w:t>2024年度收入总计1,385.00万元，</w:t>
      </w:r>
      <w:r>
        <w:rPr>
          <w:rFonts w:ascii="仿宋_GB2312" w:hAnsi="仿宋_GB2312" w:eastAsia="仿宋_GB2312"/>
          <w:b w:val="0"/>
          <w:sz w:val="32"/>
        </w:rPr>
        <w:t>其中：本年收入合计1,385.00万元，使用非财政拨款结余（含专用结余）0.00万元，年初结转和结余0.00万元。</w:t>
      </w:r>
    </w:p>
    <w:p w14:paraId="66D26B19">
      <w:pPr>
        <w:spacing w:line="580" w:lineRule="exact"/>
        <w:ind w:firstLine="640"/>
        <w:jc w:val="both"/>
      </w:pPr>
      <w:r>
        <w:rPr>
          <w:rFonts w:ascii="仿宋_GB2312" w:hAnsi="仿宋_GB2312" w:eastAsia="仿宋_GB2312"/>
          <w:b/>
          <w:sz w:val="32"/>
        </w:rPr>
        <w:t>2024年度支出总计1,385.00万元，</w:t>
      </w:r>
      <w:r>
        <w:rPr>
          <w:rFonts w:ascii="仿宋_GB2312" w:hAnsi="仿宋_GB2312" w:eastAsia="仿宋_GB2312"/>
          <w:b w:val="0"/>
          <w:sz w:val="32"/>
        </w:rPr>
        <w:t>其中：本年支出合计1,385.00万元，结余分配0.00万元，年末结转和结余0.00万元。</w:t>
      </w:r>
    </w:p>
    <w:p w14:paraId="4184D2DD">
      <w:pPr>
        <w:spacing w:line="580" w:lineRule="exact"/>
        <w:ind w:firstLine="640"/>
        <w:jc w:val="both"/>
      </w:pPr>
      <w:r>
        <w:rPr>
          <w:rFonts w:ascii="仿宋_GB2312" w:hAnsi="仿宋_GB2312" w:eastAsia="仿宋_GB2312"/>
          <w:b w:val="0"/>
          <w:sz w:val="32"/>
        </w:rPr>
        <w:t>收入支出总体与上年相比，减少9,983.40万元，下降87.82%，主要原因是：机构改革，本年县委机关7个单位独立核算，在职人员减少，相关人员经费较上年减少</w:t>
      </w:r>
      <w:r>
        <w:rPr>
          <w:rFonts w:hint="eastAsia" w:ascii="仿宋_GB2312" w:hAnsi="仿宋_GB2312" w:eastAsia="仿宋_GB2312"/>
          <w:b w:val="0"/>
          <w:sz w:val="32"/>
          <w:lang w:eastAsia="zh-CN"/>
        </w:rPr>
        <w:t>。</w:t>
      </w:r>
      <w:r>
        <w:rPr>
          <w:rFonts w:ascii="仿宋_GB2312" w:hAnsi="仿宋_GB2312" w:eastAsia="仿宋_GB2312"/>
          <w:b w:val="0"/>
          <w:sz w:val="32"/>
        </w:rPr>
        <w:t>减少组织部党政专业技术人才培养培训交流项目</w:t>
      </w:r>
      <w:r>
        <w:rPr>
          <w:rFonts w:hint="eastAsia" w:ascii="仿宋_GB2312" w:hAnsi="仿宋_GB2312" w:eastAsia="仿宋_GB2312"/>
          <w:b w:val="0"/>
          <w:sz w:val="32"/>
          <w:lang w:eastAsia="zh-CN"/>
        </w:rPr>
        <w:t>、</w:t>
      </w:r>
      <w:r>
        <w:rPr>
          <w:rFonts w:ascii="仿宋_GB2312" w:hAnsi="仿宋_GB2312" w:eastAsia="仿宋_GB2312"/>
          <w:b w:val="0"/>
          <w:sz w:val="32"/>
        </w:rPr>
        <w:t>组织部中交集团捐赠贫困县市资金</w:t>
      </w:r>
      <w:r>
        <w:rPr>
          <w:rFonts w:hint="eastAsia" w:ascii="仿宋_GB2312" w:hAnsi="仿宋_GB2312" w:eastAsia="仿宋_GB2312"/>
          <w:b w:val="0"/>
          <w:sz w:val="32"/>
          <w:lang w:val="en-US" w:eastAsia="zh-CN"/>
        </w:rPr>
        <w:t>项目</w:t>
      </w:r>
      <w:r>
        <w:rPr>
          <w:rFonts w:ascii="仿宋_GB2312" w:hAnsi="仿宋_GB2312" w:eastAsia="仿宋_GB2312"/>
          <w:b w:val="0"/>
          <w:sz w:val="32"/>
        </w:rPr>
        <w:t>、宣传部电影发行放映补助资金项目、宣传部投影仪设备采购项目</w:t>
      </w:r>
      <w:r>
        <w:rPr>
          <w:rFonts w:hint="eastAsia" w:ascii="仿宋_GB2312" w:hAnsi="仿宋_GB2312" w:eastAsia="仿宋_GB2312"/>
          <w:b w:val="0"/>
          <w:sz w:val="32"/>
          <w:lang w:val="en-US" w:eastAsia="zh-CN"/>
        </w:rPr>
        <w:t>等经费</w:t>
      </w:r>
      <w:r>
        <w:rPr>
          <w:rFonts w:ascii="仿宋_GB2312" w:hAnsi="仿宋_GB2312" w:eastAsia="仿宋_GB2312"/>
          <w:b w:val="0"/>
          <w:sz w:val="32"/>
        </w:rPr>
        <w:t>。</w:t>
      </w:r>
    </w:p>
    <w:p w14:paraId="06924FCA">
      <w:pPr>
        <w:spacing w:line="640" w:lineRule="exact"/>
        <w:ind w:firstLine="640"/>
        <w:jc w:val="both"/>
        <w:outlineLvl w:val="2"/>
      </w:pPr>
      <w:r>
        <w:rPr>
          <w:rFonts w:ascii="黑体" w:hAnsi="黑体" w:eastAsia="黑体"/>
          <w:sz w:val="32"/>
        </w:rPr>
        <w:t>二、收入决算情况说明</w:t>
      </w:r>
    </w:p>
    <w:p w14:paraId="3E6A4B49">
      <w:pPr>
        <w:spacing w:line="580" w:lineRule="exact"/>
        <w:ind w:firstLine="640"/>
        <w:jc w:val="both"/>
      </w:pPr>
      <w:r>
        <w:rPr>
          <w:rFonts w:ascii="仿宋_GB2312" w:hAnsi="仿宋_GB2312" w:eastAsia="仿宋_GB2312"/>
          <w:b/>
          <w:sz w:val="32"/>
        </w:rPr>
        <w:t>本年收入1,385.00万元，</w:t>
      </w:r>
      <w:r>
        <w:rPr>
          <w:rFonts w:ascii="仿宋_GB2312" w:hAnsi="仿宋_GB2312" w:eastAsia="仿宋_GB2312"/>
          <w:b w:val="0"/>
          <w:sz w:val="32"/>
        </w:rPr>
        <w:t>其中：财政拨款收入1,306.37万元，占94.32%；上级补助收入0.00万元，占0.00%；事业收入0.00万元，占0.00%；经营收入0.00万元，占0.00%；附属单位上缴收入0.00万元，占0.00%；其他收入78.63万元，占5.68%。</w:t>
      </w:r>
    </w:p>
    <w:p w14:paraId="4849629A">
      <w:pPr>
        <w:spacing w:line="640" w:lineRule="exact"/>
        <w:ind w:firstLine="640"/>
        <w:jc w:val="both"/>
        <w:outlineLvl w:val="2"/>
      </w:pPr>
      <w:r>
        <w:rPr>
          <w:rFonts w:ascii="黑体" w:hAnsi="黑体" w:eastAsia="黑体"/>
          <w:sz w:val="32"/>
        </w:rPr>
        <w:t>三、支出决算情况说明</w:t>
      </w:r>
    </w:p>
    <w:p w14:paraId="7FA6FCC0">
      <w:pPr>
        <w:spacing w:line="580" w:lineRule="exact"/>
        <w:ind w:firstLine="640"/>
        <w:jc w:val="both"/>
      </w:pPr>
      <w:r>
        <w:rPr>
          <w:rFonts w:ascii="仿宋_GB2312" w:hAnsi="仿宋_GB2312" w:eastAsia="仿宋_GB2312"/>
          <w:b/>
          <w:sz w:val="32"/>
        </w:rPr>
        <w:t>本年支出1,385.00万元，</w:t>
      </w:r>
      <w:r>
        <w:rPr>
          <w:rFonts w:ascii="仿宋_GB2312" w:hAnsi="仿宋_GB2312" w:eastAsia="仿宋_GB2312"/>
          <w:b w:val="0"/>
          <w:sz w:val="32"/>
        </w:rPr>
        <w:t>其中：基本支出976.63万元，占70.51%；项目支出408.38万元，占29.49%；上缴上级支出0.00万元，占0.00%；经营支出0.00万元，占0.00%；对附属单位补助支出0.00万元，占0.00%。</w:t>
      </w:r>
    </w:p>
    <w:p w14:paraId="3B42F521">
      <w:pPr>
        <w:spacing w:line="640" w:lineRule="exact"/>
        <w:ind w:firstLine="640"/>
        <w:jc w:val="both"/>
        <w:outlineLvl w:val="2"/>
      </w:pPr>
      <w:r>
        <w:rPr>
          <w:rFonts w:ascii="黑体" w:hAnsi="黑体" w:eastAsia="黑体"/>
          <w:sz w:val="32"/>
        </w:rPr>
        <w:t>四、财政拨款收入支出决算总体情况说明</w:t>
      </w:r>
    </w:p>
    <w:p w14:paraId="1C1269E5">
      <w:pPr>
        <w:spacing w:line="580" w:lineRule="exact"/>
        <w:ind w:firstLine="640"/>
        <w:jc w:val="both"/>
      </w:pPr>
      <w:r>
        <w:rPr>
          <w:rFonts w:ascii="仿宋_GB2312" w:hAnsi="仿宋_GB2312" w:eastAsia="仿宋_GB2312"/>
          <w:b/>
          <w:sz w:val="32"/>
        </w:rPr>
        <w:t>2024年度财政拨款收入总计1,306.37万元，</w:t>
      </w:r>
      <w:r>
        <w:rPr>
          <w:rFonts w:ascii="仿宋_GB2312" w:hAnsi="仿宋_GB2312" w:eastAsia="仿宋_GB2312"/>
          <w:b w:val="0"/>
          <w:sz w:val="32"/>
        </w:rPr>
        <w:t>其中：年初财政拨款结转和结余0.00万元，本年财政拨款收入1,306.37万元。</w:t>
      </w:r>
      <w:r>
        <w:rPr>
          <w:rFonts w:ascii="仿宋_GB2312" w:hAnsi="仿宋_GB2312" w:eastAsia="仿宋_GB2312"/>
          <w:b/>
          <w:sz w:val="32"/>
        </w:rPr>
        <w:t>财政拨款支出总计1,306.37万元，</w:t>
      </w:r>
      <w:r>
        <w:rPr>
          <w:rFonts w:ascii="仿宋_GB2312" w:hAnsi="仿宋_GB2312" w:eastAsia="仿宋_GB2312"/>
          <w:b w:val="0"/>
          <w:sz w:val="32"/>
        </w:rPr>
        <w:t>其中：年末财政拨款结转和结余0.00万元，本年财政拨款支出1,306.37万元。</w:t>
      </w:r>
    </w:p>
    <w:p w14:paraId="496FE24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减少7,533.46万元，下降85.22%，主要原因是：机构改革，本年县委机关7个单位独立核算，在职人员减少，相关人员经费较上年减少</w:t>
      </w:r>
      <w:r>
        <w:rPr>
          <w:rFonts w:hint="eastAsia" w:ascii="仿宋_GB2312" w:hAnsi="仿宋_GB2312" w:eastAsia="仿宋_GB2312"/>
          <w:b w:val="0"/>
          <w:sz w:val="32"/>
          <w:lang w:eastAsia="zh-CN"/>
        </w:rPr>
        <w:t>。</w:t>
      </w:r>
      <w:r>
        <w:rPr>
          <w:rFonts w:ascii="仿宋_GB2312" w:hAnsi="仿宋_GB2312" w:eastAsia="仿宋_GB2312"/>
          <w:b w:val="0"/>
          <w:sz w:val="32"/>
        </w:rPr>
        <w:t>减少组织部党政专业技术人才培养培训交流项目</w:t>
      </w:r>
      <w:r>
        <w:rPr>
          <w:rFonts w:hint="eastAsia" w:ascii="仿宋_GB2312" w:hAnsi="仿宋_GB2312" w:eastAsia="仿宋_GB2312"/>
          <w:b w:val="0"/>
          <w:sz w:val="32"/>
          <w:lang w:eastAsia="zh-CN"/>
        </w:rPr>
        <w:t>、</w:t>
      </w:r>
      <w:r>
        <w:rPr>
          <w:rFonts w:ascii="仿宋_GB2312" w:hAnsi="仿宋_GB2312" w:eastAsia="仿宋_GB2312"/>
          <w:b w:val="0"/>
          <w:sz w:val="32"/>
        </w:rPr>
        <w:t>组织部中交集团捐赠贫困县市资金、宣传部电影发行放映补助资金项目、宣传部投影仪设备采购项目</w:t>
      </w:r>
      <w:r>
        <w:rPr>
          <w:rFonts w:hint="eastAsia" w:ascii="仿宋_GB2312" w:hAnsi="仿宋_GB2312" w:eastAsia="仿宋_GB2312"/>
          <w:b w:val="0"/>
          <w:sz w:val="32"/>
          <w:lang w:val="en-US" w:eastAsia="zh-CN"/>
        </w:rPr>
        <w:t>等资金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年初预算数1,639.63万元，决算数1,306.37万元，预决算差异率-20.33%，主要原因是：本年在职人员减少，年中调减人员经费，导致预决算差异。</w:t>
      </w:r>
    </w:p>
    <w:p w14:paraId="7C921A79">
      <w:pPr>
        <w:spacing w:line="640" w:lineRule="exact"/>
        <w:ind w:firstLine="640"/>
        <w:jc w:val="both"/>
        <w:outlineLvl w:val="2"/>
      </w:pPr>
      <w:r>
        <w:rPr>
          <w:rFonts w:ascii="黑体" w:hAnsi="黑体" w:eastAsia="黑体"/>
          <w:sz w:val="32"/>
        </w:rPr>
        <w:t>五、一般公共预算财政拨款支出决算情况说明</w:t>
      </w:r>
    </w:p>
    <w:p w14:paraId="50B36FCF">
      <w:pPr>
        <w:spacing w:line="640" w:lineRule="exact"/>
        <w:ind w:firstLine="640"/>
        <w:jc w:val="both"/>
        <w:outlineLvl w:val="3"/>
      </w:pPr>
      <w:r>
        <w:rPr>
          <w:rFonts w:ascii="楷体_GB2312" w:hAnsi="楷体_GB2312" w:eastAsia="楷体_GB2312"/>
          <w:b/>
          <w:sz w:val="32"/>
        </w:rPr>
        <w:t>（一）一般公共预算财政拨款支出决算总体情况</w:t>
      </w:r>
    </w:p>
    <w:p w14:paraId="1AAC3FE0">
      <w:pPr>
        <w:spacing w:line="580" w:lineRule="exact"/>
        <w:ind w:firstLine="640"/>
        <w:jc w:val="both"/>
      </w:pPr>
      <w:r>
        <w:rPr>
          <w:rFonts w:ascii="仿宋_GB2312" w:hAnsi="仿宋_GB2312" w:eastAsia="仿宋_GB2312"/>
          <w:b/>
          <w:sz w:val="32"/>
        </w:rPr>
        <w:t>2024年度一般公共预算财政拨款支出1,306.37万元，</w:t>
      </w:r>
      <w:r>
        <w:rPr>
          <w:rFonts w:ascii="仿宋_GB2312" w:hAnsi="仿宋_GB2312" w:eastAsia="仿宋_GB2312"/>
          <w:b w:val="0"/>
          <w:sz w:val="32"/>
        </w:rPr>
        <w:t>占本年支出合计的94.32%。</w:t>
      </w:r>
      <w:r>
        <w:rPr>
          <w:rFonts w:ascii="仿宋_GB2312" w:hAnsi="仿宋_GB2312" w:eastAsia="仿宋_GB2312"/>
          <w:b/>
          <w:sz w:val="32"/>
        </w:rPr>
        <w:t>与上年相比，</w:t>
      </w:r>
      <w:r>
        <w:rPr>
          <w:rFonts w:ascii="仿宋_GB2312" w:hAnsi="仿宋_GB2312" w:eastAsia="仿宋_GB2312"/>
          <w:b w:val="0"/>
          <w:sz w:val="32"/>
        </w:rPr>
        <w:t>减少7,533.46万元，下降85.22%，主要原因是：机构改革，本年县委机关7个单位独立核算，在职人员减少，相关人员经费较上年减少</w:t>
      </w:r>
      <w:r>
        <w:rPr>
          <w:rFonts w:hint="eastAsia" w:ascii="仿宋_GB2312" w:hAnsi="仿宋_GB2312" w:eastAsia="仿宋_GB2312"/>
          <w:b w:val="0"/>
          <w:sz w:val="32"/>
          <w:lang w:eastAsia="zh-CN"/>
        </w:rPr>
        <w:t>。</w:t>
      </w:r>
      <w:r>
        <w:rPr>
          <w:rFonts w:ascii="仿宋_GB2312" w:hAnsi="仿宋_GB2312" w:eastAsia="仿宋_GB2312"/>
          <w:b w:val="0"/>
          <w:sz w:val="32"/>
        </w:rPr>
        <w:t>减少组织部党政专业技术人才培养培训交流项目</w:t>
      </w:r>
      <w:r>
        <w:rPr>
          <w:rFonts w:hint="eastAsia" w:ascii="仿宋_GB2312" w:hAnsi="仿宋_GB2312" w:eastAsia="仿宋_GB2312"/>
          <w:b w:val="0"/>
          <w:sz w:val="32"/>
          <w:lang w:eastAsia="zh-CN"/>
        </w:rPr>
        <w:t>、</w:t>
      </w:r>
      <w:r>
        <w:rPr>
          <w:rFonts w:ascii="仿宋_GB2312" w:hAnsi="仿宋_GB2312" w:eastAsia="仿宋_GB2312"/>
          <w:b w:val="0"/>
          <w:sz w:val="32"/>
        </w:rPr>
        <w:t>组织部中交集团捐赠贫困县市资金、宣传部电影发行放映补助资金项目、宣传部投影仪设备采购项目</w:t>
      </w:r>
      <w:r>
        <w:rPr>
          <w:rFonts w:hint="eastAsia" w:ascii="仿宋_GB2312" w:hAnsi="仿宋_GB2312" w:eastAsia="仿宋_GB2312"/>
          <w:b w:val="0"/>
          <w:sz w:val="32"/>
          <w:lang w:val="en-US" w:eastAsia="zh-CN"/>
        </w:rPr>
        <w:t>等资金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年初预算数1,639.63万元，决算数1,306.37万元，预决算差异率-20.33%，主要原因是：本年在职人员减少，年中调减人员经费，导致预决算差异。</w:t>
      </w:r>
    </w:p>
    <w:p w14:paraId="257A9DB6">
      <w:pPr>
        <w:spacing w:line="640" w:lineRule="exact"/>
        <w:ind w:firstLine="640"/>
        <w:jc w:val="both"/>
        <w:outlineLvl w:val="3"/>
      </w:pPr>
      <w:r>
        <w:rPr>
          <w:rFonts w:ascii="楷体_GB2312" w:hAnsi="楷体_GB2312" w:eastAsia="楷体_GB2312"/>
          <w:b/>
          <w:sz w:val="32"/>
        </w:rPr>
        <w:t>（二）一般公共预算财政拨款支出决算结构情况</w:t>
      </w:r>
    </w:p>
    <w:p w14:paraId="0EBC311E">
      <w:pPr>
        <w:spacing w:line="580" w:lineRule="exact"/>
        <w:ind w:firstLine="640"/>
        <w:jc w:val="both"/>
      </w:pPr>
      <w:r>
        <w:rPr>
          <w:rFonts w:ascii="仿宋_GB2312" w:hAnsi="仿宋_GB2312" w:eastAsia="仿宋_GB2312"/>
          <w:b w:val="0"/>
          <w:sz w:val="32"/>
        </w:rPr>
        <w:t>1.一般公共服务支出(类)1,010.57万元,占77.36%。</w:t>
      </w:r>
    </w:p>
    <w:p w14:paraId="2C94909D">
      <w:pPr>
        <w:spacing w:line="580" w:lineRule="exact"/>
        <w:ind w:firstLine="640"/>
        <w:jc w:val="both"/>
      </w:pPr>
      <w:r>
        <w:rPr>
          <w:rFonts w:ascii="仿宋_GB2312" w:hAnsi="仿宋_GB2312" w:eastAsia="仿宋_GB2312"/>
          <w:b w:val="0"/>
          <w:sz w:val="32"/>
        </w:rPr>
        <w:t>2.社会保障和就业支出(类)181.16万元,占13.87%。</w:t>
      </w:r>
    </w:p>
    <w:p w14:paraId="2F8B0599">
      <w:pPr>
        <w:spacing w:line="580" w:lineRule="exact"/>
        <w:ind w:firstLine="640"/>
        <w:jc w:val="both"/>
      </w:pPr>
      <w:r>
        <w:rPr>
          <w:rFonts w:ascii="仿宋_GB2312" w:hAnsi="仿宋_GB2312" w:eastAsia="仿宋_GB2312"/>
          <w:b w:val="0"/>
          <w:sz w:val="32"/>
        </w:rPr>
        <w:t>3.卫生健康支出(类)36.21万元,占2.77%。</w:t>
      </w:r>
    </w:p>
    <w:p w14:paraId="222E7F9A">
      <w:pPr>
        <w:spacing w:line="580" w:lineRule="exact"/>
        <w:ind w:firstLine="640"/>
        <w:jc w:val="both"/>
      </w:pPr>
      <w:r>
        <w:rPr>
          <w:rFonts w:ascii="仿宋_GB2312" w:hAnsi="仿宋_GB2312" w:eastAsia="仿宋_GB2312"/>
          <w:b w:val="0"/>
          <w:sz w:val="32"/>
        </w:rPr>
        <w:t>4.商业服务业等支出(类)4.33万元,占0.33%。</w:t>
      </w:r>
    </w:p>
    <w:p w14:paraId="1AADC1BD">
      <w:pPr>
        <w:spacing w:line="580" w:lineRule="exact"/>
        <w:ind w:firstLine="640"/>
        <w:jc w:val="both"/>
      </w:pPr>
      <w:r>
        <w:rPr>
          <w:rFonts w:ascii="仿宋_GB2312" w:hAnsi="仿宋_GB2312" w:eastAsia="仿宋_GB2312"/>
          <w:b w:val="0"/>
          <w:sz w:val="32"/>
        </w:rPr>
        <w:t>5.住房保障支出(类)57.87万元,占4.43%。</w:t>
      </w:r>
    </w:p>
    <w:p w14:paraId="6C4068E7">
      <w:pPr>
        <w:spacing w:line="580" w:lineRule="exact"/>
        <w:ind w:firstLine="640"/>
        <w:jc w:val="both"/>
      </w:pPr>
      <w:r>
        <w:rPr>
          <w:rFonts w:ascii="仿宋_GB2312" w:hAnsi="仿宋_GB2312" w:eastAsia="仿宋_GB2312"/>
          <w:b w:val="0"/>
          <w:sz w:val="32"/>
        </w:rPr>
        <w:t>6.其他支出(类)16.24万元,占1.24%。</w:t>
      </w:r>
    </w:p>
    <w:p w14:paraId="10D4F69F">
      <w:pPr>
        <w:spacing w:line="640" w:lineRule="exact"/>
        <w:ind w:firstLine="640"/>
        <w:jc w:val="both"/>
        <w:outlineLvl w:val="3"/>
      </w:pPr>
      <w:r>
        <w:rPr>
          <w:rFonts w:ascii="楷体_GB2312" w:hAnsi="楷体_GB2312" w:eastAsia="楷体_GB2312"/>
          <w:b/>
          <w:sz w:val="32"/>
        </w:rPr>
        <w:t>（三）一般公共预算财政拨款支出决算具体情况</w:t>
      </w:r>
    </w:p>
    <w:p w14:paraId="2C55F481">
      <w:pPr>
        <w:spacing w:line="580" w:lineRule="exact"/>
        <w:ind w:firstLine="640"/>
        <w:jc w:val="both"/>
      </w:pPr>
      <w:r>
        <w:rPr>
          <w:rFonts w:ascii="仿宋_GB2312" w:hAnsi="仿宋_GB2312" w:eastAsia="仿宋_GB2312"/>
          <w:b w:val="0"/>
          <w:sz w:val="32"/>
        </w:rPr>
        <w:t>1.一般公共服务支出(类)档案事务(款)一般行政管理事务(项):支出决算数为0.00万元，比上年决算减少2.00万元，下降100.00%,主要原因是：本年减少档案史志馆综合楼防撞栏和防护栏安装项目。</w:t>
      </w:r>
    </w:p>
    <w:p w14:paraId="30D7A795">
      <w:pPr>
        <w:spacing w:line="580" w:lineRule="exact"/>
        <w:ind w:firstLine="640"/>
        <w:jc w:val="both"/>
      </w:pPr>
      <w:r>
        <w:rPr>
          <w:rFonts w:ascii="仿宋_GB2312" w:hAnsi="仿宋_GB2312" w:eastAsia="仿宋_GB2312"/>
          <w:b w:val="0"/>
          <w:sz w:val="32"/>
        </w:rPr>
        <w:t>2.一般公共服务支出(类)群众团体事务(款)一般行政管理事务(项):支出决算数为0.00万元，比上年决算减少253.55万元，下降100.00%,主要原因是：本年减少妇联2022年中交集团捐赠资金中交助梦妇女儿童关爱基金。</w:t>
      </w:r>
    </w:p>
    <w:p w14:paraId="1B5F0D87">
      <w:pPr>
        <w:spacing w:line="580" w:lineRule="exact"/>
        <w:ind w:firstLine="640"/>
        <w:jc w:val="both"/>
      </w:pPr>
      <w:r>
        <w:rPr>
          <w:rFonts w:ascii="仿宋_GB2312" w:hAnsi="仿宋_GB2312" w:eastAsia="仿宋_GB2312"/>
          <w:b w:val="0"/>
          <w:sz w:val="32"/>
        </w:rPr>
        <w:t>3.一般公共服务支出(类)群众团体事务(款)其他群众团体事务支出(项):支出决算数为0.00万元，比上年决算减少0.30万元，下降100.00%,主要原因是：本年减少妇联2023年妇女儿童工作项目。</w:t>
      </w:r>
    </w:p>
    <w:p w14:paraId="297B19E0">
      <w:pPr>
        <w:spacing w:line="580" w:lineRule="exact"/>
        <w:ind w:firstLine="640"/>
        <w:jc w:val="both"/>
      </w:pPr>
      <w:r>
        <w:rPr>
          <w:rFonts w:ascii="仿宋_GB2312" w:hAnsi="仿宋_GB2312" w:eastAsia="仿宋_GB2312"/>
          <w:b w:val="0"/>
          <w:sz w:val="32"/>
        </w:rPr>
        <w:t>4.一般公共服务支出(类)党委办公厅（室）及相关机构事务(款)行政运行(项):支出决算数为603.91万元，比上年决算减少1,039.28万元，下降63.25%,主要原因是：本年减少县委办政令传输线路租赁项目、县委办单位测评、监测部署项目、县委办</w:t>
      </w:r>
      <w:r>
        <w:rPr>
          <w:rFonts w:hint="eastAsia" w:ascii="仿宋_GB2312" w:hAnsi="仿宋_GB2312" w:eastAsia="仿宋_GB2312"/>
          <w:b w:val="0"/>
          <w:sz w:val="32"/>
          <w:lang w:val="en-US" w:eastAsia="zh-CN"/>
        </w:rPr>
        <w:t>对</w:t>
      </w:r>
      <w:r>
        <w:rPr>
          <w:rFonts w:ascii="仿宋_GB2312" w:hAnsi="仿宋_GB2312" w:eastAsia="仿宋_GB2312"/>
          <w:b w:val="0"/>
          <w:sz w:val="32"/>
        </w:rPr>
        <w:t>外贸易中心办事处会议保障项目。</w:t>
      </w:r>
    </w:p>
    <w:p w14:paraId="7B7B2DA7">
      <w:pPr>
        <w:spacing w:line="580" w:lineRule="exact"/>
        <w:ind w:firstLine="640"/>
        <w:jc w:val="both"/>
      </w:pPr>
      <w:r>
        <w:rPr>
          <w:rFonts w:ascii="仿宋_GB2312" w:hAnsi="仿宋_GB2312" w:eastAsia="仿宋_GB2312"/>
          <w:b w:val="0"/>
          <w:sz w:val="32"/>
        </w:rPr>
        <w:t>5.一般公共服务支出(类)党委办公厅（室）及相关机构事务(款)一般行政管理事务(项):支出决算数为309.18万元，比上年决算增加271.45万元，增长719.45%,主要原因是：本年增加英吉沙县优化营商环境提升项目、英吉沙县机要保密局AK项目。</w:t>
      </w:r>
    </w:p>
    <w:p w14:paraId="64400532">
      <w:pPr>
        <w:spacing w:line="580" w:lineRule="exact"/>
        <w:ind w:firstLine="640"/>
        <w:jc w:val="both"/>
      </w:pPr>
      <w:r>
        <w:rPr>
          <w:rFonts w:ascii="仿宋_GB2312" w:hAnsi="仿宋_GB2312" w:eastAsia="仿宋_GB2312"/>
          <w:b w:val="0"/>
          <w:sz w:val="32"/>
        </w:rPr>
        <w:t>6.一般公共服务支出(类)党委办公厅（室）及相关机构事务(款)事业运行(项):支出决算数为97.49万元，比上年决算增加97.49万元，增长100.00%,主要原因是：本年功能科目调整，事业编干部公用经费及人员经费上年度在主科目列支，本年调整至事业运行科目列支，导致经费较上年增加。</w:t>
      </w:r>
    </w:p>
    <w:p w14:paraId="74D874BD">
      <w:pPr>
        <w:spacing w:line="580" w:lineRule="exact"/>
        <w:ind w:firstLine="640"/>
        <w:jc w:val="both"/>
      </w:pPr>
      <w:r>
        <w:rPr>
          <w:rFonts w:ascii="仿宋_GB2312" w:hAnsi="仿宋_GB2312" w:eastAsia="仿宋_GB2312"/>
          <w:b w:val="0"/>
          <w:sz w:val="32"/>
        </w:rPr>
        <w:t>7.一般公共服务支出(类)组织事务(款)行政运行(项):支出决算数为0.00万元，比上年决算减少733.42万元，下降100.00%,主要原因是：机构改革，本年组织部独立核算，导致相关经费减少。</w:t>
      </w:r>
    </w:p>
    <w:p w14:paraId="3C17F320">
      <w:pPr>
        <w:spacing w:line="580" w:lineRule="exact"/>
        <w:ind w:firstLine="640"/>
        <w:jc w:val="both"/>
      </w:pPr>
      <w:r>
        <w:rPr>
          <w:rFonts w:ascii="仿宋_GB2312" w:hAnsi="仿宋_GB2312" w:eastAsia="仿宋_GB2312"/>
          <w:b w:val="0"/>
          <w:sz w:val="32"/>
        </w:rPr>
        <w:t>8.一般公共服务支出(类)组织事务(款)一般行政管理事务(项):支出决算数为0.00万元，比上年决算减少1,023.81万元，下降100.00%,主要原因是：机构改革，本年组织部独立核算，导致相关经费减少。</w:t>
      </w:r>
    </w:p>
    <w:p w14:paraId="114C7708">
      <w:pPr>
        <w:spacing w:line="580" w:lineRule="exact"/>
        <w:ind w:firstLine="640"/>
        <w:jc w:val="both"/>
      </w:pPr>
      <w:r>
        <w:rPr>
          <w:rFonts w:ascii="仿宋_GB2312" w:hAnsi="仿宋_GB2312" w:eastAsia="仿宋_GB2312"/>
          <w:b w:val="0"/>
          <w:sz w:val="32"/>
        </w:rPr>
        <w:t>9.一般公共服务支出(类)组织事务(款)其他组织事务支出(项):支出决算数为0.00万元，比上年决算减少3,455.19万元，下降100.00%,主要原因是：机构改革，本年组织部独立核算，导致相关经费减少。</w:t>
      </w:r>
    </w:p>
    <w:p w14:paraId="63FB4CA0">
      <w:pPr>
        <w:spacing w:line="580" w:lineRule="exact"/>
        <w:ind w:firstLine="640"/>
        <w:jc w:val="both"/>
      </w:pPr>
      <w:r>
        <w:rPr>
          <w:rFonts w:ascii="仿宋_GB2312" w:hAnsi="仿宋_GB2312" w:eastAsia="仿宋_GB2312"/>
          <w:b w:val="0"/>
          <w:sz w:val="32"/>
        </w:rPr>
        <w:t>10.一般公共服务支出(类)宣传事务(款)一般行政管理事务(项):支出决算数为0.00万元，比上年决算减少2.32万元，下降100.00%,主要原因是：机构改革，本年县委宣传部独立核算，导致相关经费减少。</w:t>
      </w:r>
    </w:p>
    <w:p w14:paraId="675363ED">
      <w:pPr>
        <w:spacing w:line="580" w:lineRule="exact"/>
        <w:ind w:firstLine="640"/>
        <w:jc w:val="both"/>
      </w:pPr>
      <w:r>
        <w:rPr>
          <w:rFonts w:ascii="仿宋_GB2312" w:hAnsi="仿宋_GB2312" w:eastAsia="仿宋_GB2312"/>
          <w:b w:val="0"/>
          <w:sz w:val="32"/>
        </w:rPr>
        <w:t>11.一般公共服务支出(类)统战事务(款)一般行政管理事务(项):支出决算数为0.00万元，比上年决算减少0.50万元，下降100.00%,主要原因是：机构改革，本年县委统战部独立核算，导致相关经费减少。</w:t>
      </w:r>
    </w:p>
    <w:p w14:paraId="34ED04BC">
      <w:pPr>
        <w:spacing w:line="580" w:lineRule="exact"/>
        <w:ind w:firstLine="640"/>
        <w:jc w:val="both"/>
      </w:pPr>
      <w:r>
        <w:rPr>
          <w:rFonts w:ascii="仿宋_GB2312" w:hAnsi="仿宋_GB2312" w:eastAsia="仿宋_GB2312"/>
          <w:b w:val="0"/>
          <w:sz w:val="32"/>
        </w:rPr>
        <w:t>12.一般公共服务支出(类)统战事务(款)宗教事务(项):支出决算数为0.00万元，比上年决算减少221.47万元，下降100.00%,主要原因是：机构改革，本年县委统战部独立核算，导致相关经费减少。</w:t>
      </w:r>
    </w:p>
    <w:p w14:paraId="7D4DA3F1">
      <w:pPr>
        <w:spacing w:line="580" w:lineRule="exact"/>
        <w:ind w:firstLine="640"/>
        <w:jc w:val="both"/>
      </w:pPr>
      <w:r>
        <w:rPr>
          <w:rFonts w:ascii="仿宋_GB2312" w:hAnsi="仿宋_GB2312" w:eastAsia="仿宋_GB2312"/>
          <w:b w:val="0"/>
          <w:sz w:val="32"/>
        </w:rPr>
        <w:t>13.一般公共服务支出(类)其他共产党事务支出(款)一般行政管理事务(项):支出决算数为0.00万元，比上年决算减少100.44万元，下降100.00%,主要原因是：机构改革，本年县委政法委独立核算，导致相关经费减少。</w:t>
      </w:r>
    </w:p>
    <w:p w14:paraId="5DEE949A">
      <w:pPr>
        <w:spacing w:line="580" w:lineRule="exact"/>
        <w:ind w:firstLine="640"/>
        <w:jc w:val="both"/>
      </w:pPr>
      <w:r>
        <w:rPr>
          <w:rFonts w:ascii="仿宋_GB2312" w:hAnsi="仿宋_GB2312" w:eastAsia="仿宋_GB2312"/>
          <w:b w:val="0"/>
          <w:sz w:val="32"/>
        </w:rPr>
        <w:t>14.一般公共服务支出(类)其他一般公共服务支出(款)其他一般公共服务支出(项):支出决算数为0.00万元，比上年决算减少239.80万元，下降100.00%,主要原因是：机构改革，本年县委组织部、县委宣传部独立核算，减少宣传部投影仪设备采购项目、组织部党校建设款。</w:t>
      </w:r>
    </w:p>
    <w:p w14:paraId="66B3A4A1">
      <w:pPr>
        <w:spacing w:line="580" w:lineRule="exact"/>
        <w:ind w:firstLine="640"/>
        <w:jc w:val="both"/>
      </w:pPr>
      <w:r>
        <w:rPr>
          <w:rFonts w:ascii="仿宋_GB2312" w:hAnsi="仿宋_GB2312" w:eastAsia="仿宋_GB2312"/>
          <w:b w:val="0"/>
          <w:sz w:val="32"/>
        </w:rPr>
        <w:t>15.文化旅游体育与传媒支出(类)其他文化旅游体育与传媒支出(款)其他文化旅游体育与传媒支出(项):支出决算数为0.00万元，比上年决算减少49.72万元，下降100.00%,主要原因是：机构改革，本年县委宣传部独立核算，减少中央支持地方公共文化服务体系建设补助资金电影院补助项目、宣传部少数民族地区和边疆地区文化安全补助资金项目。</w:t>
      </w:r>
    </w:p>
    <w:p w14:paraId="01AB43EC">
      <w:pPr>
        <w:spacing w:line="580" w:lineRule="exact"/>
        <w:ind w:firstLine="640"/>
        <w:jc w:val="both"/>
      </w:pPr>
      <w:r>
        <w:rPr>
          <w:rFonts w:ascii="仿宋_GB2312" w:hAnsi="仿宋_GB2312" w:eastAsia="仿宋_GB2312"/>
          <w:b w:val="0"/>
          <w:sz w:val="32"/>
        </w:rPr>
        <w:t>16.社会保障和就业支出(类)行政事业单位养老支出(款)行政单位离退休(项):支出决算数为32.78万元，比上年决算减少82.38万元，下降71.54%,主要原因是：机构改革，本年县委机关7个单位独立核算，退休人员自然减员，行政单位离退休较上年减少。</w:t>
      </w:r>
    </w:p>
    <w:p w14:paraId="2E0DEB2D">
      <w:pPr>
        <w:spacing w:line="580" w:lineRule="exact"/>
        <w:ind w:firstLine="640"/>
        <w:jc w:val="both"/>
      </w:pPr>
      <w:r>
        <w:rPr>
          <w:rFonts w:ascii="仿宋_GB2312" w:hAnsi="仿宋_GB2312" w:eastAsia="仿宋_GB2312"/>
          <w:b w:val="0"/>
          <w:sz w:val="32"/>
        </w:rPr>
        <w:t>17.社会保障和就业支出(类)行政事业单位养老支出(款)机关事业单位基本养老保险缴费支出(项):支出决算数为69.01万元，比上年决算减少220.36万元，下降76.15%,主要原因是：机构改革，本年县委机关7个单位独立核算，在职人员减少，单位基本养老保险缴费较上年减少。</w:t>
      </w:r>
    </w:p>
    <w:p w14:paraId="45DD22E2">
      <w:pPr>
        <w:spacing w:line="580" w:lineRule="exact"/>
        <w:ind w:firstLine="640"/>
        <w:jc w:val="both"/>
      </w:pPr>
      <w:r>
        <w:rPr>
          <w:rFonts w:ascii="仿宋_GB2312" w:hAnsi="仿宋_GB2312" w:eastAsia="仿宋_GB2312"/>
          <w:b w:val="0"/>
          <w:sz w:val="32"/>
        </w:rPr>
        <w:t>18.社会保障和就业支出(类)行政事业单位养老支出(款)机关事业单位职业年金缴费支出(项):支出决算数为56.57万元，比上年决算增加14.40万元，增长34.15%,主要原因是：本年为本单位10名调出外县人员申拨职业年金，职业年金缴费支出增加。</w:t>
      </w:r>
    </w:p>
    <w:p w14:paraId="0BFE8FB4">
      <w:pPr>
        <w:spacing w:line="580" w:lineRule="exact"/>
        <w:ind w:firstLine="640"/>
        <w:jc w:val="both"/>
      </w:pPr>
      <w:r>
        <w:rPr>
          <w:rFonts w:ascii="仿宋_GB2312" w:hAnsi="仿宋_GB2312" w:eastAsia="仿宋_GB2312"/>
          <w:b w:val="0"/>
          <w:sz w:val="32"/>
        </w:rPr>
        <w:t>19.社会保障和就业支出(类)抚恤(款)死亡抚恤(项):支出决算数为22.80万元，比上年决算增加8.15万元，增长55.63%,主要原因是：本年新增1名死亡人员较上年增加，死亡抚恤支出增加。</w:t>
      </w:r>
    </w:p>
    <w:p w14:paraId="6F11BFDC">
      <w:pPr>
        <w:spacing w:line="580" w:lineRule="exact"/>
        <w:ind w:firstLine="640"/>
        <w:jc w:val="both"/>
      </w:pPr>
      <w:r>
        <w:rPr>
          <w:rFonts w:ascii="仿宋_GB2312" w:hAnsi="仿宋_GB2312" w:eastAsia="仿宋_GB2312"/>
          <w:b w:val="0"/>
          <w:sz w:val="32"/>
        </w:rPr>
        <w:t>20.卫生健康支出(类)行政事业单位医疗(款)行政单位医疗(项):支出决算数为29.81万元，比上年决算减少107.17万元，下降78.24%,主要原因是：机构改革，本年县委机关7个单位独立核算，在职人员减少，行政单位医疗支出较上年减少。</w:t>
      </w:r>
    </w:p>
    <w:p w14:paraId="02EE5DC7">
      <w:pPr>
        <w:spacing w:line="580" w:lineRule="exact"/>
        <w:ind w:firstLine="640"/>
        <w:jc w:val="both"/>
      </w:pPr>
      <w:r>
        <w:rPr>
          <w:rFonts w:ascii="仿宋_GB2312" w:hAnsi="仿宋_GB2312" w:eastAsia="仿宋_GB2312"/>
          <w:b w:val="0"/>
          <w:sz w:val="32"/>
        </w:rPr>
        <w:t>21.卫生健康支出(类)行政事业单位医疗(款)公务员医疗补助(项):支出决算数为6.39万元，比上年决算减少33.57万元，下降84.01%,主要原因是：机构改革，本年县委机关7个单位独立核算，在职人员减少，本年在职人员减少，公务员医疗补助较上年减少。</w:t>
      </w:r>
    </w:p>
    <w:p w14:paraId="343269AA">
      <w:pPr>
        <w:spacing w:line="580" w:lineRule="exact"/>
        <w:ind w:firstLine="640"/>
        <w:jc w:val="both"/>
      </w:pPr>
      <w:r>
        <w:rPr>
          <w:rFonts w:ascii="仿宋_GB2312" w:hAnsi="仿宋_GB2312" w:eastAsia="仿宋_GB2312"/>
          <w:b w:val="0"/>
          <w:sz w:val="32"/>
        </w:rPr>
        <w:t>22.农林水支出(类)</w:t>
      </w:r>
      <w:r>
        <w:rPr>
          <w:rFonts w:hint="eastAsia" w:ascii="仿宋_GB2312" w:hAnsi="仿宋_GB2312" w:eastAsia="仿宋_GB2312"/>
          <w:b w:val="0"/>
          <w:sz w:val="32"/>
          <w:lang w:eastAsia="zh-CN"/>
        </w:rPr>
        <w:t>巩固拓展脱贫攻坚成果</w:t>
      </w:r>
      <w:r>
        <w:rPr>
          <w:rFonts w:ascii="仿宋_GB2312" w:hAnsi="仿宋_GB2312" w:eastAsia="仿宋_GB2312"/>
          <w:b w:val="0"/>
          <w:sz w:val="32"/>
        </w:rPr>
        <w:t>衔接乡村振兴(款)生产发展(项):支出决算数为0.00万元，比上年决算减少35.97万元，下降100.00%,主要原因是：本年减少英吉沙县饮茶</w:t>
      </w:r>
      <w:r>
        <w:rPr>
          <w:rFonts w:hint="eastAsia" w:ascii="仿宋_GB2312" w:hAnsi="仿宋_GB2312" w:eastAsia="仿宋_GB2312"/>
          <w:b w:val="0"/>
          <w:sz w:val="32"/>
          <w:lang w:eastAsia="zh-CN"/>
        </w:rPr>
        <w:t>、</w:t>
      </w:r>
      <w:r>
        <w:rPr>
          <w:rFonts w:ascii="仿宋_GB2312" w:hAnsi="仿宋_GB2312" w:eastAsia="仿宋_GB2312"/>
          <w:b w:val="0"/>
          <w:sz w:val="32"/>
        </w:rPr>
        <w:t>送茶项目。</w:t>
      </w:r>
    </w:p>
    <w:p w14:paraId="3D138A44">
      <w:pPr>
        <w:spacing w:line="580" w:lineRule="exact"/>
        <w:ind w:firstLine="640"/>
        <w:jc w:val="both"/>
      </w:pPr>
      <w:r>
        <w:rPr>
          <w:rFonts w:ascii="仿宋_GB2312" w:hAnsi="仿宋_GB2312" w:eastAsia="仿宋_GB2312"/>
          <w:b w:val="0"/>
          <w:sz w:val="32"/>
        </w:rPr>
        <w:t>23.商业服务业等支出(类)商业流通事务(款)民贸民品贷款贴息(项):支出决算数为4.33万元，比上年决算增加4.33万元，增长100.00%,主要原因是：本年增加统战部民贸民企贴息项目、民贸民品贷款贴息。</w:t>
      </w:r>
    </w:p>
    <w:p w14:paraId="06C6F7BC">
      <w:pPr>
        <w:spacing w:line="580" w:lineRule="exact"/>
        <w:ind w:firstLine="640"/>
        <w:jc w:val="both"/>
      </w:pPr>
      <w:r>
        <w:rPr>
          <w:rFonts w:ascii="仿宋_GB2312" w:hAnsi="仿宋_GB2312" w:eastAsia="仿宋_GB2312"/>
          <w:b w:val="0"/>
          <w:sz w:val="32"/>
        </w:rPr>
        <w:t>24.住房保障支出(类)住房改革支出(款)住房公积金(项):支出决算数为57.87万元，比上年决算减少196.64万元，下降77.26%,主要原因是：本年县委机关7个单位财务分账，实行单独核算，在职人员减少，住房公积金缴费较上年减少。</w:t>
      </w:r>
    </w:p>
    <w:p w14:paraId="64E6B69D">
      <w:pPr>
        <w:spacing w:line="580" w:lineRule="exact"/>
        <w:ind w:firstLine="640"/>
        <w:jc w:val="both"/>
      </w:pPr>
      <w:r>
        <w:rPr>
          <w:rFonts w:ascii="仿宋_GB2312" w:hAnsi="仿宋_GB2312" w:eastAsia="仿宋_GB2312"/>
          <w:b w:val="0"/>
          <w:sz w:val="32"/>
        </w:rPr>
        <w:t>25.其他支出(类)其他支出(款)其他支出(项):支出决算数为16.24万元，比上年决算减少131.36万元，下降89.00%,主要原因是：本年减少组织部党校建设项目。</w:t>
      </w:r>
    </w:p>
    <w:p w14:paraId="0EF39B3F">
      <w:pPr>
        <w:spacing w:line="640" w:lineRule="exact"/>
        <w:ind w:firstLine="640"/>
        <w:jc w:val="both"/>
        <w:outlineLvl w:val="2"/>
      </w:pPr>
      <w:r>
        <w:rPr>
          <w:rFonts w:ascii="黑体" w:hAnsi="黑体" w:eastAsia="黑体"/>
          <w:sz w:val="32"/>
        </w:rPr>
        <w:t>六、一般公共预算财政拨款基本支出决算情况说明</w:t>
      </w:r>
    </w:p>
    <w:p w14:paraId="4E7E744A">
      <w:pPr>
        <w:spacing w:line="580" w:lineRule="exact"/>
        <w:ind w:firstLine="640"/>
        <w:jc w:val="both"/>
      </w:pPr>
      <w:r>
        <w:rPr>
          <w:rFonts w:ascii="仿宋_GB2312" w:hAnsi="仿宋_GB2312" w:eastAsia="仿宋_GB2312"/>
          <w:b w:val="0"/>
          <w:sz w:val="32"/>
        </w:rPr>
        <w:t>2024年度一般公共预算财政拨款基本支出976.63万元，其中：</w:t>
      </w:r>
      <w:r>
        <w:rPr>
          <w:rFonts w:ascii="仿宋_GB2312" w:hAnsi="仿宋_GB2312" w:eastAsia="仿宋_GB2312"/>
          <w:b/>
          <w:sz w:val="32"/>
        </w:rPr>
        <w:t>人员经费860.98万元，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14:paraId="3A782BC2">
      <w:pPr>
        <w:spacing w:line="580" w:lineRule="exact"/>
        <w:ind w:firstLine="640"/>
        <w:jc w:val="both"/>
      </w:pPr>
      <w:r>
        <w:rPr>
          <w:rFonts w:ascii="仿宋_GB2312" w:hAnsi="仿宋_GB2312" w:eastAsia="仿宋_GB2312"/>
          <w:b/>
          <w:sz w:val="32"/>
        </w:rPr>
        <w:t>公用经费115.65万元，</w:t>
      </w:r>
      <w:r>
        <w:rPr>
          <w:rFonts w:ascii="仿宋_GB2312" w:hAnsi="仿宋_GB2312" w:eastAsia="仿宋_GB2312"/>
          <w:b w:val="0"/>
          <w:sz w:val="32"/>
        </w:rPr>
        <w:t>包括：办公费、印刷费、水费、电费、邮电费、取暖费、差旅费、维修（护）费、公务接待费、公务用车运行维护费。</w:t>
      </w:r>
    </w:p>
    <w:p w14:paraId="0CC1AF72">
      <w:pPr>
        <w:spacing w:line="640" w:lineRule="exact"/>
        <w:ind w:firstLine="640"/>
        <w:jc w:val="both"/>
        <w:outlineLvl w:val="2"/>
      </w:pPr>
      <w:r>
        <w:rPr>
          <w:rFonts w:ascii="黑体" w:hAnsi="黑体" w:eastAsia="黑体"/>
          <w:sz w:val="32"/>
        </w:rPr>
        <w:t>七、政府性基金预算财政拨款收入支出决算情况说明</w:t>
      </w:r>
    </w:p>
    <w:p w14:paraId="2E32922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57DE251">
      <w:pPr>
        <w:spacing w:line="640" w:lineRule="exact"/>
        <w:ind w:firstLine="640"/>
        <w:jc w:val="both"/>
        <w:outlineLvl w:val="2"/>
      </w:pPr>
      <w:r>
        <w:rPr>
          <w:rFonts w:ascii="黑体" w:hAnsi="黑体" w:eastAsia="黑体"/>
          <w:sz w:val="32"/>
        </w:rPr>
        <w:t>八、国有资本经营预算财政拨款收入支出决算情况说明</w:t>
      </w:r>
    </w:p>
    <w:p w14:paraId="3D5ECBF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AC50C52">
      <w:pPr>
        <w:spacing w:line="640" w:lineRule="exact"/>
        <w:ind w:firstLine="640"/>
        <w:jc w:val="both"/>
        <w:outlineLvl w:val="2"/>
      </w:pPr>
      <w:r>
        <w:rPr>
          <w:rFonts w:ascii="黑体" w:hAnsi="黑体" w:eastAsia="黑体"/>
          <w:sz w:val="32"/>
        </w:rPr>
        <w:t>九、财政拨款“三公”经费支出决算情况说明</w:t>
      </w:r>
    </w:p>
    <w:p w14:paraId="0AB140E6">
      <w:pPr>
        <w:spacing w:line="580" w:lineRule="exact"/>
        <w:ind w:firstLine="640"/>
        <w:jc w:val="both"/>
      </w:pPr>
      <w:r>
        <w:rPr>
          <w:rFonts w:ascii="仿宋_GB2312" w:hAnsi="仿宋_GB2312" w:eastAsia="仿宋_GB2312"/>
          <w:b/>
          <w:sz w:val="32"/>
        </w:rPr>
        <w:t>2024年度财政拨款“三公”经费支出28.71万元，</w:t>
      </w:r>
      <w:r>
        <w:rPr>
          <w:rFonts w:ascii="仿宋_GB2312" w:hAnsi="仿宋_GB2312" w:eastAsia="仿宋_GB2312"/>
          <w:b w:val="0"/>
          <w:sz w:val="32"/>
        </w:rPr>
        <w:t>比上年减少7.39万元，下降20.48%，主要原因是：严格执行</w:t>
      </w:r>
      <w:r>
        <w:rPr>
          <w:rFonts w:hint="eastAsia" w:ascii="仿宋_GB2312" w:hAnsi="仿宋_GB2312" w:eastAsia="仿宋_GB2312"/>
          <w:b w:val="0"/>
          <w:sz w:val="32"/>
        </w:rPr>
        <w:t>中央八项规定</w:t>
      </w:r>
      <w:r>
        <w:rPr>
          <w:rFonts w:ascii="仿宋_GB2312" w:hAnsi="仿宋_GB2312" w:eastAsia="仿宋_GB2312"/>
          <w:b w:val="0"/>
          <w:sz w:val="32"/>
        </w:rPr>
        <w:t>，厉行节约，减少公务接待费、公务用车运行维护费。其中：因公出国（境）费支出0.00万元，占0.00%，比上年增加0.00万元，增长0.00%，主要原因是：2023年与2024年均未安排因公出国（境）费支出。公务用车购置及运行维护费支出14.70万元，占51.20%，比上年减少2.00万元，下降11.98%，主要原因是：严格执行</w:t>
      </w:r>
      <w:r>
        <w:rPr>
          <w:rFonts w:hint="eastAsia" w:ascii="仿宋_GB2312" w:hAnsi="仿宋_GB2312" w:eastAsia="仿宋_GB2312"/>
          <w:b w:val="0"/>
          <w:sz w:val="32"/>
        </w:rPr>
        <w:t>中央八项规定</w:t>
      </w:r>
      <w:r>
        <w:rPr>
          <w:rFonts w:ascii="仿宋_GB2312" w:hAnsi="仿宋_GB2312" w:eastAsia="仿宋_GB2312"/>
          <w:b w:val="0"/>
          <w:sz w:val="32"/>
        </w:rPr>
        <w:t>，厉行节约，减少公务用车运行维护费。公务接待费支出14.01万元，占48.80%，比上年减少5.39万元，下降27.78%，主要原因是：采取有效措施加强公务接待管理，严格控制公务接待活动，减少公务接待费支出。</w:t>
      </w:r>
    </w:p>
    <w:p w14:paraId="670F8904">
      <w:pPr>
        <w:spacing w:line="580" w:lineRule="exact"/>
        <w:ind w:firstLine="640"/>
        <w:jc w:val="both"/>
      </w:pPr>
      <w:r>
        <w:rPr>
          <w:rFonts w:ascii="仿宋_GB2312" w:hAnsi="仿宋_GB2312" w:eastAsia="仿宋_GB2312"/>
          <w:b/>
          <w:sz w:val="32"/>
        </w:rPr>
        <w:t>具体情况如下：</w:t>
      </w:r>
    </w:p>
    <w:p w14:paraId="7BDDEE8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DD5291F">
      <w:pPr>
        <w:spacing w:line="580" w:lineRule="exact"/>
        <w:ind w:firstLine="640"/>
        <w:jc w:val="both"/>
      </w:pPr>
      <w:r>
        <w:rPr>
          <w:rFonts w:ascii="仿宋_GB2312" w:hAnsi="仿宋_GB2312" w:eastAsia="仿宋_GB2312"/>
          <w:b w:val="0"/>
          <w:sz w:val="32"/>
        </w:rPr>
        <w:t>公务用车购置及运行维护费14.70万元，其中：公务用车购置费0.00万元，公务用车运行维护费14.70万元。公务用车运行维护费开支内容包括车辆加油费、维修费、保险费、审车费、过路费等。公务用车购置数0辆，公务用车保有量25辆。国有资产占用情况中固定资产车辆25辆，与公务用车保有量差异原因是：本单位固定资产车辆与公务用车保有量一致无差异。</w:t>
      </w:r>
    </w:p>
    <w:p w14:paraId="5F16AB50">
      <w:pPr>
        <w:spacing w:line="580" w:lineRule="exact"/>
        <w:ind w:firstLine="640"/>
        <w:jc w:val="both"/>
      </w:pPr>
      <w:r>
        <w:rPr>
          <w:rFonts w:ascii="仿宋_GB2312" w:hAnsi="仿宋_GB2312" w:eastAsia="仿宋_GB2312"/>
          <w:b w:val="0"/>
          <w:sz w:val="32"/>
        </w:rPr>
        <w:t>公务接待费14.01万元，开支内容包括因上级领导调研需要，接待上级领导检查产生的就餐费。单位全年安排的国内公务接待20批次，779人次。</w:t>
      </w:r>
    </w:p>
    <w:p w14:paraId="06F469F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42.65万元，决算数28.71万元，预决算差异率-32.68%，主要原因是：严格控制公务接待活动，认真执行经费开支标准，减少公务接待运行成本费用。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14.70万元，决算数14.70万元，预决算差异率0.00%，主要原因是：严格按照预算执行，预决算无差异。公务接待费全年预算数27.95万元，决算数14.01万元，预决算差异率-49.87%，主要原因是：严格控制公务接待活动，认真执行经费开支标准，减少公务接待运行成本费用。</w:t>
      </w:r>
    </w:p>
    <w:p w14:paraId="04475A95">
      <w:pPr>
        <w:spacing w:line="640" w:lineRule="exact"/>
        <w:ind w:firstLine="640"/>
        <w:jc w:val="both"/>
        <w:outlineLvl w:val="2"/>
      </w:pPr>
      <w:r>
        <w:rPr>
          <w:rFonts w:ascii="黑体" w:hAnsi="黑体" w:eastAsia="黑体"/>
          <w:sz w:val="32"/>
        </w:rPr>
        <w:t>十、其他重要事项的情况说明</w:t>
      </w:r>
    </w:p>
    <w:p w14:paraId="2899FC61">
      <w:pPr>
        <w:spacing w:line="640" w:lineRule="exact"/>
        <w:ind w:firstLine="640"/>
        <w:jc w:val="both"/>
        <w:outlineLvl w:val="3"/>
      </w:pPr>
      <w:r>
        <w:rPr>
          <w:rFonts w:ascii="楷体_GB2312" w:hAnsi="楷体_GB2312" w:eastAsia="楷体_GB2312"/>
          <w:b/>
          <w:sz w:val="32"/>
        </w:rPr>
        <w:t>（一）机关运行经费及公用经费支出情况</w:t>
      </w:r>
    </w:p>
    <w:p w14:paraId="09340272">
      <w:pPr>
        <w:spacing w:line="580" w:lineRule="exact"/>
        <w:ind w:firstLine="640"/>
        <w:jc w:val="both"/>
      </w:pPr>
      <w:r>
        <w:rPr>
          <w:rFonts w:ascii="仿宋_GB2312" w:hAnsi="仿宋_GB2312" w:eastAsia="仿宋_GB2312"/>
          <w:b w:val="0"/>
          <w:sz w:val="32"/>
        </w:rPr>
        <w:t>2024年度中共英吉沙县委办公室（行政单位和参照公务员法管理事业单位）机关运行经费支出115.65万元，比上年增加24.23万元，增长26.50%，主要原因是：本年增加办公费、差旅费经费，导致机关运行经费增加。</w:t>
      </w:r>
    </w:p>
    <w:p w14:paraId="4A5B6FCB">
      <w:pPr>
        <w:spacing w:line="640" w:lineRule="exact"/>
        <w:ind w:firstLine="640"/>
        <w:jc w:val="both"/>
        <w:outlineLvl w:val="3"/>
      </w:pPr>
      <w:r>
        <w:rPr>
          <w:rFonts w:ascii="楷体_GB2312" w:hAnsi="楷体_GB2312" w:eastAsia="楷体_GB2312"/>
          <w:b/>
          <w:sz w:val="32"/>
        </w:rPr>
        <w:t>（二）政府采购情况</w:t>
      </w:r>
    </w:p>
    <w:p w14:paraId="1F398ED4">
      <w:pPr>
        <w:spacing w:line="580" w:lineRule="exact"/>
        <w:ind w:firstLine="640"/>
        <w:jc w:val="both"/>
      </w:pPr>
      <w:r>
        <w:rPr>
          <w:rFonts w:ascii="仿宋_GB2312" w:hAnsi="仿宋_GB2312" w:eastAsia="仿宋_GB2312"/>
          <w:b w:val="0"/>
          <w:sz w:val="32"/>
        </w:rPr>
        <w:t>2024年度政府采购支出总额45.85万元，其中：政府采购货物支出40.29万元、政府采购工程支出0.00万元、政府采购服务支出5.56万元。</w:t>
      </w:r>
    </w:p>
    <w:p w14:paraId="64D8B648">
      <w:pPr>
        <w:spacing w:line="580" w:lineRule="exact"/>
        <w:ind w:firstLine="640"/>
        <w:jc w:val="both"/>
      </w:pPr>
      <w:r>
        <w:rPr>
          <w:rFonts w:ascii="仿宋_GB2312" w:hAnsi="仿宋_GB2312" w:eastAsia="仿宋_GB2312"/>
          <w:b w:val="0"/>
          <w:sz w:val="32"/>
        </w:rPr>
        <w:t>授予中小企业合同金额43.63万元，占政府采购支出总额的95.16%，其中：授予小微企业合同金额42.19万元，占政府采购支出总额的92.02%。</w:t>
      </w:r>
    </w:p>
    <w:p w14:paraId="15CB9B29">
      <w:pPr>
        <w:spacing w:line="640" w:lineRule="exact"/>
        <w:ind w:firstLine="640"/>
        <w:jc w:val="both"/>
        <w:outlineLvl w:val="3"/>
      </w:pPr>
      <w:r>
        <w:rPr>
          <w:rFonts w:ascii="楷体_GB2312" w:hAnsi="楷体_GB2312" w:eastAsia="楷体_GB2312"/>
          <w:b/>
          <w:sz w:val="32"/>
        </w:rPr>
        <w:t>（三）国有资产占用情况说明</w:t>
      </w:r>
    </w:p>
    <w:p w14:paraId="3035407B">
      <w:pPr>
        <w:spacing w:line="580" w:lineRule="exact"/>
        <w:ind w:firstLine="640"/>
        <w:jc w:val="both"/>
      </w:pPr>
      <w:r>
        <w:rPr>
          <w:rFonts w:ascii="仿宋_GB2312" w:hAnsi="仿宋_GB2312" w:eastAsia="仿宋_GB2312"/>
          <w:b w:val="0"/>
          <w:sz w:val="32"/>
        </w:rPr>
        <w:t>截至2024年12月31日，房屋17,096.50平方米，价值5,523.87万元。车辆25辆，价值663.19万元，其中：副部（省）级及以上领导用车0辆、主要负责人用车0辆、机要通信用车1辆、应急保障用车0辆、执法执勤用车0辆、特种专业技术用车0辆、离退休干部服务用车0辆、其他用车24辆，其他用车主要是：一般公务用车。单价100万元（含）以上设备（不含车辆）0台（套）。</w:t>
      </w:r>
    </w:p>
    <w:p w14:paraId="50C74448">
      <w:pPr>
        <w:spacing w:line="640" w:lineRule="exact"/>
        <w:ind w:firstLine="640"/>
        <w:jc w:val="both"/>
        <w:outlineLvl w:val="2"/>
      </w:pPr>
      <w:r>
        <w:rPr>
          <w:rFonts w:ascii="黑体" w:hAnsi="黑体" w:eastAsia="黑体"/>
          <w:sz w:val="32"/>
        </w:rPr>
        <w:t>十一、预算绩效的情况说明</w:t>
      </w:r>
    </w:p>
    <w:p w14:paraId="567CAF9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1,385.01万元，实际执行总额1,385.01万元；预算绩效评价项目1个，全年预算数4.33万元，全年执行数4.33万元。预算绩效管理取得的成效：一是结合预算评审、政策评估，不断加大事前绩效评估力度，对立项依据不充分、实施条件不具备、交叉重复的项目不予安排。二是严格绩效目标管理，加强绩效目标审核力度，对绩效目标不明确、与资金不匹配的项目予以调整，建立完善绩效目标与预算同步申报、同步审核、同步批复下达的工作机制，充分发挥绩效目标的引导约束作用。三是开展绩效运行，组织中央部门对本级项目开展绩效运行，督促强化结果应用，针对发现的问题，对预计无法完成、进度滞缓、绩效指标设置不合理的项目及时分类处置。四是完善绩效自评机制。组织对中央本级项目、中央对地方转移支付开展绩效自评，加强绩效自评结果规范性审核，组织财政部各地监管局建立绩效自评结果抽查机制，配合审计署抽查中央部门项目绩效自评结果。五是财政评价常态化机制已经建立。发现的问题及原因：一是绩效理念尚未牢固树立，存在重投入轻管理、重支出轻绩效的意识。二是绩效管理的广度和深度不足，尚未覆盖所有财政资金，一些领域财政资金低效无效。 三是绩效激励约束作用不强，绩效评价结果与预算安排和政策调整的挂钩机制尚未建立。下一步改进措施：（一）加大预算绩效管理宣传培训力度。绩效主管部门应进一步结合国家治理体系和治理能力现代化</w:t>
      </w:r>
      <w:bookmarkStart w:id="0" w:name="_GoBack"/>
      <w:bookmarkEnd w:id="0"/>
      <w:r>
        <w:rPr>
          <w:rFonts w:ascii="仿宋_GB2312" w:hAnsi="仿宋_GB2312" w:eastAsia="仿宋_GB2312"/>
          <w:b w:val="0"/>
          <w:sz w:val="32"/>
        </w:rPr>
        <w:t>建设要求，突出宣传预算绩效管理在促进政府公共部门提高公共服务供给效率方面的重要作用，形成强化绩效管理的氛围。中央部门要树立绩效管理意识，调整管理机制，把预算绩效管理作为基础性工作认真对待；加强系统内各层级人员绩效管理培训，营造绩效管理的良好氛围，注重总结推广先进典型做法，形成系统内案例库，逐步丰富工作成果。（二）提升预算绩效管理统筹组织能力。绩效主管部门应加强工作统筹，持续优化预决算、资产管理、预算执行、政府采购、政府会计、财务规则等业务与绩效管理改革的关系，提升工作协调性；按预算规模、预算层级等实际情况，分类指导中央部门开展预算绩效管理工作，体现系统性差异。中央部门要加强绩效管理实施，不断优化内部分工、深挖潜力，保障扎实开展预算绩效管理的人员力量；进一步明确系统内项目单位、资金使用终端的绩效管理责任，完善绩效自评工作流程，提升自评工作效率。（三）完善预算绩效管理技术支撑体系。绩效主管部门应加快推进绩效评价行业力量建设，在评价机构、专家团队以及专业人员等方面多端发力；推动学术机构积极参与绩效评价技术研究，完善评价指标库建设、评价方法开发应用、绩效管理信息系统构建等。中央部门要从国家治理高度，将绩效目标与经济发展规划、国家战略、部门“三定”职能紧密衔接，积极推进部门整体绩效评价；主动依靠外部专业力量，持续完善重点项目绩效评价指标体系，并及时动态调整优化，以全面促进提高公共服务供给效率。具体附整体支出绩效自评表，项目支出绩效自评表和评价报告。</w:t>
      </w:r>
    </w:p>
    <w:p w14:paraId="53CC5DF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CB6756D">
        <w:tblPrEx>
          <w:tblCellMar>
            <w:top w:w="0" w:type="dxa"/>
            <w:left w:w="108" w:type="dxa"/>
            <w:bottom w:w="0" w:type="dxa"/>
            <w:right w:w="108" w:type="dxa"/>
          </w:tblCellMar>
        </w:tblPrEx>
        <w:tc>
          <w:tcPr>
            <w:tcW w:w="8847" w:type="dxa"/>
            <w:gridSpan w:val="9"/>
            <w:vAlign w:val="center"/>
          </w:tcPr>
          <w:p w14:paraId="41543CF0">
            <w:pPr>
              <w:jc w:val="center"/>
            </w:pPr>
            <w:r>
              <w:rPr>
                <w:rFonts w:ascii="宋体" w:hAnsi="宋体" w:eastAsia="宋体"/>
                <w:sz w:val="24"/>
              </w:rPr>
              <w:t>单位整体支出绩效自评表</w:t>
            </w:r>
          </w:p>
        </w:tc>
      </w:tr>
      <w:tr w14:paraId="7AF388CC">
        <w:tblPrEx>
          <w:tblCellMar>
            <w:top w:w="0" w:type="dxa"/>
            <w:left w:w="108" w:type="dxa"/>
            <w:bottom w:w="0" w:type="dxa"/>
            <w:right w:w="108" w:type="dxa"/>
          </w:tblCellMar>
        </w:tblPrEx>
        <w:tc>
          <w:tcPr>
            <w:tcW w:w="8847" w:type="dxa"/>
            <w:gridSpan w:val="9"/>
            <w:vAlign w:val="center"/>
          </w:tcPr>
          <w:p w14:paraId="29858E39">
            <w:pPr>
              <w:jc w:val="center"/>
            </w:pPr>
            <w:r>
              <w:rPr>
                <w:rFonts w:ascii="宋体" w:hAnsi="宋体" w:eastAsia="宋体"/>
                <w:sz w:val="24"/>
              </w:rPr>
              <w:t>（2024年度）</w:t>
            </w:r>
          </w:p>
        </w:tc>
      </w:tr>
      <w:tr w14:paraId="0AE8688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6C5D95">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6C8AD20">
            <w:pPr>
              <w:jc w:val="center"/>
            </w:pPr>
            <w:r>
              <w:rPr>
                <w:rFonts w:ascii="宋体" w:hAnsi="宋体" w:eastAsia="宋体"/>
                <w:sz w:val="16"/>
              </w:rPr>
              <w:t>中共英吉沙县委办公室</w:t>
            </w:r>
          </w:p>
        </w:tc>
      </w:tr>
      <w:tr w14:paraId="74EF776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2B3E2D">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39CEB">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ACD2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945F5">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81B0A8">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DDDD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7FE97">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17B07">
            <w:pPr>
              <w:jc w:val="center"/>
            </w:pPr>
            <w:r>
              <w:rPr>
                <w:rFonts w:ascii="宋体" w:hAnsi="宋体" w:eastAsia="宋体"/>
                <w:sz w:val="16"/>
              </w:rPr>
              <w:t>得分</w:t>
            </w:r>
          </w:p>
        </w:tc>
      </w:tr>
      <w:tr w14:paraId="7B3FA7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6EA8F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B56C2">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F8427">
            <w:pPr>
              <w:jc w:val="center"/>
            </w:pPr>
            <w:r>
              <w:rPr>
                <w:rFonts w:ascii="宋体" w:hAnsi="宋体" w:eastAsia="宋体"/>
                <w:sz w:val="16"/>
              </w:rPr>
              <w:t>1,639.63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C38C2">
            <w:pPr>
              <w:jc w:val="center"/>
            </w:pPr>
            <w:r>
              <w:rPr>
                <w:rFonts w:ascii="宋体" w:hAnsi="宋体" w:eastAsia="宋体"/>
                <w:sz w:val="16"/>
              </w:rPr>
              <w:t>1,385.01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30AB6">
            <w:pPr>
              <w:jc w:val="center"/>
            </w:pPr>
            <w:r>
              <w:rPr>
                <w:rFonts w:ascii="宋体" w:hAnsi="宋体" w:eastAsia="宋体"/>
                <w:sz w:val="16"/>
              </w:rPr>
              <w:t>1,385.01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1BE2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89520">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E40BD">
            <w:pPr>
              <w:jc w:val="center"/>
            </w:pPr>
            <w:r>
              <w:rPr>
                <w:rFonts w:ascii="宋体" w:hAnsi="宋体" w:eastAsia="宋体"/>
                <w:sz w:val="16"/>
              </w:rPr>
              <w:t>10</w:t>
            </w:r>
          </w:p>
        </w:tc>
      </w:tr>
      <w:tr w14:paraId="4A950A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1780F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0A176">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FE12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5C9E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AFAB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A5F2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533F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9E033">
            <w:pPr>
              <w:jc w:val="center"/>
            </w:pPr>
            <w:r>
              <w:rPr>
                <w:rFonts w:ascii="宋体" w:hAnsi="宋体" w:eastAsia="宋体"/>
                <w:sz w:val="16"/>
              </w:rPr>
              <w:t>—</w:t>
            </w:r>
          </w:p>
        </w:tc>
      </w:tr>
      <w:tr w14:paraId="6CB24C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F4554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80FEE">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F8AD6">
            <w:pPr>
              <w:jc w:val="center"/>
            </w:pPr>
            <w:r>
              <w:rPr>
                <w:rFonts w:ascii="宋体" w:hAnsi="宋体" w:eastAsia="宋体"/>
                <w:sz w:val="16"/>
              </w:rPr>
              <w:t>1,639.63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A9FDA">
            <w:pPr>
              <w:jc w:val="center"/>
            </w:pPr>
            <w:r>
              <w:rPr>
                <w:rFonts w:ascii="宋体" w:hAnsi="宋体" w:eastAsia="宋体"/>
                <w:sz w:val="16"/>
              </w:rPr>
              <w:t>1,306.38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0FDA9">
            <w:pPr>
              <w:jc w:val="center"/>
            </w:pPr>
            <w:r>
              <w:rPr>
                <w:rFonts w:ascii="宋体" w:hAnsi="宋体" w:eastAsia="宋体"/>
                <w:sz w:val="16"/>
              </w:rPr>
              <w:t>1,306.38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3CFC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BF3F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00A90">
            <w:pPr>
              <w:jc w:val="center"/>
            </w:pPr>
            <w:r>
              <w:rPr>
                <w:rFonts w:ascii="宋体" w:hAnsi="宋体" w:eastAsia="宋体"/>
                <w:sz w:val="16"/>
              </w:rPr>
              <w:t>—</w:t>
            </w:r>
          </w:p>
        </w:tc>
      </w:tr>
      <w:tr w14:paraId="392C28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1BFAB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2B84C8">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4892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86CB8">
            <w:pPr>
              <w:jc w:val="center"/>
            </w:pPr>
            <w:r>
              <w:rPr>
                <w:rFonts w:ascii="宋体" w:hAnsi="宋体" w:eastAsia="宋体"/>
                <w:sz w:val="16"/>
              </w:rPr>
              <w:t>78.63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83223">
            <w:pPr>
              <w:jc w:val="center"/>
            </w:pPr>
            <w:r>
              <w:rPr>
                <w:rFonts w:ascii="宋体" w:hAnsi="宋体" w:eastAsia="宋体"/>
                <w:sz w:val="16"/>
              </w:rPr>
              <w:t>78.63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7345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E3C8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A71F2">
            <w:pPr>
              <w:jc w:val="center"/>
            </w:pPr>
            <w:r>
              <w:rPr>
                <w:rFonts w:ascii="宋体" w:hAnsi="宋体" w:eastAsia="宋体"/>
                <w:sz w:val="16"/>
              </w:rPr>
              <w:t>—</w:t>
            </w:r>
          </w:p>
        </w:tc>
      </w:tr>
      <w:tr w14:paraId="098439B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56B0A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C5CC75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C2A491">
            <w:pPr>
              <w:jc w:val="center"/>
            </w:pPr>
            <w:r>
              <w:rPr>
                <w:rFonts w:ascii="宋体" w:hAnsi="宋体" w:eastAsia="宋体"/>
                <w:sz w:val="16"/>
              </w:rPr>
              <w:t>实际完成情况</w:t>
            </w:r>
          </w:p>
        </w:tc>
      </w:tr>
      <w:tr w14:paraId="3C12A9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7774B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74354DA">
            <w:pPr>
              <w:jc w:val="both"/>
            </w:pPr>
            <w:r>
              <w:rPr>
                <w:rFonts w:ascii="宋体" w:hAnsi="宋体" w:eastAsia="宋体"/>
                <w:sz w:val="16"/>
              </w:rPr>
              <w:t>2024年，围绕县委中心工作，按照县人民政府的工作安排，抓好各项工作落实。落实好入户走访工作，落实好社会工作的各项措施，落实好后勤保障工作，落实好政府法制工作，落实好保障机关正常运行工作，做好综合协调工作，加强信息报送工作，加强保密工作。提升政府信息公开，完成各类调研、督导指导工作。充分发挥总揽全局、协调各方的领导核心作用。加强与上级、部门之间的沟通联系，确保县委、县政府安排的工作得到有序进行。干部培训5场次，接待上级领导调研50人次，保障会议次数6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D6CD4F">
            <w:pPr>
              <w:jc w:val="both"/>
            </w:pPr>
            <w:r>
              <w:rPr>
                <w:rFonts w:hint="eastAsia" w:ascii="宋体" w:hAnsi="宋体"/>
                <w:sz w:val="16"/>
                <w:lang w:eastAsia="zh-CN"/>
              </w:rPr>
              <w:t>截至2024</w:t>
            </w:r>
            <w:r>
              <w:rPr>
                <w:rFonts w:ascii="宋体" w:hAnsi="宋体" w:eastAsia="宋体"/>
                <w:sz w:val="16"/>
              </w:rPr>
              <w:t>年12月30日，</w:t>
            </w:r>
            <w:r>
              <w:rPr>
                <w:rFonts w:hint="eastAsia" w:ascii="宋体" w:hAnsi="宋体"/>
                <w:sz w:val="16"/>
                <w:lang w:eastAsia="zh-CN"/>
              </w:rPr>
              <w:t>本单位</w:t>
            </w:r>
            <w:r>
              <w:rPr>
                <w:rFonts w:ascii="宋体" w:hAnsi="宋体" w:eastAsia="宋体"/>
                <w:sz w:val="16"/>
              </w:rPr>
              <w:t>充分发挥总揽全局、协调各方的领导核心作用，加强与上级、部门之间的沟通联系，确保县委、县政府安排的工作得到有序进行。开展干部培训5场次，有效提高全县干部职工业务水平和工作能力；接待上级领导调研50人次，有效提高我县知名度，进一步促进我县经济社会发展迈向新台阶；保障会议次数6次，凝聚全县干部向心力，从思想上行动上同党中央、自治区党委、地委、县委保持高度一致；起草各类相关材料数量100件，保障全县干部群众严格按照上级文件要求贯彻落实上级领导指示批示精神，把为民办实事好事落在实处；撰写各类信息简报100期，保障全县组工干部进一步提高信息简报撰写水平，有效推动英吉沙县高质量发展。</w:t>
            </w:r>
          </w:p>
        </w:tc>
      </w:tr>
      <w:tr w14:paraId="5D27D0C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372D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0585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E376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A5AFE">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F34411">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49FE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A7B0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29BFA">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8D40F">
            <w:pPr>
              <w:jc w:val="center"/>
            </w:pPr>
            <w:r>
              <w:rPr>
                <w:rFonts w:ascii="宋体" w:hAnsi="宋体" w:eastAsia="宋体"/>
                <w:sz w:val="16"/>
              </w:rPr>
              <w:t>得分</w:t>
            </w:r>
          </w:p>
        </w:tc>
      </w:tr>
      <w:tr w14:paraId="3FFADD6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715CE1">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DEFB3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AB0F1">
            <w:pPr>
              <w:jc w:val="center"/>
            </w:pPr>
            <w:r>
              <w:rPr>
                <w:rFonts w:ascii="宋体" w:hAnsi="宋体" w:eastAsia="宋体"/>
                <w:sz w:val="16"/>
              </w:rPr>
              <w:t>干部培训场次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98788">
            <w:pPr>
              <w:jc w:val="center"/>
            </w:pPr>
            <w:r>
              <w:rPr>
                <w:rFonts w:ascii="宋体" w:hAnsi="宋体" w:eastAsia="宋体"/>
                <w:sz w:val="16"/>
              </w:rPr>
              <w:t>&gt;=5次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ACDCD">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0CC8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F4CDC">
            <w:pPr>
              <w:jc w:val="center"/>
            </w:pPr>
            <w:r>
              <w:rPr>
                <w:rFonts w:ascii="宋体" w:hAnsi="宋体" w:eastAsia="宋体"/>
                <w:sz w:val="16"/>
              </w:rPr>
              <w:t>=5次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B748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6E851">
            <w:pPr>
              <w:jc w:val="center"/>
            </w:pPr>
            <w:r>
              <w:rPr>
                <w:rFonts w:ascii="宋体" w:hAnsi="宋体" w:eastAsia="宋体"/>
                <w:sz w:val="16"/>
              </w:rPr>
              <w:t>20</w:t>
            </w:r>
          </w:p>
        </w:tc>
      </w:tr>
      <w:tr w14:paraId="6C869F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E11B4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F846D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C64DB">
            <w:pPr>
              <w:jc w:val="center"/>
            </w:pPr>
            <w:r>
              <w:rPr>
                <w:rFonts w:ascii="宋体" w:hAnsi="宋体" w:eastAsia="宋体"/>
                <w:sz w:val="16"/>
              </w:rPr>
              <w:t>接待上级领导调研人次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67F23">
            <w:pPr>
              <w:jc w:val="center"/>
            </w:pPr>
            <w:r>
              <w:rPr>
                <w:rFonts w:ascii="宋体" w:hAnsi="宋体" w:eastAsia="宋体"/>
                <w:sz w:val="16"/>
              </w:rPr>
              <w:t>&gt;=50人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24B09">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3328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DBC3F">
            <w:pPr>
              <w:jc w:val="center"/>
            </w:pPr>
            <w:r>
              <w:rPr>
                <w:rFonts w:ascii="宋体" w:hAnsi="宋体" w:eastAsia="宋体"/>
                <w:sz w:val="16"/>
              </w:rPr>
              <w:t>=50人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3692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C4A38">
            <w:pPr>
              <w:jc w:val="center"/>
            </w:pPr>
            <w:r>
              <w:rPr>
                <w:rFonts w:ascii="宋体" w:hAnsi="宋体" w:eastAsia="宋体"/>
                <w:sz w:val="16"/>
              </w:rPr>
              <w:t>20</w:t>
            </w:r>
          </w:p>
        </w:tc>
      </w:tr>
      <w:tr w14:paraId="5588CF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23B29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DDEA3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10067">
            <w:pPr>
              <w:jc w:val="center"/>
            </w:pPr>
            <w:r>
              <w:rPr>
                <w:rFonts w:ascii="宋体" w:hAnsi="宋体" w:eastAsia="宋体"/>
                <w:sz w:val="16"/>
              </w:rPr>
              <w:t>保障</w:t>
            </w:r>
            <w:r>
              <w:rPr>
                <w:rFonts w:hint="eastAsia" w:ascii="宋体" w:hAnsi="宋体"/>
                <w:sz w:val="16"/>
                <w:lang w:eastAsia="zh-CN"/>
              </w:rPr>
              <w:t>会议</w:t>
            </w:r>
            <w:r>
              <w:rPr>
                <w:rFonts w:ascii="宋体" w:hAnsi="宋体" w:eastAsia="宋体"/>
                <w:sz w:val="16"/>
              </w:rPr>
              <w:t>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623CE">
            <w:pPr>
              <w:jc w:val="center"/>
            </w:pPr>
            <w:r>
              <w:rPr>
                <w:rFonts w:ascii="宋体" w:hAnsi="宋体" w:eastAsia="宋体"/>
                <w:sz w:val="16"/>
              </w:rPr>
              <w:t>&gt;=6次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CEF5A">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8652E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088532">
            <w:pPr>
              <w:jc w:val="center"/>
            </w:pPr>
            <w:r>
              <w:rPr>
                <w:rFonts w:ascii="宋体" w:hAnsi="宋体" w:eastAsia="宋体"/>
                <w:sz w:val="16"/>
              </w:rPr>
              <w:t>=6次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5341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856297">
            <w:pPr>
              <w:jc w:val="center"/>
            </w:pPr>
            <w:r>
              <w:rPr>
                <w:rFonts w:ascii="宋体" w:hAnsi="宋体" w:eastAsia="宋体"/>
                <w:sz w:val="16"/>
              </w:rPr>
              <w:t>20</w:t>
            </w:r>
          </w:p>
        </w:tc>
      </w:tr>
      <w:tr w14:paraId="72119BD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5F087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44A1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EDBAB8">
            <w:pPr>
              <w:jc w:val="center"/>
            </w:pPr>
            <w:r>
              <w:rPr>
                <w:rFonts w:ascii="宋体" w:hAnsi="宋体" w:eastAsia="宋体"/>
                <w:sz w:val="16"/>
              </w:rPr>
              <w:t>起草各类相关材料数量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3B550">
            <w:pPr>
              <w:jc w:val="center"/>
            </w:pPr>
            <w:r>
              <w:rPr>
                <w:rFonts w:ascii="宋体" w:hAnsi="宋体" w:eastAsia="宋体"/>
                <w:sz w:val="16"/>
              </w:rPr>
              <w:t>&gt;=100件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BA981">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5DC29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97AFB">
            <w:pPr>
              <w:jc w:val="center"/>
            </w:pPr>
            <w:r>
              <w:rPr>
                <w:rFonts w:ascii="宋体" w:hAnsi="宋体" w:eastAsia="宋体"/>
                <w:sz w:val="16"/>
              </w:rPr>
              <w:t>=100件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CC4E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E33C5">
            <w:pPr>
              <w:jc w:val="center"/>
            </w:pPr>
            <w:r>
              <w:rPr>
                <w:rFonts w:ascii="宋体" w:hAnsi="宋体" w:eastAsia="宋体"/>
                <w:sz w:val="16"/>
              </w:rPr>
              <w:t>15</w:t>
            </w:r>
          </w:p>
        </w:tc>
      </w:tr>
      <w:tr w14:paraId="36AE86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2AD43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B1FC4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E0B33">
            <w:pPr>
              <w:jc w:val="center"/>
            </w:pPr>
            <w:r>
              <w:rPr>
                <w:rFonts w:ascii="宋体" w:hAnsi="宋体" w:eastAsia="宋体"/>
                <w:sz w:val="16"/>
              </w:rPr>
              <w:t>撰写各类信息期数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FD6A7">
            <w:pPr>
              <w:jc w:val="center"/>
            </w:pPr>
            <w:r>
              <w:rPr>
                <w:rFonts w:ascii="宋体" w:hAnsi="宋体" w:eastAsia="宋体"/>
                <w:sz w:val="16"/>
              </w:rPr>
              <w:t>&gt;=100期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12F66">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0E3D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7FC0E">
            <w:pPr>
              <w:jc w:val="center"/>
            </w:pPr>
            <w:r>
              <w:rPr>
                <w:rFonts w:ascii="宋体" w:hAnsi="宋体" w:eastAsia="宋体"/>
                <w:sz w:val="16"/>
              </w:rPr>
              <w:t>=100期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BA88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21971">
            <w:pPr>
              <w:jc w:val="center"/>
            </w:pPr>
            <w:r>
              <w:rPr>
                <w:rFonts w:ascii="宋体" w:hAnsi="宋体" w:eastAsia="宋体"/>
                <w:sz w:val="16"/>
              </w:rPr>
              <w:t>15</w:t>
            </w:r>
          </w:p>
        </w:tc>
      </w:tr>
    </w:tbl>
    <w:p w14:paraId="3F24DFF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C972FAE">
        <w:tblPrEx>
          <w:tblCellMar>
            <w:top w:w="0" w:type="dxa"/>
            <w:left w:w="108" w:type="dxa"/>
            <w:bottom w:w="0" w:type="dxa"/>
            <w:right w:w="108" w:type="dxa"/>
          </w:tblCellMar>
        </w:tblPrEx>
        <w:tc>
          <w:tcPr>
            <w:tcW w:w="8848" w:type="dxa"/>
            <w:gridSpan w:val="14"/>
            <w:vAlign w:val="center"/>
          </w:tcPr>
          <w:p w14:paraId="5CE2AB8F">
            <w:pPr>
              <w:jc w:val="center"/>
            </w:pPr>
            <w:r>
              <w:rPr>
                <w:rFonts w:ascii="宋体" w:hAnsi="宋体" w:eastAsia="宋体"/>
                <w:sz w:val="24"/>
              </w:rPr>
              <w:t>项目支出绩效自评表</w:t>
            </w:r>
          </w:p>
        </w:tc>
      </w:tr>
      <w:tr w14:paraId="7A07C34F">
        <w:tblPrEx>
          <w:tblCellMar>
            <w:top w:w="0" w:type="dxa"/>
            <w:left w:w="108" w:type="dxa"/>
            <w:bottom w:w="0" w:type="dxa"/>
            <w:right w:w="108" w:type="dxa"/>
          </w:tblCellMar>
        </w:tblPrEx>
        <w:tc>
          <w:tcPr>
            <w:tcW w:w="8848" w:type="dxa"/>
            <w:gridSpan w:val="14"/>
            <w:vAlign w:val="center"/>
          </w:tcPr>
          <w:p w14:paraId="217460A6">
            <w:pPr>
              <w:jc w:val="center"/>
            </w:pPr>
            <w:r>
              <w:rPr>
                <w:rFonts w:ascii="宋体" w:hAnsi="宋体" w:eastAsia="宋体"/>
                <w:sz w:val="24"/>
              </w:rPr>
              <w:t>(2024年度)</w:t>
            </w:r>
          </w:p>
        </w:tc>
      </w:tr>
      <w:tr w14:paraId="093156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48DD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D09E8B6">
            <w:pPr>
              <w:jc w:val="center"/>
            </w:pPr>
            <w:r>
              <w:rPr>
                <w:rFonts w:ascii="宋体" w:hAnsi="宋体" w:eastAsia="宋体"/>
                <w:sz w:val="16"/>
              </w:rPr>
              <w:t>统战部2023年民贸民企贴息项目</w:t>
            </w:r>
          </w:p>
        </w:tc>
      </w:tr>
      <w:tr w14:paraId="32261C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8F98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9EB967">
            <w:pPr>
              <w:jc w:val="center"/>
            </w:pPr>
            <w:r>
              <w:rPr>
                <w:rFonts w:ascii="宋体" w:hAnsi="宋体" w:eastAsia="宋体"/>
                <w:sz w:val="16"/>
              </w:rPr>
              <w:t>英吉沙县财政局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B653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A92667">
            <w:pPr>
              <w:jc w:val="center"/>
            </w:pPr>
            <w:r>
              <w:rPr>
                <w:rFonts w:ascii="宋体" w:hAnsi="宋体" w:eastAsia="宋体"/>
                <w:sz w:val="16"/>
              </w:rPr>
              <w:t>中共英吉沙县委办公室</w:t>
            </w:r>
          </w:p>
        </w:tc>
      </w:tr>
      <w:tr w14:paraId="6D530D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CCBB7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B70C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41D7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767D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A919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9FA6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1B45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6D109">
            <w:pPr>
              <w:jc w:val="center"/>
            </w:pPr>
            <w:r>
              <w:rPr>
                <w:rFonts w:ascii="宋体" w:hAnsi="宋体" w:eastAsia="宋体"/>
                <w:sz w:val="16"/>
              </w:rPr>
              <w:t>得分</w:t>
            </w:r>
          </w:p>
        </w:tc>
      </w:tr>
      <w:tr w14:paraId="366780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47A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5A75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C46F3">
            <w:pPr>
              <w:jc w:val="center"/>
            </w:pPr>
            <w:r>
              <w:rPr>
                <w:rFonts w:ascii="宋体" w:hAnsi="宋体" w:eastAsia="宋体"/>
                <w:sz w:val="16"/>
              </w:rPr>
              <w:t>4.33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2E294">
            <w:pPr>
              <w:jc w:val="center"/>
            </w:pPr>
            <w:r>
              <w:rPr>
                <w:rFonts w:ascii="宋体" w:hAnsi="宋体" w:eastAsia="宋体"/>
                <w:sz w:val="16"/>
              </w:rPr>
              <w:t>4.33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0EFAC">
            <w:pPr>
              <w:jc w:val="center"/>
            </w:pPr>
            <w:r>
              <w:rPr>
                <w:rFonts w:ascii="宋体" w:hAnsi="宋体" w:eastAsia="宋体"/>
                <w:sz w:val="16"/>
              </w:rPr>
              <w:t>4.33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FCD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B1BC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626E4">
            <w:pPr>
              <w:jc w:val="center"/>
            </w:pPr>
            <w:r>
              <w:rPr>
                <w:rFonts w:ascii="宋体" w:hAnsi="宋体" w:eastAsia="宋体"/>
                <w:sz w:val="16"/>
              </w:rPr>
              <w:t>10.00分</w:t>
            </w:r>
          </w:p>
        </w:tc>
      </w:tr>
      <w:tr w14:paraId="0E0DD1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53B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82D2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74B23">
            <w:pPr>
              <w:jc w:val="center"/>
            </w:pPr>
            <w:r>
              <w:rPr>
                <w:rFonts w:ascii="宋体" w:hAnsi="宋体" w:eastAsia="宋体"/>
                <w:sz w:val="16"/>
              </w:rPr>
              <w:t>4.33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08E16">
            <w:pPr>
              <w:jc w:val="center"/>
            </w:pPr>
            <w:r>
              <w:rPr>
                <w:rFonts w:ascii="宋体" w:hAnsi="宋体" w:eastAsia="宋体"/>
                <w:sz w:val="16"/>
              </w:rPr>
              <w:t>4.33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8725A">
            <w:pPr>
              <w:jc w:val="center"/>
            </w:pPr>
            <w:r>
              <w:rPr>
                <w:rFonts w:ascii="宋体" w:hAnsi="宋体" w:eastAsia="宋体"/>
                <w:sz w:val="16"/>
              </w:rPr>
              <w:t>4.33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945F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32B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20BCB">
            <w:pPr>
              <w:jc w:val="center"/>
            </w:pPr>
            <w:r>
              <w:rPr>
                <w:rFonts w:ascii="宋体" w:hAnsi="宋体" w:eastAsia="宋体"/>
                <w:sz w:val="16"/>
              </w:rPr>
              <w:t>—</w:t>
            </w:r>
          </w:p>
        </w:tc>
      </w:tr>
      <w:tr w14:paraId="66EF6C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DC1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837E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031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20D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6E8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B4D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6AC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D65C8">
            <w:pPr>
              <w:jc w:val="center"/>
            </w:pPr>
            <w:r>
              <w:rPr>
                <w:rFonts w:ascii="宋体" w:hAnsi="宋体" w:eastAsia="宋体"/>
                <w:sz w:val="16"/>
              </w:rPr>
              <w:t>—</w:t>
            </w:r>
          </w:p>
        </w:tc>
      </w:tr>
      <w:tr w14:paraId="5EAE70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80734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26A0B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AB50F2">
            <w:pPr>
              <w:jc w:val="center"/>
            </w:pPr>
            <w:r>
              <w:rPr>
                <w:rFonts w:ascii="宋体" w:hAnsi="宋体" w:eastAsia="宋体"/>
                <w:sz w:val="16"/>
              </w:rPr>
              <w:t>实际完成情况</w:t>
            </w:r>
          </w:p>
        </w:tc>
      </w:tr>
      <w:tr w14:paraId="63BDF9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3A35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9BA510">
            <w:pPr>
              <w:jc w:val="both"/>
            </w:pPr>
            <w:r>
              <w:rPr>
                <w:rFonts w:ascii="宋体" w:hAnsi="宋体" w:eastAsia="宋体"/>
                <w:sz w:val="16"/>
              </w:rPr>
              <w:t>该项目总投资4.33万元，涉及现有民贸企业1家，通过项目实施提高民贸企业的积极性，促进企业增收、促进本地经济发展，使受益企业职工满意度达到95%。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D8596E">
            <w:pPr>
              <w:jc w:val="both"/>
            </w:pPr>
            <w:r>
              <w:rPr>
                <w:rFonts w:ascii="宋体" w:hAnsi="宋体" w:eastAsia="宋体"/>
                <w:sz w:val="16"/>
              </w:rPr>
              <w:t>该项目实际执行4.33万元，涉及现有民贸企业1家，通过项目实施提高了民贸企业的积极性，促进了企业增收、促进了本地经济发展，受益企业满意度达到95%。</w:t>
            </w:r>
          </w:p>
        </w:tc>
      </w:tr>
      <w:tr w14:paraId="0B1C6E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81BD1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5559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B71C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253E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03AF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2B2C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C1AA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0562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AB99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9A84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6269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ABB0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DDB81">
            <w:pPr>
              <w:jc w:val="center"/>
            </w:pPr>
            <w:r>
              <w:rPr>
                <w:rFonts w:ascii="宋体" w:hAnsi="宋体" w:eastAsia="宋体"/>
                <w:sz w:val="16"/>
              </w:rPr>
              <w:t>偏差原因分析及改进措施</w:t>
            </w:r>
          </w:p>
        </w:tc>
      </w:tr>
      <w:tr w14:paraId="79560E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2A964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C3B16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6928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EDDE4">
            <w:pPr>
              <w:jc w:val="center"/>
            </w:pPr>
            <w:r>
              <w:rPr>
                <w:rFonts w:ascii="宋体" w:hAnsi="宋体" w:eastAsia="宋体"/>
                <w:sz w:val="16"/>
              </w:rPr>
              <w:t>涉及现有民贸企业数量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B72F0">
            <w:pPr>
              <w:jc w:val="center"/>
            </w:pPr>
            <w:r>
              <w:rPr>
                <w:rFonts w:ascii="宋体" w:hAnsi="宋体" w:eastAsia="宋体"/>
                <w:sz w:val="16"/>
              </w:rPr>
              <w:t>&gt;=1家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8A6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B3B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FDE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DCA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484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F5DC8">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623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C02DA">
            <w:pPr>
              <w:jc w:val="center"/>
            </w:pPr>
          </w:p>
        </w:tc>
      </w:tr>
      <w:tr w14:paraId="437764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E9F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2793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2DC1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5999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50B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728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CAD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32E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1360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C1A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19E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B0F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5785B">
            <w:pPr>
              <w:jc w:val="center"/>
            </w:pPr>
          </w:p>
        </w:tc>
      </w:tr>
      <w:tr w14:paraId="2529DD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EE4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3A507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42F03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F5BA8">
            <w:pPr>
              <w:jc w:val="center"/>
            </w:pPr>
            <w:r>
              <w:rPr>
                <w:rFonts w:ascii="宋体" w:hAnsi="宋体" w:eastAsia="宋体"/>
                <w:sz w:val="16"/>
              </w:rPr>
              <w:t>贴息资金发放及时率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BF2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374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A6B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E48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5BC2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D597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9BF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08D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4BEE2">
            <w:pPr>
              <w:jc w:val="center"/>
            </w:pPr>
          </w:p>
        </w:tc>
      </w:tr>
      <w:tr w14:paraId="498E16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C05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5AE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FCD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7817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7812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5D9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3A5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02B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ACB4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FE6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3BBC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BE2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73BB2">
            <w:pPr>
              <w:jc w:val="center"/>
            </w:pPr>
          </w:p>
        </w:tc>
      </w:tr>
      <w:tr w14:paraId="5F301F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9DB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84AB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7315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EE45C">
            <w:pPr>
              <w:jc w:val="center"/>
            </w:pPr>
            <w:r>
              <w:rPr>
                <w:rFonts w:ascii="宋体" w:hAnsi="宋体" w:eastAsia="宋体"/>
                <w:sz w:val="16"/>
              </w:rPr>
              <w:t>贴息资金费用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86F7A">
            <w:pPr>
              <w:jc w:val="center"/>
            </w:pPr>
            <w:r>
              <w:rPr>
                <w:rFonts w:ascii="宋体" w:hAnsi="宋体" w:eastAsia="宋体"/>
                <w:sz w:val="16"/>
              </w:rPr>
              <w:t>&lt;=4.33万元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D3C0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B03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E83D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7AD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4FE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0D15B">
            <w:pPr>
              <w:jc w:val="center"/>
            </w:pPr>
            <w:r>
              <w:rPr>
                <w:rFonts w:ascii="宋体" w:hAnsi="宋体" w:eastAsia="宋体"/>
                <w:sz w:val="16"/>
              </w:rPr>
              <w:t>=4.33万元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3117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EE6F8">
            <w:pPr>
              <w:jc w:val="center"/>
            </w:pPr>
          </w:p>
        </w:tc>
      </w:tr>
      <w:tr w14:paraId="085F3D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D30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AE15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9330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AEA67">
            <w:pPr>
              <w:jc w:val="center"/>
            </w:pPr>
            <w:r>
              <w:rPr>
                <w:rFonts w:ascii="宋体" w:hAnsi="宋体" w:eastAsia="宋体"/>
                <w:sz w:val="16"/>
              </w:rPr>
              <w:t>促进企业增收、促进本地经济发展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BDDE3">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E56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69D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42DB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751D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A24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3889B">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0D53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8042E">
            <w:pPr>
              <w:jc w:val="center"/>
            </w:pPr>
          </w:p>
        </w:tc>
      </w:tr>
      <w:tr w14:paraId="647F31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185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BA66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FF0D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08ACC">
            <w:pPr>
              <w:jc w:val="center"/>
            </w:pPr>
            <w:r>
              <w:rPr>
                <w:rFonts w:ascii="宋体" w:hAnsi="宋体" w:eastAsia="宋体"/>
                <w:sz w:val="16"/>
              </w:rPr>
              <w:t>受益企业职工满意度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F798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11C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5F0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49E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5C56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1B4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5193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527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BFF86">
            <w:pPr>
              <w:jc w:val="center"/>
            </w:pPr>
          </w:p>
        </w:tc>
      </w:tr>
      <w:tr w14:paraId="6C17CDF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BE6DF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3338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90B75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1FBC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9320297"/>
        </w:tc>
      </w:tr>
    </w:tbl>
    <w:p w14:paraId="2FC553E6">
      <w:r>
        <w:br w:type="page"/>
      </w:r>
    </w:p>
    <w:p w14:paraId="14CB2AF8">
      <w:pPr>
        <w:spacing w:line="640" w:lineRule="exact"/>
        <w:ind w:firstLine="640"/>
        <w:jc w:val="both"/>
        <w:outlineLvl w:val="2"/>
      </w:pPr>
      <w:r>
        <w:rPr>
          <w:rFonts w:ascii="黑体" w:hAnsi="黑体" w:eastAsia="黑体"/>
          <w:sz w:val="32"/>
        </w:rPr>
        <w:t>十二、其他需说明的事项</w:t>
      </w:r>
    </w:p>
    <w:p w14:paraId="2E531085">
      <w:pPr>
        <w:spacing w:line="580" w:lineRule="exact"/>
        <w:ind w:firstLine="640"/>
        <w:jc w:val="both"/>
      </w:pPr>
      <w:r>
        <w:rPr>
          <w:rFonts w:ascii="仿宋_GB2312" w:hAnsi="仿宋_GB2312" w:eastAsia="仿宋_GB2312"/>
          <w:b w:val="0"/>
          <w:sz w:val="32"/>
        </w:rPr>
        <w:t>本单位无其他需说明的事项。</w:t>
      </w:r>
    </w:p>
    <w:p w14:paraId="0952D02F">
      <w:r>
        <w:br w:type="page"/>
      </w:r>
    </w:p>
    <w:p w14:paraId="7D7EA200">
      <w:pPr>
        <w:spacing w:line="240" w:lineRule="auto"/>
        <w:jc w:val="center"/>
        <w:outlineLvl w:val="1"/>
      </w:pPr>
      <w:r>
        <w:rPr>
          <w:rFonts w:ascii="黑体" w:hAnsi="黑体" w:eastAsia="黑体"/>
          <w:sz w:val="32"/>
        </w:rPr>
        <w:t>第三部分 专业名词解释</w:t>
      </w:r>
    </w:p>
    <w:p w14:paraId="3360052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F0B99E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A36380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78D6E6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98A132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227879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CCB4EE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BE4DF5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CC533A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DD6F5B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414C1A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1B56F9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7E071F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1E5C1D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E3426C0">
      <w:r>
        <w:br w:type="page"/>
      </w:r>
    </w:p>
    <w:p w14:paraId="1F35A234">
      <w:pPr>
        <w:spacing w:line="240" w:lineRule="auto"/>
        <w:jc w:val="center"/>
        <w:outlineLvl w:val="1"/>
      </w:pPr>
      <w:r>
        <w:rPr>
          <w:rFonts w:ascii="黑体" w:hAnsi="黑体" w:eastAsia="黑体"/>
          <w:sz w:val="32"/>
        </w:rPr>
        <w:t>第四部分 部门决算报表（见附表）</w:t>
      </w:r>
    </w:p>
    <w:p w14:paraId="15F5EE5D">
      <w:pPr>
        <w:spacing w:line="240" w:lineRule="auto"/>
        <w:ind w:firstLine="640"/>
        <w:jc w:val="both"/>
      </w:pPr>
      <w:r>
        <w:rPr>
          <w:rFonts w:ascii="仿宋_GB2312" w:hAnsi="仿宋_GB2312" w:eastAsia="仿宋_GB2312"/>
          <w:b w:val="0"/>
          <w:sz w:val="32"/>
        </w:rPr>
        <w:t>一、《收入支出决算总表》</w:t>
      </w:r>
    </w:p>
    <w:p w14:paraId="2433B726">
      <w:pPr>
        <w:spacing w:line="240" w:lineRule="auto"/>
        <w:ind w:firstLine="640"/>
        <w:jc w:val="both"/>
      </w:pPr>
      <w:r>
        <w:rPr>
          <w:rFonts w:ascii="仿宋_GB2312" w:hAnsi="仿宋_GB2312" w:eastAsia="仿宋_GB2312"/>
          <w:b w:val="0"/>
          <w:sz w:val="32"/>
        </w:rPr>
        <w:t>二、《收入决算表》</w:t>
      </w:r>
    </w:p>
    <w:p w14:paraId="7A45ECB6">
      <w:pPr>
        <w:spacing w:line="240" w:lineRule="auto"/>
        <w:ind w:firstLine="640"/>
        <w:jc w:val="both"/>
      </w:pPr>
      <w:r>
        <w:rPr>
          <w:rFonts w:ascii="仿宋_GB2312" w:hAnsi="仿宋_GB2312" w:eastAsia="仿宋_GB2312"/>
          <w:b w:val="0"/>
          <w:sz w:val="32"/>
        </w:rPr>
        <w:t>三、《支出决算表》</w:t>
      </w:r>
    </w:p>
    <w:p w14:paraId="57CF7078">
      <w:pPr>
        <w:spacing w:line="240" w:lineRule="auto"/>
        <w:ind w:firstLine="640"/>
        <w:jc w:val="both"/>
      </w:pPr>
      <w:r>
        <w:rPr>
          <w:rFonts w:ascii="仿宋_GB2312" w:hAnsi="仿宋_GB2312" w:eastAsia="仿宋_GB2312"/>
          <w:b w:val="0"/>
          <w:sz w:val="32"/>
        </w:rPr>
        <w:t>四、《财政拨款收入支出决算总表》</w:t>
      </w:r>
    </w:p>
    <w:p w14:paraId="1C2C0084">
      <w:pPr>
        <w:spacing w:line="240" w:lineRule="auto"/>
        <w:ind w:firstLine="640"/>
        <w:jc w:val="both"/>
      </w:pPr>
      <w:r>
        <w:rPr>
          <w:rFonts w:ascii="仿宋_GB2312" w:hAnsi="仿宋_GB2312" w:eastAsia="仿宋_GB2312"/>
          <w:b w:val="0"/>
          <w:sz w:val="32"/>
        </w:rPr>
        <w:t>五、《一般公共预算财政拨款支出决算表》</w:t>
      </w:r>
    </w:p>
    <w:p w14:paraId="505BA10F">
      <w:pPr>
        <w:spacing w:line="240" w:lineRule="auto"/>
        <w:ind w:firstLine="640"/>
        <w:jc w:val="both"/>
      </w:pPr>
      <w:r>
        <w:rPr>
          <w:rFonts w:ascii="仿宋_GB2312" w:hAnsi="仿宋_GB2312" w:eastAsia="仿宋_GB2312"/>
          <w:b w:val="0"/>
          <w:sz w:val="32"/>
        </w:rPr>
        <w:t>六、《一般公共预算财政拨款基本支出决算表》</w:t>
      </w:r>
    </w:p>
    <w:p w14:paraId="38D3AA5E">
      <w:pPr>
        <w:spacing w:line="240" w:lineRule="auto"/>
        <w:ind w:firstLine="640"/>
        <w:jc w:val="both"/>
      </w:pPr>
      <w:r>
        <w:rPr>
          <w:rFonts w:ascii="仿宋_GB2312" w:hAnsi="仿宋_GB2312" w:eastAsia="仿宋_GB2312"/>
          <w:b w:val="0"/>
          <w:sz w:val="32"/>
        </w:rPr>
        <w:t>七、《政府性基金预算财政拨款收入支出决算表》</w:t>
      </w:r>
    </w:p>
    <w:p w14:paraId="466A7276">
      <w:pPr>
        <w:spacing w:line="240" w:lineRule="auto"/>
        <w:ind w:firstLine="640"/>
        <w:jc w:val="both"/>
      </w:pPr>
      <w:r>
        <w:rPr>
          <w:rFonts w:ascii="仿宋_GB2312" w:hAnsi="仿宋_GB2312" w:eastAsia="仿宋_GB2312"/>
          <w:b w:val="0"/>
          <w:sz w:val="32"/>
        </w:rPr>
        <w:t>八、《国有资本经营预算财政拨款收入支出决算表》</w:t>
      </w:r>
    </w:p>
    <w:p w14:paraId="3F66FC56">
      <w:pPr>
        <w:spacing w:line="240" w:lineRule="auto"/>
        <w:ind w:firstLine="640"/>
        <w:jc w:val="both"/>
      </w:pPr>
      <w:r>
        <w:rPr>
          <w:rFonts w:ascii="仿宋_GB2312" w:hAnsi="仿宋_GB2312" w:eastAsia="仿宋_GB2312"/>
          <w:b w:val="0"/>
          <w:sz w:val="32"/>
        </w:rPr>
        <w:t>九、《财政拨款“三公”经费支出决算表》</w:t>
      </w:r>
    </w:p>
    <w:p w14:paraId="2847D559">
      <w:pPr>
        <w:spacing w:line="240" w:lineRule="auto"/>
        <w:ind w:firstLine="640"/>
        <w:jc w:val="both"/>
      </w:pPr>
    </w:p>
    <w:p w14:paraId="63CDCE2B">
      <w:pPr>
        <w:spacing w:line="240" w:lineRule="auto"/>
        <w:ind w:firstLine="640"/>
        <w:jc w:val="both"/>
      </w:pPr>
    </w:p>
    <w:p w14:paraId="72018294">
      <w:pPr>
        <w:spacing w:line="240" w:lineRule="auto"/>
        <w:ind w:firstLine="640"/>
        <w:jc w:val="both"/>
      </w:pPr>
    </w:p>
    <w:p w14:paraId="1A2EBF03">
      <w:pPr>
        <w:spacing w:line="240" w:lineRule="auto"/>
        <w:ind w:firstLine="640"/>
        <w:jc w:val="both"/>
      </w:pPr>
    </w:p>
    <w:p w14:paraId="7F15293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E9E8CF2-755C-4029-89CD-400BBF8FFB9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embedRegular r:id="rId2" w:fontKey="{A4805701-43FF-41B2-9F11-D32964731093}"/>
  </w:font>
  <w:font w:name="仿宋_GB2312">
    <w:panose1 w:val="02010609030101010101"/>
    <w:charset w:val="86"/>
    <w:family w:val="modern"/>
    <w:pitch w:val="default"/>
    <w:sig w:usb0="00000001" w:usb1="080E0000" w:usb2="00000000" w:usb3="00000000" w:csb0="00040000" w:csb1="00000000"/>
    <w:embedRegular r:id="rId3" w:fontKey="{543EC754-8C2F-4A47-8DD9-189052024592}"/>
  </w:font>
  <w:font w:name="楷体_GB2312">
    <w:panose1 w:val="02010609030101010101"/>
    <w:charset w:val="86"/>
    <w:family w:val="auto"/>
    <w:pitch w:val="default"/>
    <w:sig w:usb0="00000001" w:usb1="080E0000" w:usb2="00000000" w:usb3="00000000" w:csb0="00040000" w:csb1="00000000"/>
    <w:embedRegular r:id="rId4" w:fontKey="{3C66ADC5-A623-4EB8-B8C9-DAE5F3C4EB5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1MjNkYjVmZWQ2OTZhMTIzM2Q0N2EwOWRhYTM1NmM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7353C4"/>
    <w:rsid w:val="11E15093"/>
    <w:rsid w:val="120E0809"/>
    <w:rsid w:val="14E426FB"/>
    <w:rsid w:val="19071D6C"/>
    <w:rsid w:val="19B5554D"/>
    <w:rsid w:val="1B8F2D19"/>
    <w:rsid w:val="1C317E4F"/>
    <w:rsid w:val="1C472464"/>
    <w:rsid w:val="1C857FF6"/>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736C0E"/>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D121EC8"/>
    <w:rsid w:val="5D6323CD"/>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7613</Words>
  <Characters>8684</Characters>
  <Lines>0</Lines>
  <Paragraphs>0</Paragraphs>
  <TotalTime>24</TotalTime>
  <ScaleCrop>false</ScaleCrop>
  <LinksUpToDate>false</LinksUpToDate>
  <CharactersWithSpaces>8693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2025-09-17T03:17:54Z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