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25D6D0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中共英吉沙县委员会社会工作部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2B83B8">
      <w:r>
        <w:br w:type="page"/>
      </w:r>
    </w:p>
    <w:p w14:paraId="612462E2">
      <w:pPr>
        <w:spacing w:line="640" w:lineRule="exact"/>
        <w:jc w:val="center"/>
        <w:outlineLvl w:val="1"/>
      </w:pPr>
      <w:r>
        <w:rPr>
          <w:rFonts w:ascii="黑体" w:hAnsi="黑体" w:eastAsia="黑体"/>
          <w:sz w:val="32"/>
        </w:rPr>
        <w:t>第一部分 单位概况</w:t>
      </w:r>
    </w:p>
    <w:p w14:paraId="21649063">
      <w:pPr>
        <w:spacing w:line="640" w:lineRule="exact"/>
        <w:ind w:firstLine="640"/>
        <w:jc w:val="both"/>
        <w:outlineLvl w:val="2"/>
      </w:pPr>
      <w:r>
        <w:rPr>
          <w:rFonts w:ascii="黑体" w:hAnsi="黑体" w:eastAsia="黑体"/>
          <w:sz w:val="32"/>
        </w:rPr>
        <w:t>一、主要职能</w:t>
      </w:r>
    </w:p>
    <w:p w14:paraId="756D76CE">
      <w:pPr>
        <w:spacing w:line="580" w:lineRule="exact"/>
        <w:ind w:firstLine="640"/>
        <w:jc w:val="both"/>
      </w:pPr>
      <w:r>
        <w:rPr>
          <w:rFonts w:ascii="仿宋_GB2312" w:hAnsi="仿宋_GB2312" w:eastAsia="仿宋_GB2312"/>
          <w:sz w:val="32"/>
        </w:rPr>
        <w:t>（1）推动两企三新工作数量，促进企业和社会组织的发展，推动社会创新和社会治理现代化。</w:t>
      </w:r>
    </w:p>
    <w:p w14:paraId="4BAC12A9">
      <w:pPr>
        <w:spacing w:line="580" w:lineRule="exact"/>
        <w:ind w:firstLine="640"/>
        <w:jc w:val="both"/>
      </w:pPr>
      <w:r>
        <w:rPr>
          <w:rFonts w:ascii="仿宋_GB2312" w:hAnsi="仿宋_GB2312" w:eastAsia="仿宋_GB2312"/>
          <w:sz w:val="32"/>
        </w:rPr>
        <w:t>（2）继续推动组建暖心驿站，为新就业群体、户外劳动者及社区居民提供便利服务和关怀，这些驿站通过整合资源、创新服务模式，成为传递社会温暖的重要平台。</w:t>
      </w:r>
    </w:p>
    <w:p w14:paraId="7814F560">
      <w:pPr>
        <w:spacing w:line="580" w:lineRule="exact"/>
        <w:ind w:firstLine="640"/>
        <w:jc w:val="both"/>
      </w:pPr>
      <w:r>
        <w:rPr>
          <w:rFonts w:ascii="仿宋_GB2312" w:hAnsi="仿宋_GB2312" w:eastAsia="仿宋_GB2312"/>
          <w:sz w:val="32"/>
        </w:rPr>
        <w:t>（3）根据三定工作要求，指导信访工作，通过政策指导、调</w:t>
      </w:r>
      <w:r>
        <w:rPr>
          <w:rFonts w:hint="eastAsia" w:ascii="仿宋_GB2312" w:hAnsi="仿宋_GB2312" w:eastAsia="仿宋_GB2312"/>
          <w:sz w:val="32"/>
          <w:lang w:eastAsia="zh-CN"/>
        </w:rPr>
        <w:t>研监</w:t>
      </w:r>
      <w:r>
        <w:rPr>
          <w:rFonts w:ascii="仿宋_GB2312" w:hAnsi="仿宋_GB2312" w:eastAsia="仿宋_GB2312"/>
          <w:sz w:val="32"/>
        </w:rPr>
        <w:t>督等方式，全面推进信访工作法治化建设，按照规定指导信访案件接访和督促办结完成，逐步提高办结效率。</w:t>
      </w:r>
    </w:p>
    <w:p w14:paraId="21A6A3F1">
      <w:pPr>
        <w:spacing w:line="580" w:lineRule="exact"/>
        <w:ind w:firstLine="640"/>
        <w:jc w:val="both"/>
      </w:pPr>
      <w:r>
        <w:rPr>
          <w:rFonts w:ascii="仿宋_GB2312" w:hAnsi="仿宋_GB2312" w:eastAsia="仿宋_GB2312"/>
          <w:sz w:val="32"/>
        </w:rPr>
        <w:t>（4）开展三新领域工作培训，提升公众对三新领域工作的认知程度和了解相关法律法规，填补社会治理在这些领域的空白，逐步完善社会治理体系。</w:t>
      </w:r>
    </w:p>
    <w:p w14:paraId="4EA02025">
      <w:pPr>
        <w:spacing w:line="640" w:lineRule="exact"/>
        <w:ind w:firstLine="640"/>
        <w:jc w:val="both"/>
        <w:outlineLvl w:val="2"/>
      </w:pPr>
      <w:r>
        <w:rPr>
          <w:rFonts w:ascii="黑体" w:hAnsi="黑体" w:eastAsia="黑体"/>
          <w:sz w:val="32"/>
        </w:rPr>
        <w:t>二、机构设置及人员情况</w:t>
      </w:r>
    </w:p>
    <w:p w14:paraId="36750E5E">
      <w:pPr>
        <w:spacing w:line="580" w:lineRule="exact"/>
        <w:ind w:firstLine="640"/>
        <w:jc w:val="both"/>
      </w:pPr>
      <w:r>
        <w:rPr>
          <w:rFonts w:ascii="仿宋_GB2312" w:hAnsi="仿宋_GB2312" w:eastAsia="仿宋_GB2312"/>
          <w:sz w:val="32"/>
        </w:rPr>
        <w:t>中共英吉沙县委员会社会工作部2024年度，实有人数6人，其中：在职人员6人，增加6人；离休人员0人，增加0人；退休人员0人,增加0人。</w:t>
      </w:r>
    </w:p>
    <w:p w14:paraId="2454C6F1">
      <w:pPr>
        <w:spacing w:line="580" w:lineRule="exact"/>
        <w:ind w:firstLine="640"/>
        <w:jc w:val="both"/>
      </w:pPr>
      <w:r>
        <w:rPr>
          <w:rFonts w:ascii="仿宋_GB2312" w:hAnsi="仿宋_GB2312" w:eastAsia="仿宋_GB2312"/>
          <w:sz w:val="32"/>
        </w:rPr>
        <w:t>中共英吉沙县委员会社会工作部无下属预算单位，下设1个科室，分别是：英吉沙县社会工作综合服务保障中心。</w:t>
      </w:r>
    </w:p>
    <w:p w14:paraId="735DB926">
      <w:r>
        <w:br w:type="page"/>
      </w:r>
    </w:p>
    <w:p w14:paraId="08C48D19">
      <w:pPr>
        <w:spacing w:line="240" w:lineRule="auto"/>
        <w:jc w:val="center"/>
        <w:outlineLvl w:val="1"/>
      </w:pPr>
      <w:r>
        <w:rPr>
          <w:rFonts w:ascii="黑体" w:hAnsi="黑体" w:eastAsia="黑体"/>
          <w:sz w:val="32"/>
        </w:rPr>
        <w:t>第二部分 部门决算情况说明</w:t>
      </w:r>
    </w:p>
    <w:p w14:paraId="2927F853">
      <w:pPr>
        <w:spacing w:line="640" w:lineRule="exact"/>
        <w:ind w:firstLine="640"/>
        <w:jc w:val="both"/>
        <w:outlineLvl w:val="2"/>
      </w:pPr>
      <w:r>
        <w:rPr>
          <w:rFonts w:ascii="黑体" w:hAnsi="黑体" w:eastAsia="黑体"/>
          <w:sz w:val="32"/>
        </w:rPr>
        <w:t>一、收入支出决算总体情况说明</w:t>
      </w:r>
    </w:p>
    <w:p w14:paraId="71196356">
      <w:pPr>
        <w:spacing w:line="580" w:lineRule="exact"/>
        <w:ind w:firstLine="640"/>
        <w:jc w:val="both"/>
      </w:pPr>
      <w:r>
        <w:rPr>
          <w:rFonts w:ascii="仿宋_GB2312" w:hAnsi="仿宋_GB2312" w:eastAsia="仿宋_GB2312"/>
          <w:b/>
          <w:sz w:val="32"/>
        </w:rPr>
        <w:t>2024年度收入总计30.24万元，</w:t>
      </w:r>
      <w:r>
        <w:rPr>
          <w:rFonts w:ascii="仿宋_GB2312" w:hAnsi="仿宋_GB2312" w:eastAsia="仿宋_GB2312"/>
          <w:b w:val="0"/>
          <w:sz w:val="32"/>
        </w:rPr>
        <w:t>其中：本年收入合计30.24万元，使用非财政拨款结余（含专用结余）0.00万元，年初结转和结余0.00万元。</w:t>
      </w:r>
    </w:p>
    <w:p w14:paraId="4086B38E">
      <w:pPr>
        <w:spacing w:line="580" w:lineRule="exact"/>
        <w:ind w:firstLine="640"/>
        <w:jc w:val="both"/>
      </w:pPr>
      <w:r>
        <w:rPr>
          <w:rFonts w:ascii="仿宋_GB2312" w:hAnsi="仿宋_GB2312" w:eastAsia="仿宋_GB2312"/>
          <w:b/>
          <w:sz w:val="32"/>
        </w:rPr>
        <w:t>2024年度支出总计30.24万元，</w:t>
      </w:r>
      <w:r>
        <w:rPr>
          <w:rFonts w:ascii="仿宋_GB2312" w:hAnsi="仿宋_GB2312" w:eastAsia="仿宋_GB2312"/>
          <w:b w:val="0"/>
          <w:sz w:val="32"/>
        </w:rPr>
        <w:t>其中：本年支出合计30.24万元，结余分配0.00万元，年末结转和结余0.00万元。</w:t>
      </w:r>
    </w:p>
    <w:p w14:paraId="491B38C4">
      <w:pPr>
        <w:spacing w:line="580" w:lineRule="exact"/>
        <w:ind w:firstLine="640"/>
        <w:jc w:val="both"/>
      </w:pPr>
      <w:r>
        <w:rPr>
          <w:rFonts w:ascii="仿宋_GB2312" w:hAnsi="仿宋_GB2312" w:eastAsia="仿宋_GB2312"/>
          <w:b w:val="0"/>
          <w:sz w:val="32"/>
        </w:rPr>
        <w:t>收入支出总体与上年相比，增加30.24万元，增长100.00%，主要原因是：本单位为新增预算单位，无上年数据。</w:t>
      </w:r>
    </w:p>
    <w:p w14:paraId="12C9298C">
      <w:pPr>
        <w:spacing w:line="640" w:lineRule="exact"/>
        <w:ind w:firstLine="640"/>
        <w:jc w:val="both"/>
        <w:outlineLvl w:val="2"/>
      </w:pPr>
      <w:r>
        <w:rPr>
          <w:rFonts w:ascii="黑体" w:hAnsi="黑体" w:eastAsia="黑体"/>
          <w:sz w:val="32"/>
        </w:rPr>
        <w:t>二、收入决算情况说明</w:t>
      </w:r>
    </w:p>
    <w:p w14:paraId="5424D234">
      <w:pPr>
        <w:spacing w:line="580" w:lineRule="exact"/>
        <w:ind w:firstLine="640"/>
        <w:jc w:val="both"/>
      </w:pPr>
      <w:r>
        <w:rPr>
          <w:rFonts w:ascii="仿宋_GB2312" w:hAnsi="仿宋_GB2312" w:eastAsia="仿宋_GB2312"/>
          <w:b/>
          <w:sz w:val="32"/>
        </w:rPr>
        <w:t>本年收入30.24万元，</w:t>
      </w:r>
      <w:r>
        <w:rPr>
          <w:rFonts w:ascii="仿宋_GB2312" w:hAnsi="仿宋_GB2312" w:eastAsia="仿宋_GB2312"/>
          <w:b w:val="0"/>
          <w:sz w:val="32"/>
        </w:rPr>
        <w:t>其中：财政拨款收入30.24万元，占100.00%；上级补助收入0.00万元，占0.00%；事业收入0.00万元，占0.00%；经营收入0.00万元，占0.00%；附属单位上缴收入0.00万元，占0.00%；其他收入0.00万元，占0.00%。</w:t>
      </w:r>
    </w:p>
    <w:p w14:paraId="18D64957">
      <w:pPr>
        <w:spacing w:line="640" w:lineRule="exact"/>
        <w:ind w:firstLine="640"/>
        <w:jc w:val="both"/>
        <w:outlineLvl w:val="2"/>
      </w:pPr>
      <w:r>
        <w:rPr>
          <w:rFonts w:ascii="黑体" w:hAnsi="黑体" w:eastAsia="黑体"/>
          <w:sz w:val="32"/>
        </w:rPr>
        <w:t>三、支出决算情况说明</w:t>
      </w:r>
    </w:p>
    <w:p w14:paraId="79C0DF3E">
      <w:pPr>
        <w:spacing w:line="580" w:lineRule="exact"/>
        <w:ind w:firstLine="640"/>
        <w:jc w:val="both"/>
      </w:pPr>
      <w:r>
        <w:rPr>
          <w:rFonts w:ascii="仿宋_GB2312" w:hAnsi="仿宋_GB2312" w:eastAsia="仿宋_GB2312"/>
          <w:b/>
          <w:sz w:val="32"/>
        </w:rPr>
        <w:t>本年支出30.24万元，</w:t>
      </w:r>
      <w:r>
        <w:rPr>
          <w:rFonts w:ascii="仿宋_GB2312" w:hAnsi="仿宋_GB2312" w:eastAsia="仿宋_GB2312"/>
          <w:b w:val="0"/>
          <w:sz w:val="32"/>
        </w:rPr>
        <w:t>其中：基本支出30.24万元，占100.00%；项目支出0.00万元，占0.00%；上缴上级支出0.00万元，占0.00%；经营支出0.00万元，占0.00%；对附属单位补助支出0.00万元，占0.00%。</w:t>
      </w:r>
    </w:p>
    <w:p w14:paraId="2F79284B">
      <w:pPr>
        <w:spacing w:line="640" w:lineRule="exact"/>
        <w:ind w:firstLine="640"/>
        <w:jc w:val="both"/>
        <w:outlineLvl w:val="2"/>
      </w:pPr>
      <w:r>
        <w:rPr>
          <w:rFonts w:ascii="黑体" w:hAnsi="黑体" w:eastAsia="黑体"/>
          <w:sz w:val="32"/>
        </w:rPr>
        <w:t>四、财政拨款收入支出决算总体情况说明</w:t>
      </w:r>
    </w:p>
    <w:p w14:paraId="2C43E435">
      <w:pPr>
        <w:spacing w:line="580" w:lineRule="exact"/>
        <w:ind w:firstLine="640"/>
        <w:jc w:val="both"/>
      </w:pPr>
      <w:r>
        <w:rPr>
          <w:rFonts w:ascii="仿宋_GB2312" w:hAnsi="仿宋_GB2312" w:eastAsia="仿宋_GB2312"/>
          <w:b/>
          <w:sz w:val="32"/>
        </w:rPr>
        <w:t>2024年度财政拨款收入总计30.24万元，</w:t>
      </w:r>
      <w:r>
        <w:rPr>
          <w:rFonts w:ascii="仿宋_GB2312" w:hAnsi="仿宋_GB2312" w:eastAsia="仿宋_GB2312"/>
          <w:b w:val="0"/>
          <w:sz w:val="32"/>
        </w:rPr>
        <w:t>其中：年初财政拨款结转和结余0.00万元，本年财政拨款收入30.24万元。</w:t>
      </w:r>
      <w:r>
        <w:rPr>
          <w:rFonts w:ascii="仿宋_GB2312" w:hAnsi="仿宋_GB2312" w:eastAsia="仿宋_GB2312"/>
          <w:b/>
          <w:sz w:val="32"/>
        </w:rPr>
        <w:t>财政拨款支出总计30.24万元，</w:t>
      </w:r>
      <w:r>
        <w:rPr>
          <w:rFonts w:ascii="仿宋_GB2312" w:hAnsi="仿宋_GB2312" w:eastAsia="仿宋_GB2312"/>
          <w:b w:val="0"/>
          <w:sz w:val="32"/>
        </w:rPr>
        <w:t>其中：年末财政拨款结转和结余0.00万元，本年财政拨款支出30.24万元。</w:t>
      </w:r>
    </w:p>
    <w:p w14:paraId="763EF2B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增加30.24万元，增长100.00%，主要原因是：本单位为新增预算单位，无上年数据。</w:t>
      </w:r>
      <w:r>
        <w:rPr>
          <w:rFonts w:ascii="仿宋_GB2312" w:hAnsi="仿宋_GB2312" w:eastAsia="仿宋_GB2312"/>
          <w:b/>
          <w:sz w:val="32"/>
        </w:rPr>
        <w:t>与年初预算相比，</w:t>
      </w:r>
      <w:r>
        <w:rPr>
          <w:rFonts w:ascii="仿宋_GB2312" w:hAnsi="仿宋_GB2312" w:eastAsia="仿宋_GB2312"/>
          <w:b w:val="0"/>
          <w:sz w:val="32"/>
        </w:rPr>
        <w:t>年初预算数0.00万元，决算数30.24万元，预决算差异率100.00%，主要原因是：年中追加人员工资、社保、公积金基数调增资金，公用经费，导致预决算差异。</w:t>
      </w:r>
    </w:p>
    <w:p w14:paraId="2FBF24D3">
      <w:pPr>
        <w:spacing w:line="640" w:lineRule="exact"/>
        <w:ind w:firstLine="640"/>
        <w:jc w:val="both"/>
        <w:outlineLvl w:val="2"/>
      </w:pPr>
      <w:r>
        <w:rPr>
          <w:rFonts w:ascii="黑体" w:hAnsi="黑体" w:eastAsia="黑体"/>
          <w:sz w:val="32"/>
        </w:rPr>
        <w:t>五、一般公共预算财政拨款支出决算情况说明</w:t>
      </w:r>
    </w:p>
    <w:p w14:paraId="6978B6D2">
      <w:pPr>
        <w:spacing w:line="640" w:lineRule="exact"/>
        <w:ind w:firstLine="640"/>
        <w:jc w:val="both"/>
        <w:outlineLvl w:val="3"/>
      </w:pPr>
      <w:r>
        <w:rPr>
          <w:rFonts w:ascii="楷体_GB2312" w:hAnsi="楷体_GB2312" w:eastAsia="楷体_GB2312"/>
          <w:b/>
          <w:sz w:val="32"/>
        </w:rPr>
        <w:t>（一）一般公共预算财政拨款支出决算总体情况</w:t>
      </w:r>
    </w:p>
    <w:p w14:paraId="19713287">
      <w:pPr>
        <w:spacing w:line="580" w:lineRule="exact"/>
        <w:ind w:firstLine="640"/>
        <w:jc w:val="both"/>
      </w:pPr>
      <w:r>
        <w:rPr>
          <w:rFonts w:ascii="仿宋_GB2312" w:hAnsi="仿宋_GB2312" w:eastAsia="仿宋_GB2312"/>
          <w:b/>
          <w:sz w:val="32"/>
        </w:rPr>
        <w:t>2024年度一般公共预算财政拨款支出30.24万元，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增加30.24万元，增长100.00%，主要原因是：本单位为新增预算单位，无上年数据。</w:t>
      </w:r>
      <w:r>
        <w:rPr>
          <w:rFonts w:ascii="仿宋_GB2312" w:hAnsi="仿宋_GB2312" w:eastAsia="仿宋_GB2312"/>
          <w:b/>
          <w:sz w:val="32"/>
        </w:rPr>
        <w:t>与年初预算相比,</w:t>
      </w:r>
      <w:r>
        <w:rPr>
          <w:rFonts w:ascii="仿宋_GB2312" w:hAnsi="仿宋_GB2312" w:eastAsia="仿宋_GB2312"/>
          <w:b w:val="0"/>
          <w:sz w:val="32"/>
        </w:rPr>
        <w:t>年初预算数0.00万元，决算数30.24万元，预决算差异率100.00%，主要原因是：年中追加人员工资、社保、公积金基数调增资金，公用经费，导致预决算差异。</w:t>
      </w:r>
    </w:p>
    <w:p w14:paraId="0697482A">
      <w:pPr>
        <w:spacing w:line="640" w:lineRule="exact"/>
        <w:ind w:firstLine="640"/>
        <w:jc w:val="both"/>
        <w:outlineLvl w:val="3"/>
      </w:pPr>
      <w:r>
        <w:rPr>
          <w:rFonts w:ascii="楷体_GB2312" w:hAnsi="楷体_GB2312" w:eastAsia="楷体_GB2312"/>
          <w:b/>
          <w:sz w:val="32"/>
        </w:rPr>
        <w:t>（二）一般公共预算财政拨款支出决算结构情况</w:t>
      </w:r>
    </w:p>
    <w:p w14:paraId="22E2B4B4">
      <w:pPr>
        <w:spacing w:line="580" w:lineRule="exact"/>
        <w:ind w:firstLine="640"/>
        <w:jc w:val="both"/>
      </w:pPr>
      <w:r>
        <w:rPr>
          <w:rFonts w:ascii="仿宋_GB2312" w:hAnsi="仿宋_GB2312" w:eastAsia="仿宋_GB2312"/>
          <w:b w:val="0"/>
          <w:sz w:val="32"/>
        </w:rPr>
        <w:t>1.一般公共服务支出(类)23.20万元,占76.72%。</w:t>
      </w:r>
    </w:p>
    <w:p w14:paraId="4E4ADA19">
      <w:pPr>
        <w:spacing w:line="580" w:lineRule="exact"/>
        <w:ind w:firstLine="640"/>
        <w:jc w:val="both"/>
      </w:pPr>
      <w:r>
        <w:rPr>
          <w:rFonts w:ascii="仿宋_GB2312" w:hAnsi="仿宋_GB2312" w:eastAsia="仿宋_GB2312"/>
          <w:b w:val="0"/>
          <w:sz w:val="32"/>
        </w:rPr>
        <w:t>2.社会保障和就业支出(类)2.96万元,占9.79%。</w:t>
      </w:r>
    </w:p>
    <w:p w14:paraId="20F224D4">
      <w:pPr>
        <w:spacing w:line="580" w:lineRule="exact"/>
        <w:ind w:firstLine="640"/>
        <w:jc w:val="both"/>
      </w:pPr>
      <w:r>
        <w:rPr>
          <w:rFonts w:ascii="仿宋_GB2312" w:hAnsi="仿宋_GB2312" w:eastAsia="仿宋_GB2312"/>
          <w:b w:val="0"/>
          <w:sz w:val="32"/>
        </w:rPr>
        <w:t>3.卫生健康支出(类)1.63万元,占5.39%。</w:t>
      </w:r>
    </w:p>
    <w:p w14:paraId="13A2FAC8">
      <w:pPr>
        <w:spacing w:line="580" w:lineRule="exact"/>
        <w:ind w:firstLine="640"/>
        <w:jc w:val="both"/>
      </w:pPr>
      <w:r>
        <w:rPr>
          <w:rFonts w:ascii="仿宋_GB2312" w:hAnsi="仿宋_GB2312" w:eastAsia="仿宋_GB2312"/>
          <w:b w:val="0"/>
          <w:sz w:val="32"/>
        </w:rPr>
        <w:t>4.住房保障支出(类)2.45万元,占8.10%。</w:t>
      </w:r>
    </w:p>
    <w:p w14:paraId="19EB86E1">
      <w:pPr>
        <w:spacing w:line="640" w:lineRule="exact"/>
        <w:ind w:firstLine="640"/>
        <w:jc w:val="both"/>
        <w:outlineLvl w:val="3"/>
      </w:pPr>
      <w:r>
        <w:rPr>
          <w:rFonts w:ascii="楷体_GB2312" w:hAnsi="楷体_GB2312" w:eastAsia="楷体_GB2312"/>
          <w:b/>
          <w:sz w:val="32"/>
        </w:rPr>
        <w:t>（三）一般公共预算财政拨款支出决算具体情况</w:t>
      </w:r>
    </w:p>
    <w:p w14:paraId="0CB341FC">
      <w:pPr>
        <w:spacing w:line="580" w:lineRule="exact"/>
        <w:ind w:firstLine="640"/>
        <w:jc w:val="both"/>
      </w:pPr>
      <w:r>
        <w:rPr>
          <w:rFonts w:ascii="仿宋_GB2312" w:hAnsi="仿宋_GB2312" w:eastAsia="仿宋_GB2312"/>
          <w:b w:val="0"/>
          <w:sz w:val="32"/>
        </w:rPr>
        <w:t>1.一般公共服务支出(类)统计信息事务(款)行政运行(项):支出决算数为1.49万元，比上年决算增加1.49万元，增长100.00%,主要原因是：本单位为新增预算单位，无上年数据。</w:t>
      </w:r>
    </w:p>
    <w:p w14:paraId="60864765">
      <w:pPr>
        <w:spacing w:line="580" w:lineRule="exact"/>
        <w:ind w:firstLine="640"/>
        <w:jc w:val="both"/>
      </w:pPr>
      <w:r>
        <w:rPr>
          <w:rFonts w:ascii="仿宋_GB2312" w:hAnsi="仿宋_GB2312" w:eastAsia="仿宋_GB2312"/>
          <w:b w:val="0"/>
          <w:sz w:val="32"/>
        </w:rPr>
        <w:t>2.一般公共服务支出(类)统计信息事务(款)事业运行(项):支出决算数为0.19万元，比上年决算增加0.19万元，增长100.00%,主要原因是：本单位为新增预算单位，无上年数据。</w:t>
      </w:r>
    </w:p>
    <w:p w14:paraId="0CD67032">
      <w:pPr>
        <w:spacing w:line="580" w:lineRule="exact"/>
        <w:ind w:firstLine="640"/>
        <w:jc w:val="both"/>
      </w:pPr>
      <w:r>
        <w:rPr>
          <w:rFonts w:ascii="仿宋_GB2312" w:hAnsi="仿宋_GB2312" w:eastAsia="仿宋_GB2312"/>
          <w:b w:val="0"/>
          <w:sz w:val="32"/>
        </w:rPr>
        <w:t>3.一般公共服务支出(类)社会工作事务(款)行政运行(项):支出决算数为21.52万元，比上年决算增加21.52万元，增长100.00%,主要原因是：本单位为新增预算单位，无上年数据。</w:t>
      </w:r>
    </w:p>
    <w:p w14:paraId="63AE438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4.社会保障和就业支出(类)行政事业单位养老支出(款)机关事业单位基本养老保险缴费支出(项):支出决算数为2.96万元，比上年决算增加2.96万元，增长100.00%,主要原因是：本单位为新增预算单位，无上年数据。</w:t>
      </w:r>
    </w:p>
    <w:p w14:paraId="6C8E484B">
      <w:pPr>
        <w:spacing w:line="580" w:lineRule="exact"/>
        <w:ind w:firstLine="640"/>
        <w:jc w:val="both"/>
      </w:pPr>
      <w:r>
        <w:rPr>
          <w:rFonts w:ascii="仿宋_GB2312" w:hAnsi="仿宋_GB2312" w:eastAsia="仿宋_GB2312"/>
          <w:b w:val="0"/>
          <w:sz w:val="32"/>
        </w:rPr>
        <w:t>5.卫生健康支出(类)行政事业单位医疗(款)行政单位医疗(项):支出决算数为1.26万元，比上年决算增加1.26万元，增长100.00%,主要原因是：本单位为新增预算单位，无上年数据。</w:t>
      </w:r>
    </w:p>
    <w:p w14:paraId="64C88DC3">
      <w:pPr>
        <w:spacing w:line="580" w:lineRule="exact"/>
        <w:ind w:firstLine="640"/>
        <w:jc w:val="both"/>
      </w:pPr>
      <w:r>
        <w:rPr>
          <w:rFonts w:ascii="仿宋_GB2312" w:hAnsi="仿宋_GB2312" w:eastAsia="仿宋_GB2312"/>
          <w:b w:val="0"/>
          <w:sz w:val="32"/>
        </w:rPr>
        <w:t>6.卫生健康支出(类)行政事业单位医疗(款)公务员医疗补助(项):支出决算数为0.37万元，比上年决算增加0.37万元，增长100.00%,主要原因是：本单位为新增预算单位，无上年数据。</w:t>
      </w:r>
    </w:p>
    <w:p w14:paraId="44A3D4DF">
      <w:pPr>
        <w:spacing w:line="580" w:lineRule="exact"/>
        <w:ind w:firstLine="640"/>
        <w:jc w:val="both"/>
      </w:pPr>
      <w:r>
        <w:rPr>
          <w:rFonts w:ascii="仿宋_GB2312" w:hAnsi="仿宋_GB2312" w:eastAsia="仿宋_GB2312"/>
          <w:b w:val="0"/>
          <w:sz w:val="32"/>
        </w:rPr>
        <w:t>7.住房保障支出(类)住房改革支出(款)住房公积金(项):支出决算数为2.45万元，比上年决算增加2.45万元，增长100.00%,主要原因是：本单位为新增预算单位，无上年数据。</w:t>
      </w:r>
    </w:p>
    <w:p w14:paraId="4054CA25">
      <w:pPr>
        <w:spacing w:line="640" w:lineRule="exact"/>
        <w:ind w:firstLine="640"/>
        <w:jc w:val="both"/>
        <w:outlineLvl w:val="2"/>
      </w:pPr>
      <w:r>
        <w:rPr>
          <w:rFonts w:ascii="黑体" w:hAnsi="黑体" w:eastAsia="黑体"/>
          <w:sz w:val="32"/>
        </w:rPr>
        <w:t>六、一般公共预算财政拨款基本支出决算情况说明</w:t>
      </w:r>
    </w:p>
    <w:p w14:paraId="160E3AA6">
      <w:pPr>
        <w:spacing w:line="580" w:lineRule="exact"/>
        <w:ind w:firstLine="640"/>
        <w:jc w:val="both"/>
      </w:pPr>
      <w:r>
        <w:rPr>
          <w:rFonts w:ascii="仿宋_GB2312" w:hAnsi="仿宋_GB2312" w:eastAsia="仿宋_GB2312"/>
          <w:b w:val="0"/>
          <w:sz w:val="32"/>
        </w:rPr>
        <w:t>2024年度一般公共预算财政拨款基本支出30.24万元，其中：</w:t>
      </w:r>
      <w:r>
        <w:rPr>
          <w:rFonts w:ascii="仿宋_GB2312" w:hAnsi="仿宋_GB2312" w:eastAsia="仿宋_GB2312"/>
          <w:b/>
          <w:sz w:val="32"/>
        </w:rPr>
        <w:t>人员经费29.24万元，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14:paraId="2794AB8F">
      <w:pPr>
        <w:spacing w:line="580" w:lineRule="exact"/>
        <w:ind w:firstLine="640"/>
        <w:jc w:val="both"/>
      </w:pPr>
      <w:r>
        <w:rPr>
          <w:rFonts w:ascii="仿宋_GB2312" w:hAnsi="仿宋_GB2312" w:eastAsia="仿宋_GB2312"/>
          <w:b/>
          <w:sz w:val="32"/>
        </w:rPr>
        <w:t>公用经费1.00万元，</w:t>
      </w:r>
      <w:r>
        <w:rPr>
          <w:rFonts w:ascii="仿宋_GB2312" w:hAnsi="仿宋_GB2312" w:eastAsia="仿宋_GB2312"/>
          <w:b w:val="0"/>
          <w:sz w:val="32"/>
        </w:rPr>
        <w:t>包括：办公费。</w:t>
      </w:r>
    </w:p>
    <w:p w14:paraId="5B630371">
      <w:pPr>
        <w:spacing w:line="640" w:lineRule="exact"/>
        <w:ind w:firstLine="640"/>
        <w:jc w:val="both"/>
        <w:outlineLvl w:val="2"/>
      </w:pPr>
      <w:r>
        <w:rPr>
          <w:rFonts w:ascii="黑体" w:hAnsi="黑体" w:eastAsia="黑体"/>
          <w:sz w:val="32"/>
        </w:rPr>
        <w:t>七、政府性基金预算财政拨款收入支出决算情况说明</w:t>
      </w:r>
    </w:p>
    <w:p w14:paraId="59DA36F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96D50FD">
      <w:pPr>
        <w:spacing w:line="640" w:lineRule="exact"/>
        <w:ind w:firstLine="640"/>
        <w:jc w:val="both"/>
        <w:outlineLvl w:val="2"/>
      </w:pPr>
      <w:r>
        <w:rPr>
          <w:rFonts w:ascii="黑体" w:hAnsi="黑体" w:eastAsia="黑体"/>
          <w:sz w:val="32"/>
        </w:rPr>
        <w:t>八、国有资本经营预算财政拨款收入支出决算情况说明</w:t>
      </w:r>
    </w:p>
    <w:p w14:paraId="5619D9B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E7CCE6">
      <w:pPr>
        <w:spacing w:line="640" w:lineRule="exact"/>
        <w:ind w:firstLine="640"/>
        <w:jc w:val="both"/>
        <w:outlineLvl w:val="2"/>
      </w:pPr>
      <w:r>
        <w:rPr>
          <w:rFonts w:ascii="黑体" w:hAnsi="黑体" w:eastAsia="黑体"/>
          <w:sz w:val="32"/>
        </w:rPr>
        <w:t>九、财政拨款“三公”经费支出决算情况说明</w:t>
      </w:r>
    </w:p>
    <w:p w14:paraId="0F1A93B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2E0C2E79">
      <w:pPr>
        <w:spacing w:line="580" w:lineRule="exact"/>
        <w:ind w:firstLine="640"/>
        <w:jc w:val="both"/>
      </w:pPr>
      <w:r>
        <w:rPr>
          <w:rFonts w:ascii="仿宋_GB2312" w:hAnsi="仿宋_GB2312" w:eastAsia="仿宋_GB2312"/>
          <w:b/>
          <w:sz w:val="32"/>
        </w:rPr>
        <w:t>具体情况如下：</w:t>
      </w:r>
    </w:p>
    <w:p w14:paraId="084C67E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8A5A8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6D5CE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CB01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06DE607">
      <w:pPr>
        <w:spacing w:line="640" w:lineRule="exact"/>
        <w:ind w:firstLine="640"/>
        <w:jc w:val="both"/>
        <w:outlineLvl w:val="2"/>
      </w:pPr>
      <w:r>
        <w:rPr>
          <w:rFonts w:ascii="黑体" w:hAnsi="黑体" w:eastAsia="黑体"/>
          <w:sz w:val="32"/>
        </w:rPr>
        <w:t>十、其他重要事项的情况说明</w:t>
      </w:r>
    </w:p>
    <w:p w14:paraId="5F767434">
      <w:pPr>
        <w:spacing w:line="640" w:lineRule="exact"/>
        <w:ind w:firstLine="640"/>
        <w:jc w:val="both"/>
        <w:outlineLvl w:val="3"/>
      </w:pPr>
      <w:r>
        <w:rPr>
          <w:rFonts w:ascii="楷体_GB2312" w:hAnsi="楷体_GB2312" w:eastAsia="楷体_GB2312"/>
          <w:b/>
          <w:sz w:val="32"/>
        </w:rPr>
        <w:t>（一）机关运行经费及公用经费支出情况</w:t>
      </w:r>
    </w:p>
    <w:p w14:paraId="70085109">
      <w:pPr>
        <w:spacing w:line="580" w:lineRule="exact"/>
        <w:ind w:firstLine="640"/>
        <w:jc w:val="both"/>
      </w:pPr>
      <w:r>
        <w:rPr>
          <w:rFonts w:ascii="仿宋_GB2312" w:hAnsi="仿宋_GB2312" w:eastAsia="仿宋_GB2312"/>
          <w:b w:val="0"/>
          <w:sz w:val="32"/>
        </w:rPr>
        <w:t>2024年度中共英吉沙县委员会社会工作部（行政单位和参照公务员法管理事业单位）机关运行经费支出1.00万元，比上年增加1.00万元，增长100.00%，主要原因是：本单位为新增预算单位，无上年数据。</w:t>
      </w:r>
    </w:p>
    <w:p w14:paraId="31787C1F">
      <w:pPr>
        <w:spacing w:line="640" w:lineRule="exact"/>
        <w:ind w:firstLine="640"/>
        <w:jc w:val="both"/>
        <w:outlineLvl w:val="3"/>
      </w:pPr>
      <w:r>
        <w:rPr>
          <w:rFonts w:ascii="楷体_GB2312" w:hAnsi="楷体_GB2312" w:eastAsia="楷体_GB2312"/>
          <w:b/>
          <w:sz w:val="32"/>
        </w:rPr>
        <w:t>（二）政府采购情况</w:t>
      </w:r>
    </w:p>
    <w:p w14:paraId="20F087BF">
      <w:pPr>
        <w:spacing w:line="580" w:lineRule="exact"/>
        <w:ind w:firstLine="640"/>
        <w:jc w:val="both"/>
      </w:pPr>
      <w:r>
        <w:rPr>
          <w:rFonts w:ascii="仿宋_GB2312" w:hAnsi="仿宋_GB2312" w:eastAsia="仿宋_GB2312"/>
          <w:b w:val="0"/>
          <w:sz w:val="32"/>
        </w:rPr>
        <w:t>2024年度政府采购支出总额0.08万元，其中：政府采购货物支出0.08万元、政府采购工程支出0.00万元、政府采购服务支出0.00万元。</w:t>
      </w:r>
    </w:p>
    <w:p w14:paraId="115D8BB7">
      <w:pPr>
        <w:spacing w:line="580" w:lineRule="exact"/>
        <w:ind w:firstLine="640"/>
        <w:jc w:val="both"/>
      </w:pPr>
      <w:r>
        <w:rPr>
          <w:rFonts w:ascii="仿宋_GB2312" w:hAnsi="仿宋_GB2312" w:eastAsia="仿宋_GB2312"/>
          <w:b w:val="0"/>
          <w:sz w:val="32"/>
        </w:rPr>
        <w:t>授予中小企业合同金额0.08万元，占政府采购支出总额的100.00%，其中：授予小微企业合同金额0.08万元，占政府采购支出总额的100.00%。</w:t>
      </w:r>
    </w:p>
    <w:p w14:paraId="48B17FF0">
      <w:pPr>
        <w:spacing w:line="640" w:lineRule="exact"/>
        <w:ind w:firstLine="640"/>
        <w:jc w:val="both"/>
        <w:outlineLvl w:val="3"/>
      </w:pPr>
      <w:r>
        <w:rPr>
          <w:rFonts w:ascii="楷体_GB2312" w:hAnsi="楷体_GB2312" w:eastAsia="楷体_GB2312"/>
          <w:b/>
          <w:sz w:val="32"/>
        </w:rPr>
        <w:t>（三）国有资产占用情况说明</w:t>
      </w:r>
    </w:p>
    <w:p w14:paraId="20B1B52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E12E3D6">
      <w:pPr>
        <w:spacing w:line="640" w:lineRule="exact"/>
        <w:ind w:firstLine="640"/>
        <w:jc w:val="both"/>
        <w:outlineLvl w:val="2"/>
      </w:pPr>
      <w:r>
        <w:rPr>
          <w:rFonts w:ascii="黑体" w:hAnsi="黑体" w:eastAsia="黑体"/>
          <w:sz w:val="32"/>
        </w:rPr>
        <w:t>十一、预算绩效的情况说明</w:t>
      </w:r>
    </w:p>
    <w:p w14:paraId="190379E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30.24万元，实际执行总额30.24万元；预算绩效评价项目1个，全年预算数1.00万元，全年执行数1.00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管理专业人员匮乏，规范管理有盲点。预算绩效管理工作的覆盖面广、专业性强，预算单位在开展日常管理，需要具备一定专业素养和实战经验的人。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195DF40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3449F7">
        <w:tblPrEx>
          <w:tblCellMar>
            <w:top w:w="0" w:type="dxa"/>
            <w:left w:w="108" w:type="dxa"/>
            <w:bottom w:w="0" w:type="dxa"/>
            <w:right w:w="108" w:type="dxa"/>
          </w:tblCellMar>
        </w:tblPrEx>
        <w:tc>
          <w:tcPr>
            <w:tcW w:w="8847" w:type="dxa"/>
            <w:gridSpan w:val="9"/>
            <w:vAlign w:val="center"/>
          </w:tcPr>
          <w:p w14:paraId="61905775">
            <w:pPr>
              <w:jc w:val="center"/>
            </w:pPr>
            <w:r>
              <w:rPr>
                <w:rFonts w:ascii="宋体" w:hAnsi="宋体" w:eastAsia="宋体"/>
                <w:sz w:val="24"/>
              </w:rPr>
              <w:t>单位整体支出绩效自评表</w:t>
            </w:r>
          </w:p>
        </w:tc>
      </w:tr>
      <w:tr w14:paraId="3343A74A">
        <w:tblPrEx>
          <w:tblCellMar>
            <w:top w:w="0" w:type="dxa"/>
            <w:left w:w="108" w:type="dxa"/>
            <w:bottom w:w="0" w:type="dxa"/>
            <w:right w:w="108" w:type="dxa"/>
          </w:tblCellMar>
        </w:tblPrEx>
        <w:tc>
          <w:tcPr>
            <w:tcW w:w="8847" w:type="dxa"/>
            <w:gridSpan w:val="9"/>
            <w:vAlign w:val="center"/>
          </w:tcPr>
          <w:p w14:paraId="4C48CB7F">
            <w:pPr>
              <w:jc w:val="center"/>
            </w:pPr>
            <w:r>
              <w:rPr>
                <w:rFonts w:ascii="宋体" w:hAnsi="宋体" w:eastAsia="宋体"/>
                <w:sz w:val="24"/>
              </w:rPr>
              <w:t>（2024年度）</w:t>
            </w:r>
          </w:p>
        </w:tc>
      </w:tr>
      <w:tr w14:paraId="1231D8D0">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9EB5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8DAF52">
            <w:pPr>
              <w:jc w:val="center"/>
            </w:pPr>
            <w:r>
              <w:rPr>
                <w:rFonts w:ascii="宋体" w:hAnsi="宋体" w:eastAsia="宋体"/>
                <w:sz w:val="16"/>
              </w:rPr>
              <w:t>中共英吉沙县委员会社会工作部</w:t>
            </w:r>
          </w:p>
        </w:tc>
      </w:tr>
      <w:tr w14:paraId="5AD18D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34CA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221C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5C67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6D48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3B89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21D4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EB63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C923">
            <w:pPr>
              <w:jc w:val="center"/>
            </w:pPr>
            <w:r>
              <w:rPr>
                <w:rFonts w:ascii="宋体" w:hAnsi="宋体" w:eastAsia="宋体"/>
                <w:sz w:val="16"/>
              </w:rPr>
              <w:t>得分</w:t>
            </w:r>
          </w:p>
        </w:tc>
      </w:tr>
      <w:tr w14:paraId="7CACDE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E07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635F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674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93D35">
            <w:pPr>
              <w:jc w:val="center"/>
            </w:pPr>
            <w:r>
              <w:rPr>
                <w:rFonts w:ascii="宋体" w:hAnsi="宋体" w:eastAsia="宋体"/>
                <w:sz w:val="16"/>
              </w:rPr>
              <w:t>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F1734">
            <w:pPr>
              <w:jc w:val="center"/>
            </w:pPr>
            <w:r>
              <w:rPr>
                <w:rFonts w:ascii="宋体" w:hAnsi="宋体" w:eastAsia="宋体"/>
                <w:sz w:val="16"/>
              </w:rPr>
              <w:t>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7F1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499A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02B0C">
            <w:pPr>
              <w:jc w:val="center"/>
            </w:pPr>
            <w:r>
              <w:rPr>
                <w:rFonts w:ascii="宋体" w:hAnsi="宋体" w:eastAsia="宋体"/>
                <w:sz w:val="16"/>
              </w:rPr>
              <w:t>10</w:t>
            </w:r>
          </w:p>
        </w:tc>
      </w:tr>
      <w:tr w14:paraId="136D78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AA1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4958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8B5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15D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60A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51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B23C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36B0">
            <w:pPr>
              <w:jc w:val="center"/>
            </w:pPr>
            <w:r>
              <w:rPr>
                <w:rFonts w:ascii="宋体" w:hAnsi="宋体" w:eastAsia="宋体"/>
                <w:sz w:val="16"/>
              </w:rPr>
              <w:t>—</w:t>
            </w:r>
          </w:p>
        </w:tc>
      </w:tr>
      <w:tr w14:paraId="46A73107">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E82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1086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F32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4155F">
            <w:pPr>
              <w:jc w:val="center"/>
            </w:pPr>
            <w:r>
              <w:rPr>
                <w:rFonts w:ascii="宋体" w:hAnsi="宋体" w:eastAsia="宋体"/>
                <w:sz w:val="16"/>
              </w:rPr>
              <w:t>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EF5C0">
            <w:pPr>
              <w:jc w:val="center"/>
            </w:pPr>
            <w:r>
              <w:rPr>
                <w:rFonts w:ascii="宋体" w:hAnsi="宋体" w:eastAsia="宋体"/>
                <w:sz w:val="16"/>
              </w:rPr>
              <w:t>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2F3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FB68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EFCF">
            <w:pPr>
              <w:jc w:val="center"/>
            </w:pPr>
            <w:r>
              <w:rPr>
                <w:rFonts w:ascii="宋体" w:hAnsi="宋体" w:eastAsia="宋体"/>
                <w:sz w:val="16"/>
              </w:rPr>
              <w:t>—</w:t>
            </w:r>
          </w:p>
        </w:tc>
      </w:tr>
      <w:tr w14:paraId="0E7FF4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D53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CE72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176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A99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EC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2A1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56B9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62CF8">
            <w:pPr>
              <w:jc w:val="center"/>
            </w:pPr>
            <w:r>
              <w:rPr>
                <w:rFonts w:ascii="宋体" w:hAnsi="宋体" w:eastAsia="宋体"/>
                <w:sz w:val="16"/>
              </w:rPr>
              <w:t>—</w:t>
            </w:r>
          </w:p>
        </w:tc>
      </w:tr>
      <w:tr w14:paraId="187218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389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1C860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41FC17">
            <w:pPr>
              <w:jc w:val="center"/>
            </w:pPr>
            <w:r>
              <w:rPr>
                <w:rFonts w:ascii="宋体" w:hAnsi="宋体" w:eastAsia="宋体"/>
                <w:sz w:val="16"/>
              </w:rPr>
              <w:t>实际完成情况</w:t>
            </w:r>
          </w:p>
        </w:tc>
      </w:tr>
      <w:tr w14:paraId="7B2160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634AB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1288DD">
            <w:pPr>
              <w:jc w:val="both"/>
            </w:pPr>
            <w:r>
              <w:rPr>
                <w:rFonts w:ascii="宋体" w:hAnsi="宋体" w:eastAsia="宋体"/>
                <w:sz w:val="16"/>
              </w:rPr>
              <w:t>2024年县委社会工作部以习近平新时代中国特色社会主义思想为指导，认真学习贯彻党的二十大精神，贯彻新时代党的组织路线，努力将基层党组织建设成为有效实现党的领导的坚强</w:t>
            </w:r>
            <w:r>
              <w:rPr>
                <w:rFonts w:hint="eastAsia" w:ascii="宋体" w:hAnsi="宋体"/>
                <w:sz w:val="16"/>
                <w:lang w:eastAsia="zh-CN"/>
              </w:rPr>
              <w:t>战斗堡</w:t>
            </w:r>
            <w:r>
              <w:rPr>
                <w:rFonts w:ascii="宋体" w:hAnsi="宋体" w:eastAsia="宋体"/>
                <w:sz w:val="16"/>
              </w:rPr>
              <w:t>垒。从以下几个方面开展工作；一、抓好组建工作。二、加强政治理论学习。三、强化部门沟通凝聚工作合力。四、推动两企三新党建工作。五、推进党建引领基层治理和基层政权建设。六、健全协调联动志愿服务体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2832EF">
            <w:pPr>
              <w:jc w:val="both"/>
            </w:pPr>
            <w:r>
              <w:rPr>
                <w:rFonts w:ascii="宋体" w:hAnsi="宋体" w:eastAsia="宋体"/>
                <w:sz w:val="16"/>
              </w:rPr>
              <w:t>2024年县委社工部以习近平新时代中国特色社会主义思想为指导，切实落实了以下工作：1、推动两企三新工作数量，企业建立党组织32个，有效促进企业和社会组织的发展，推动社会创新和社会治理现代化。2、推动组建暖心驿站，联合县总工会组建暖心驿站10处，为新就业群体、户外劳动者及社区居民提供便利服务和关怀，这些驿站通过整合资源、创新服务模式，成为传递社会温暖的重要平台。3、根据三定工作要求，指导信访工作，通过政策指导、调研</w:t>
            </w:r>
            <w:r>
              <w:rPr>
                <w:rFonts w:hint="eastAsia" w:ascii="宋体" w:hAnsi="宋体"/>
                <w:sz w:val="16"/>
                <w:lang w:eastAsia="zh-CN"/>
              </w:rPr>
              <w:t>督查</w:t>
            </w:r>
            <w:r>
              <w:rPr>
                <w:rFonts w:ascii="宋体" w:hAnsi="宋体" w:eastAsia="宋体"/>
                <w:sz w:val="16"/>
              </w:rPr>
              <w:t>等方式，督促信访工作的有序开展，全年接待信访案件169件271人次。按照规定指导信访案件接访和督促办结完成，逐步提高办结效率，正在化解案件29件，达到化解完成率82.8%。4、会同组织、编办等部门逐乡（镇）同14名党委书记见面沟通，指导乡镇清理规范村（社区）组织“滥挂牌”工作，持续推动基层减负工作。目前，村（社区）已累计清理挂牌502个。</w:t>
            </w:r>
          </w:p>
        </w:tc>
      </w:tr>
      <w:tr w14:paraId="520B20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FBBA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999C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53EB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8551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ACE4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79BA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ACFE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CA1E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82609">
            <w:pPr>
              <w:jc w:val="center"/>
            </w:pPr>
            <w:r>
              <w:rPr>
                <w:rFonts w:ascii="宋体" w:hAnsi="宋体" w:eastAsia="宋体"/>
                <w:sz w:val="16"/>
              </w:rPr>
              <w:t>得分</w:t>
            </w:r>
          </w:p>
        </w:tc>
      </w:tr>
      <w:tr w14:paraId="2BC13A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1E2B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19C4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9717E">
            <w:pPr>
              <w:jc w:val="center"/>
            </w:pPr>
            <w:r>
              <w:rPr>
                <w:rFonts w:ascii="宋体" w:hAnsi="宋体" w:eastAsia="宋体"/>
                <w:sz w:val="16"/>
              </w:rPr>
              <w:t>信访案件接待次数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278AF">
            <w:pPr>
              <w:jc w:val="center"/>
            </w:pPr>
            <w:r>
              <w:rPr>
                <w:rFonts w:ascii="宋体" w:hAnsi="宋体" w:eastAsia="宋体"/>
                <w:sz w:val="16"/>
              </w:rPr>
              <w:t>=271次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F3C74">
            <w:pPr>
              <w:jc w:val="center"/>
            </w:pPr>
            <w:r>
              <w:rPr>
                <w:rFonts w:ascii="宋体" w:hAnsi="宋体" w:eastAsia="宋体"/>
                <w:sz w:val="16"/>
              </w:rPr>
              <w:t>英吉沙县委社会工作部24年工作计划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916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CFC80">
            <w:pPr>
              <w:jc w:val="center"/>
            </w:pPr>
            <w:r>
              <w:rPr>
                <w:rFonts w:ascii="宋体" w:hAnsi="宋体" w:eastAsia="宋体"/>
                <w:sz w:val="16"/>
              </w:rPr>
              <w:t>=271次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AE2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3C1B8">
            <w:pPr>
              <w:jc w:val="center"/>
            </w:pPr>
            <w:r>
              <w:rPr>
                <w:rFonts w:ascii="宋体" w:hAnsi="宋体" w:eastAsia="宋体"/>
                <w:sz w:val="16"/>
              </w:rPr>
              <w:t>10</w:t>
            </w:r>
          </w:p>
        </w:tc>
      </w:tr>
      <w:tr w14:paraId="7D3839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3F35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6E6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FC48E">
            <w:pPr>
              <w:jc w:val="center"/>
            </w:pPr>
            <w:r>
              <w:rPr>
                <w:rFonts w:ascii="宋体" w:hAnsi="宋体" w:eastAsia="宋体"/>
                <w:sz w:val="16"/>
              </w:rPr>
              <w:t>推动两企三新工作数量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E83ED">
            <w:pPr>
              <w:jc w:val="center"/>
            </w:pPr>
            <w:r>
              <w:rPr>
                <w:rFonts w:ascii="宋体" w:hAnsi="宋体" w:eastAsia="宋体"/>
                <w:sz w:val="16"/>
              </w:rPr>
              <w:t>=32个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F382">
            <w:pPr>
              <w:jc w:val="center"/>
            </w:pPr>
            <w:r>
              <w:rPr>
                <w:rFonts w:ascii="宋体" w:hAnsi="宋体" w:eastAsia="宋体"/>
                <w:sz w:val="16"/>
              </w:rPr>
              <w:t>英吉沙县委社会工作部24年工作计划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B95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1AED9">
            <w:pPr>
              <w:jc w:val="center"/>
            </w:pPr>
            <w:r>
              <w:rPr>
                <w:rFonts w:ascii="宋体" w:hAnsi="宋体" w:eastAsia="宋体"/>
                <w:sz w:val="16"/>
              </w:rPr>
              <w:t>=32个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1D4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3D670">
            <w:pPr>
              <w:jc w:val="center"/>
            </w:pPr>
            <w:r>
              <w:rPr>
                <w:rFonts w:ascii="宋体" w:hAnsi="宋体" w:eastAsia="宋体"/>
                <w:sz w:val="16"/>
              </w:rPr>
              <w:t>10</w:t>
            </w:r>
          </w:p>
        </w:tc>
      </w:tr>
      <w:tr w14:paraId="618544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57D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451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DFEA4">
            <w:pPr>
              <w:jc w:val="center"/>
            </w:pPr>
            <w:r>
              <w:rPr>
                <w:rFonts w:ascii="宋体" w:hAnsi="宋体" w:eastAsia="宋体"/>
                <w:sz w:val="16"/>
              </w:rPr>
              <w:t>有效清理挂牌工作数量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DAFB6">
            <w:pPr>
              <w:jc w:val="center"/>
            </w:pPr>
            <w:r>
              <w:rPr>
                <w:rFonts w:ascii="宋体" w:hAnsi="宋体" w:eastAsia="宋体"/>
                <w:sz w:val="16"/>
              </w:rPr>
              <w:t>&gt;=500个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6BBB0">
            <w:pPr>
              <w:jc w:val="center"/>
            </w:pPr>
            <w:r>
              <w:rPr>
                <w:rFonts w:ascii="宋体" w:hAnsi="宋体" w:eastAsia="宋体"/>
                <w:sz w:val="16"/>
              </w:rPr>
              <w:t>英吉沙县委社会工作部24年工作计划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113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2AB04">
            <w:pPr>
              <w:jc w:val="center"/>
            </w:pPr>
            <w:r>
              <w:rPr>
                <w:rFonts w:ascii="宋体" w:hAnsi="宋体" w:eastAsia="宋体"/>
                <w:sz w:val="16"/>
              </w:rPr>
              <w:t>=502个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29B31">
            <w:pPr>
              <w:jc w:val="center"/>
            </w:pPr>
            <w:r>
              <w:rPr>
                <w:rFonts w:ascii="宋体" w:hAnsi="宋体" w:eastAsia="宋体"/>
                <w:sz w:val="16"/>
              </w:rPr>
              <w:t>100.4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EB98F">
            <w:pPr>
              <w:jc w:val="center"/>
            </w:pPr>
            <w:r>
              <w:rPr>
                <w:rFonts w:ascii="宋体" w:hAnsi="宋体" w:eastAsia="宋体"/>
                <w:sz w:val="16"/>
              </w:rPr>
              <w:t>10</w:t>
            </w:r>
          </w:p>
        </w:tc>
      </w:tr>
      <w:tr w14:paraId="0E19B6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610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05A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93079">
            <w:pPr>
              <w:jc w:val="center"/>
            </w:pPr>
            <w:r>
              <w:rPr>
                <w:rFonts w:ascii="宋体" w:hAnsi="宋体" w:eastAsia="宋体"/>
                <w:sz w:val="16"/>
              </w:rPr>
              <w:t>组建暖心驿站数量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03716">
            <w:pPr>
              <w:jc w:val="center"/>
            </w:pPr>
            <w:r>
              <w:rPr>
                <w:rFonts w:ascii="宋体" w:hAnsi="宋体" w:eastAsia="宋体"/>
                <w:sz w:val="16"/>
              </w:rPr>
              <w:t>=10处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6F7EF">
            <w:pPr>
              <w:jc w:val="center"/>
            </w:pPr>
            <w:r>
              <w:rPr>
                <w:rFonts w:ascii="宋体" w:hAnsi="宋体" w:eastAsia="宋体"/>
                <w:sz w:val="16"/>
              </w:rPr>
              <w:t>英吉沙县委社会工作部24年工作计划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B258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EBAD8">
            <w:pPr>
              <w:jc w:val="center"/>
            </w:pPr>
            <w:r>
              <w:rPr>
                <w:rFonts w:ascii="宋体" w:hAnsi="宋体" w:eastAsia="宋体"/>
                <w:sz w:val="16"/>
              </w:rPr>
              <w:t>=10处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C1F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C8549">
            <w:pPr>
              <w:jc w:val="center"/>
            </w:pPr>
            <w:r>
              <w:rPr>
                <w:rFonts w:ascii="宋体" w:hAnsi="宋体" w:eastAsia="宋体"/>
                <w:sz w:val="16"/>
              </w:rPr>
              <w:t>30</w:t>
            </w:r>
          </w:p>
        </w:tc>
      </w:tr>
      <w:tr w14:paraId="489A05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0B9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CF39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EB2C3">
            <w:pPr>
              <w:jc w:val="center"/>
            </w:pPr>
            <w:r>
              <w:rPr>
                <w:rFonts w:ascii="宋体" w:hAnsi="宋体" w:eastAsia="宋体"/>
                <w:sz w:val="16"/>
              </w:rPr>
              <w:t>信访案件办结率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8BA4B">
            <w:pPr>
              <w:jc w:val="center"/>
            </w:pPr>
            <w:bookmarkStart w:id="0" w:name="_GoBack"/>
            <w:r>
              <w:rPr>
                <w:rFonts w:ascii="宋体" w:hAnsi="宋体" w:eastAsia="宋体"/>
                <w:sz w:val="16"/>
              </w:rPr>
              <w:t>&gt;</w:t>
            </w:r>
            <w:bookmarkEnd w:id="0"/>
            <w:r>
              <w:rPr>
                <w:rFonts w:ascii="宋体" w:hAnsi="宋体" w:eastAsia="宋体"/>
                <w:sz w:val="16"/>
              </w:rPr>
              <w:t>=82%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80555">
            <w:pPr>
              <w:jc w:val="center"/>
            </w:pPr>
            <w:r>
              <w:rPr>
                <w:rFonts w:ascii="宋体" w:hAnsi="宋体" w:eastAsia="宋体"/>
                <w:sz w:val="16"/>
              </w:rPr>
              <w:t>英吉沙县委社会工作部24年工作计划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B34C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94E6A">
            <w:pPr>
              <w:jc w:val="center"/>
            </w:pPr>
            <w:r>
              <w:rPr>
                <w:rFonts w:ascii="宋体" w:hAnsi="宋体" w:eastAsia="宋体"/>
                <w:sz w:val="16"/>
              </w:rPr>
              <w:t>=82.8%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160E1">
            <w:pPr>
              <w:jc w:val="center"/>
            </w:pPr>
            <w:r>
              <w:rPr>
                <w:rFonts w:ascii="宋体" w:hAnsi="宋体" w:eastAsia="宋体"/>
                <w:sz w:val="16"/>
              </w:rPr>
              <w:t>100.97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43154">
            <w:pPr>
              <w:jc w:val="center"/>
            </w:pPr>
            <w:r>
              <w:rPr>
                <w:rFonts w:ascii="宋体" w:hAnsi="宋体" w:eastAsia="宋体"/>
                <w:sz w:val="16"/>
              </w:rPr>
              <w:t>30</w:t>
            </w:r>
          </w:p>
        </w:tc>
      </w:tr>
    </w:tbl>
    <w:p w14:paraId="5FC7D3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57B671B">
        <w:tblPrEx>
          <w:tblCellMar>
            <w:top w:w="0" w:type="dxa"/>
            <w:left w:w="108" w:type="dxa"/>
            <w:bottom w:w="0" w:type="dxa"/>
            <w:right w:w="108" w:type="dxa"/>
          </w:tblCellMar>
        </w:tblPrEx>
        <w:tc>
          <w:tcPr>
            <w:tcW w:w="8848" w:type="dxa"/>
            <w:gridSpan w:val="14"/>
            <w:vAlign w:val="center"/>
          </w:tcPr>
          <w:p w14:paraId="30539B65">
            <w:pPr>
              <w:jc w:val="center"/>
            </w:pPr>
            <w:r>
              <w:rPr>
                <w:rFonts w:ascii="宋体" w:hAnsi="宋体" w:eastAsia="宋体"/>
                <w:sz w:val="24"/>
              </w:rPr>
              <w:t>项目支出绩效自评表</w:t>
            </w:r>
          </w:p>
        </w:tc>
      </w:tr>
      <w:tr w14:paraId="3A724282">
        <w:tblPrEx>
          <w:tblCellMar>
            <w:top w:w="0" w:type="dxa"/>
            <w:left w:w="108" w:type="dxa"/>
            <w:bottom w:w="0" w:type="dxa"/>
            <w:right w:w="108" w:type="dxa"/>
          </w:tblCellMar>
        </w:tblPrEx>
        <w:tc>
          <w:tcPr>
            <w:tcW w:w="8848" w:type="dxa"/>
            <w:gridSpan w:val="14"/>
            <w:vAlign w:val="center"/>
          </w:tcPr>
          <w:p w14:paraId="37EBD8E4">
            <w:pPr>
              <w:jc w:val="center"/>
            </w:pPr>
            <w:r>
              <w:rPr>
                <w:rFonts w:ascii="宋体" w:hAnsi="宋体" w:eastAsia="宋体"/>
                <w:sz w:val="24"/>
              </w:rPr>
              <w:t>(2024年度)</w:t>
            </w:r>
          </w:p>
        </w:tc>
      </w:tr>
      <w:tr w14:paraId="229705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88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45567B">
            <w:pPr>
              <w:jc w:val="center"/>
            </w:pPr>
            <w:r>
              <w:rPr>
                <w:rFonts w:ascii="宋体" w:hAnsi="宋体" w:eastAsia="宋体"/>
                <w:sz w:val="16"/>
              </w:rPr>
              <w:t>县委社会工作部办公经费项目</w:t>
            </w:r>
          </w:p>
        </w:tc>
      </w:tr>
      <w:tr w14:paraId="231F3B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F5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7C68D2">
            <w:pPr>
              <w:jc w:val="center"/>
            </w:pPr>
            <w:r>
              <w:rPr>
                <w:rFonts w:ascii="宋体" w:hAnsi="宋体" w:eastAsia="宋体"/>
                <w:sz w:val="16"/>
              </w:rPr>
              <w:t>中共英吉沙县委员会社会工作部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1D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74455A">
            <w:pPr>
              <w:jc w:val="center"/>
            </w:pPr>
            <w:r>
              <w:rPr>
                <w:rFonts w:ascii="宋体" w:hAnsi="宋体" w:eastAsia="宋体"/>
                <w:sz w:val="16"/>
              </w:rPr>
              <w:t>中共英吉沙县委员会社会工作部</w:t>
            </w:r>
          </w:p>
        </w:tc>
      </w:tr>
      <w:tr w14:paraId="02287D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034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F7C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31A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F5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DF0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5D1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17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437E">
            <w:pPr>
              <w:jc w:val="center"/>
            </w:pPr>
            <w:r>
              <w:rPr>
                <w:rFonts w:ascii="宋体" w:hAnsi="宋体" w:eastAsia="宋体"/>
                <w:sz w:val="16"/>
              </w:rPr>
              <w:t>得分</w:t>
            </w:r>
          </w:p>
        </w:tc>
      </w:tr>
      <w:tr w14:paraId="267F6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683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54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9E14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F2BB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738A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FD2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279D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AF17">
            <w:pPr>
              <w:jc w:val="center"/>
            </w:pPr>
            <w:r>
              <w:rPr>
                <w:rFonts w:ascii="宋体" w:hAnsi="宋体" w:eastAsia="宋体"/>
                <w:sz w:val="16"/>
              </w:rPr>
              <w:t>10.00分</w:t>
            </w:r>
          </w:p>
        </w:tc>
      </w:tr>
      <w:tr w14:paraId="77217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851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22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B837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52CB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764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ECF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D86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16FD">
            <w:pPr>
              <w:jc w:val="center"/>
            </w:pPr>
            <w:r>
              <w:rPr>
                <w:rFonts w:ascii="宋体" w:hAnsi="宋体" w:eastAsia="宋体"/>
                <w:sz w:val="16"/>
              </w:rPr>
              <w:t>—</w:t>
            </w:r>
          </w:p>
        </w:tc>
      </w:tr>
      <w:tr w14:paraId="2B6DA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5C5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5E0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6E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615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E6D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4C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32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7F07">
            <w:pPr>
              <w:jc w:val="center"/>
            </w:pPr>
            <w:r>
              <w:rPr>
                <w:rFonts w:ascii="宋体" w:hAnsi="宋体" w:eastAsia="宋体"/>
                <w:sz w:val="16"/>
              </w:rPr>
              <w:t>—</w:t>
            </w:r>
          </w:p>
        </w:tc>
      </w:tr>
      <w:tr w14:paraId="05179F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6C6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8C5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9500A3">
            <w:pPr>
              <w:jc w:val="center"/>
            </w:pPr>
            <w:r>
              <w:rPr>
                <w:rFonts w:ascii="宋体" w:hAnsi="宋体" w:eastAsia="宋体"/>
                <w:sz w:val="16"/>
              </w:rPr>
              <w:t>实际完成情况</w:t>
            </w:r>
          </w:p>
        </w:tc>
      </w:tr>
      <w:tr w14:paraId="43BAB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1EA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73DB6">
            <w:pPr>
              <w:jc w:val="both"/>
            </w:pPr>
            <w:r>
              <w:rPr>
                <w:rFonts w:ascii="宋体" w:hAnsi="宋体" w:eastAsia="宋体"/>
                <w:sz w:val="16"/>
              </w:rPr>
              <w:t>该项目总投资1万元，保障县委社会工作部1个部门单位日常工作有序开展，更好</w:t>
            </w:r>
            <w:r>
              <w:rPr>
                <w:rFonts w:hint="eastAsia" w:ascii="宋体" w:hAnsi="宋体"/>
                <w:sz w:val="16"/>
                <w:lang w:eastAsia="zh-CN"/>
              </w:rPr>
              <w:t>地</w:t>
            </w:r>
            <w:r>
              <w:rPr>
                <w:rFonts w:ascii="宋体" w:hAnsi="宋体" w:eastAsia="宋体"/>
                <w:sz w:val="16"/>
              </w:rPr>
              <w:t>提升综合服务水平。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A4E400">
            <w:pPr>
              <w:jc w:val="both"/>
            </w:pPr>
            <w:r>
              <w:rPr>
                <w:rFonts w:hint="eastAsia" w:ascii="宋体" w:hAnsi="宋体"/>
                <w:sz w:val="16"/>
                <w:lang w:eastAsia="zh-CN"/>
              </w:rPr>
              <w:t>截至</w:t>
            </w:r>
            <w:r>
              <w:rPr>
                <w:rFonts w:ascii="宋体" w:hAnsi="宋体" w:eastAsia="宋体"/>
                <w:sz w:val="16"/>
              </w:rPr>
              <w:t>2024年12月31日，该项目执行资金1万元，用于保障县委社会工作部1个部门单位日常工作有序开展，更好</w:t>
            </w:r>
            <w:r>
              <w:rPr>
                <w:rFonts w:hint="eastAsia" w:ascii="宋体" w:hAnsi="宋体"/>
                <w:sz w:val="16"/>
                <w:lang w:eastAsia="zh-CN"/>
              </w:rPr>
              <w:t>地</w:t>
            </w:r>
            <w:r>
              <w:rPr>
                <w:rFonts w:ascii="宋体" w:hAnsi="宋体" w:eastAsia="宋体"/>
                <w:sz w:val="16"/>
              </w:rPr>
              <w:t>提升综合服务水平。</w:t>
            </w:r>
          </w:p>
        </w:tc>
      </w:tr>
      <w:tr w14:paraId="0EE983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64F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43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49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D1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63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1D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F2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CE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07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25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0C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78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9B32">
            <w:pPr>
              <w:jc w:val="center"/>
            </w:pPr>
            <w:r>
              <w:rPr>
                <w:rFonts w:ascii="宋体" w:hAnsi="宋体" w:eastAsia="宋体"/>
                <w:sz w:val="16"/>
              </w:rPr>
              <w:t>偏差原因分析及改进措施</w:t>
            </w:r>
          </w:p>
        </w:tc>
      </w:tr>
      <w:tr w14:paraId="0389E6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502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BB0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FC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3F87">
            <w:pPr>
              <w:jc w:val="center"/>
            </w:pPr>
            <w:r>
              <w:rPr>
                <w:rFonts w:ascii="宋体" w:hAnsi="宋体" w:eastAsia="宋体"/>
                <w:sz w:val="16"/>
              </w:rPr>
              <w:t>保障部门单位数量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513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B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94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EC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B1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B1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F7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06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B2361">
            <w:pPr>
              <w:jc w:val="center"/>
            </w:pPr>
          </w:p>
        </w:tc>
      </w:tr>
      <w:tr w14:paraId="40BBB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EB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48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20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0E3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7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0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16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34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17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A9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9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F9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8DB21">
            <w:pPr>
              <w:jc w:val="center"/>
            </w:pPr>
          </w:p>
        </w:tc>
      </w:tr>
      <w:tr w14:paraId="53491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C3A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297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7FE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90D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0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0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D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C8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47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B6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D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75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8A945">
            <w:pPr>
              <w:jc w:val="center"/>
            </w:pPr>
          </w:p>
        </w:tc>
      </w:tr>
      <w:tr w14:paraId="23255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BA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09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34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A9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A99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1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D3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14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DC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BD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61A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71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6B00C">
            <w:pPr>
              <w:jc w:val="center"/>
            </w:pPr>
          </w:p>
        </w:tc>
      </w:tr>
      <w:tr w14:paraId="17EAF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00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C1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A6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37B7">
            <w:pPr>
              <w:jc w:val="center"/>
            </w:pPr>
            <w:r>
              <w:rPr>
                <w:rFonts w:ascii="宋体" w:hAnsi="宋体" w:eastAsia="宋体"/>
                <w:sz w:val="16"/>
              </w:rPr>
              <w:t>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294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42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FA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63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7A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17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828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54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C0294">
            <w:pPr>
              <w:jc w:val="center"/>
            </w:pPr>
          </w:p>
        </w:tc>
      </w:tr>
      <w:tr w14:paraId="06E94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5A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43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6A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E598">
            <w:pPr>
              <w:jc w:val="center"/>
            </w:pPr>
            <w:r>
              <w:rPr>
                <w:rFonts w:ascii="宋体" w:hAnsi="宋体" w:eastAsia="宋体"/>
                <w:sz w:val="16"/>
              </w:rPr>
              <w:t>保障县委社会工作部日常工作有序开展，更好</w:t>
            </w:r>
            <w:r>
              <w:rPr>
                <w:rFonts w:hint="eastAsia" w:ascii="宋体" w:hAnsi="宋体"/>
                <w:sz w:val="16"/>
                <w:lang w:eastAsia="zh-CN"/>
              </w:rPr>
              <w:t>地</w:t>
            </w:r>
            <w:r>
              <w:rPr>
                <w:rFonts w:ascii="宋体" w:hAnsi="宋体" w:eastAsia="宋体"/>
                <w:sz w:val="16"/>
              </w:rPr>
              <w:t>提升综合服务水平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197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5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7C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74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81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FA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54C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BE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646DF">
            <w:pPr>
              <w:jc w:val="center"/>
            </w:pPr>
          </w:p>
        </w:tc>
      </w:tr>
      <w:tr w14:paraId="2DB19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2D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8C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BF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FB0F">
            <w:pPr>
              <w:jc w:val="center"/>
            </w:pPr>
            <w:r>
              <w:rPr>
                <w:rFonts w:ascii="宋体" w:hAnsi="宋体" w:eastAsia="宋体"/>
                <w:sz w:val="16"/>
              </w:rPr>
              <w:t>受益相关办公室人员满意度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A0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B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24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1A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82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4A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0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44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51AC">
            <w:pPr>
              <w:jc w:val="center"/>
            </w:pPr>
            <w:r>
              <w:rPr>
                <w:rFonts w:ascii="宋体" w:hAnsi="宋体" w:eastAsia="宋体"/>
                <w:sz w:val="16"/>
              </w:rPr>
              <w:t>偏差原因：该项目实施效果较好，满意度较高</w:t>
            </w:r>
          </w:p>
        </w:tc>
      </w:tr>
      <w:tr w14:paraId="3526AB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511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5F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6C8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987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57C1D8"/>
        </w:tc>
      </w:tr>
    </w:tbl>
    <w:p w14:paraId="39BE12C6">
      <w:r>
        <w:br w:type="page"/>
      </w:r>
    </w:p>
    <w:p w14:paraId="29957B64">
      <w:pPr>
        <w:spacing w:line="640" w:lineRule="exact"/>
        <w:ind w:firstLine="640"/>
        <w:jc w:val="both"/>
        <w:outlineLvl w:val="2"/>
      </w:pPr>
      <w:r>
        <w:rPr>
          <w:rFonts w:ascii="黑体" w:hAnsi="黑体" w:eastAsia="黑体"/>
          <w:sz w:val="32"/>
        </w:rPr>
        <w:t>十二、其他需说明的事项</w:t>
      </w:r>
    </w:p>
    <w:p w14:paraId="02159978">
      <w:pPr>
        <w:spacing w:line="580" w:lineRule="exact"/>
        <w:ind w:firstLine="640"/>
        <w:jc w:val="both"/>
      </w:pPr>
      <w:r>
        <w:rPr>
          <w:rFonts w:ascii="仿宋_GB2312" w:hAnsi="仿宋_GB2312" w:eastAsia="仿宋_GB2312"/>
          <w:b w:val="0"/>
          <w:sz w:val="32"/>
        </w:rPr>
        <w:t>本单位无其他需说明的事项。</w:t>
      </w:r>
    </w:p>
    <w:p w14:paraId="65E4EFC7">
      <w:r>
        <w:br w:type="page"/>
      </w:r>
    </w:p>
    <w:p w14:paraId="77999D16">
      <w:pPr>
        <w:spacing w:line="240" w:lineRule="auto"/>
        <w:jc w:val="center"/>
        <w:outlineLvl w:val="1"/>
      </w:pPr>
      <w:r>
        <w:rPr>
          <w:rFonts w:ascii="黑体" w:hAnsi="黑体" w:eastAsia="黑体"/>
          <w:sz w:val="32"/>
        </w:rPr>
        <w:t>第三部分 专业名词解释</w:t>
      </w:r>
    </w:p>
    <w:p w14:paraId="680A293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48118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F54E34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6B77C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DB9D7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0248E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A59AD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078AC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87390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A7ED2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F1EC0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EEFA3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711D1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F7CC3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8366EB2">
      <w:r>
        <w:br w:type="page"/>
      </w:r>
    </w:p>
    <w:p w14:paraId="745B00C5">
      <w:pPr>
        <w:spacing w:line="240" w:lineRule="auto"/>
        <w:jc w:val="center"/>
        <w:outlineLvl w:val="1"/>
      </w:pPr>
      <w:r>
        <w:rPr>
          <w:rFonts w:ascii="黑体" w:hAnsi="黑体" w:eastAsia="黑体"/>
          <w:sz w:val="32"/>
        </w:rPr>
        <w:t>第四部分 部门决算报表（见附表）</w:t>
      </w:r>
    </w:p>
    <w:p w14:paraId="2ADEF0B9">
      <w:pPr>
        <w:spacing w:line="240" w:lineRule="auto"/>
        <w:ind w:firstLine="640"/>
        <w:jc w:val="both"/>
      </w:pPr>
      <w:r>
        <w:rPr>
          <w:rFonts w:ascii="仿宋_GB2312" w:hAnsi="仿宋_GB2312" w:eastAsia="仿宋_GB2312"/>
          <w:b w:val="0"/>
          <w:sz w:val="32"/>
        </w:rPr>
        <w:t>一、《收入支出决算总表》</w:t>
      </w:r>
    </w:p>
    <w:p w14:paraId="3B2A1EC5">
      <w:pPr>
        <w:spacing w:line="240" w:lineRule="auto"/>
        <w:ind w:firstLine="640"/>
        <w:jc w:val="both"/>
      </w:pPr>
      <w:r>
        <w:rPr>
          <w:rFonts w:ascii="仿宋_GB2312" w:hAnsi="仿宋_GB2312" w:eastAsia="仿宋_GB2312"/>
          <w:b w:val="0"/>
          <w:sz w:val="32"/>
        </w:rPr>
        <w:t>二、《收入决算表》</w:t>
      </w:r>
    </w:p>
    <w:p w14:paraId="0724BEAF">
      <w:pPr>
        <w:spacing w:line="240" w:lineRule="auto"/>
        <w:ind w:firstLine="640"/>
        <w:jc w:val="both"/>
      </w:pPr>
      <w:r>
        <w:rPr>
          <w:rFonts w:ascii="仿宋_GB2312" w:hAnsi="仿宋_GB2312" w:eastAsia="仿宋_GB2312"/>
          <w:b w:val="0"/>
          <w:sz w:val="32"/>
        </w:rPr>
        <w:t>三、《支出决算表》</w:t>
      </w:r>
    </w:p>
    <w:p w14:paraId="7FE3C0A1">
      <w:pPr>
        <w:spacing w:line="240" w:lineRule="auto"/>
        <w:ind w:firstLine="640"/>
        <w:jc w:val="both"/>
      </w:pPr>
      <w:r>
        <w:rPr>
          <w:rFonts w:ascii="仿宋_GB2312" w:hAnsi="仿宋_GB2312" w:eastAsia="仿宋_GB2312"/>
          <w:b w:val="0"/>
          <w:sz w:val="32"/>
        </w:rPr>
        <w:t>四、《财政拨款收入支出决算总表》</w:t>
      </w:r>
    </w:p>
    <w:p w14:paraId="442B03CD">
      <w:pPr>
        <w:spacing w:line="240" w:lineRule="auto"/>
        <w:ind w:firstLine="640"/>
        <w:jc w:val="both"/>
      </w:pPr>
      <w:r>
        <w:rPr>
          <w:rFonts w:ascii="仿宋_GB2312" w:hAnsi="仿宋_GB2312" w:eastAsia="仿宋_GB2312"/>
          <w:b w:val="0"/>
          <w:sz w:val="32"/>
        </w:rPr>
        <w:t>五、《一般公共预算财政拨款支出决算表》</w:t>
      </w:r>
    </w:p>
    <w:p w14:paraId="0D3C3380">
      <w:pPr>
        <w:spacing w:line="240" w:lineRule="auto"/>
        <w:ind w:firstLine="640"/>
        <w:jc w:val="both"/>
      </w:pPr>
      <w:r>
        <w:rPr>
          <w:rFonts w:ascii="仿宋_GB2312" w:hAnsi="仿宋_GB2312" w:eastAsia="仿宋_GB2312"/>
          <w:b w:val="0"/>
          <w:sz w:val="32"/>
        </w:rPr>
        <w:t>六、《一般公共预算财政拨款基本支出决算表》</w:t>
      </w:r>
    </w:p>
    <w:p w14:paraId="0C5D495A">
      <w:pPr>
        <w:spacing w:line="240" w:lineRule="auto"/>
        <w:ind w:firstLine="640"/>
        <w:jc w:val="both"/>
      </w:pPr>
      <w:r>
        <w:rPr>
          <w:rFonts w:ascii="仿宋_GB2312" w:hAnsi="仿宋_GB2312" w:eastAsia="仿宋_GB2312"/>
          <w:b w:val="0"/>
          <w:sz w:val="32"/>
        </w:rPr>
        <w:t>七、《政府性基金预算财政拨款收入支出决算表》</w:t>
      </w:r>
    </w:p>
    <w:p w14:paraId="046FACBE">
      <w:pPr>
        <w:spacing w:line="240" w:lineRule="auto"/>
        <w:ind w:firstLine="640"/>
        <w:jc w:val="both"/>
      </w:pPr>
      <w:r>
        <w:rPr>
          <w:rFonts w:ascii="仿宋_GB2312" w:hAnsi="仿宋_GB2312" w:eastAsia="仿宋_GB2312"/>
          <w:b w:val="0"/>
          <w:sz w:val="32"/>
        </w:rPr>
        <w:t>八、《国有资本经营预算财政拨款收入支出决算表》</w:t>
      </w:r>
    </w:p>
    <w:p w14:paraId="70B3C8F1">
      <w:pPr>
        <w:spacing w:line="240" w:lineRule="auto"/>
        <w:ind w:firstLine="640"/>
        <w:jc w:val="both"/>
      </w:pPr>
      <w:r>
        <w:rPr>
          <w:rFonts w:ascii="仿宋_GB2312" w:hAnsi="仿宋_GB2312" w:eastAsia="仿宋_GB2312"/>
          <w:b w:val="0"/>
          <w:sz w:val="32"/>
        </w:rPr>
        <w:t>九、《财政拨款“三公”经费支出决算表》</w:t>
      </w:r>
    </w:p>
    <w:p w14:paraId="0EEA031D">
      <w:pPr>
        <w:spacing w:line="240" w:lineRule="auto"/>
        <w:ind w:firstLine="640"/>
        <w:jc w:val="both"/>
      </w:pPr>
    </w:p>
    <w:p w14:paraId="6E2BE0EE">
      <w:pPr>
        <w:spacing w:line="240" w:lineRule="auto"/>
        <w:ind w:firstLine="640"/>
        <w:jc w:val="both"/>
      </w:pPr>
    </w:p>
    <w:p w14:paraId="34CC6E80">
      <w:pPr>
        <w:spacing w:line="240" w:lineRule="auto"/>
        <w:ind w:firstLine="640"/>
        <w:jc w:val="both"/>
      </w:pPr>
    </w:p>
    <w:p w14:paraId="173DDEE0">
      <w:pPr>
        <w:spacing w:line="240" w:lineRule="auto"/>
        <w:ind w:firstLine="640"/>
        <w:jc w:val="both"/>
      </w:pPr>
    </w:p>
    <w:p w14:paraId="2704F9C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2">
    <w:panose1 w:val="02000000000000000000"/>
    <w:charset w:val="86"/>
    <w:family w:val="auto"/>
    <w:pitch w:val="default"/>
    <w:sig w:usb0="A00002BF" w:usb1="38CF7CFA" w:usb2="00082016" w:usb3="00000000" w:csb0="00040001" w:csb1="00000000"/>
  </w:font>
  <w:font w:name="WPSEMBED1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FF19FB"/>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CD268B"/>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5099</Words>
  <Characters>5843</Characters>
  <Lines>0</Lines>
  <Paragraphs>0</Paragraphs>
  <TotalTime>3</TotalTime>
  <ScaleCrop>false</ScaleCrop>
  <LinksUpToDate>false</LinksUpToDate>
  <CharactersWithSpaces>5851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2025-09-05T07:45:59Z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