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中共英吉沙县委员会统一战线工作部2024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126710">
      <w:r>
        <w:br w:type="page"/>
      </w:r>
    </w:p>
    <w:p w14:paraId="2733DEBA">
      <w:pPr>
        <w:spacing w:line="640" w:lineRule="exact"/>
        <w:jc w:val="center"/>
        <w:outlineLvl w:val="1"/>
      </w:pPr>
      <w:r>
        <w:rPr>
          <w:rFonts w:ascii="黑体" w:hAnsi="黑体" w:eastAsia="黑体"/>
          <w:sz w:val="32"/>
        </w:rPr>
        <w:t>第一部分 单位概况</w:t>
      </w:r>
    </w:p>
    <w:p w14:paraId="0F31F4B8">
      <w:pPr>
        <w:spacing w:line="640" w:lineRule="exact"/>
        <w:ind w:firstLine="640"/>
        <w:jc w:val="both"/>
        <w:outlineLvl w:val="2"/>
      </w:pPr>
      <w:r>
        <w:rPr>
          <w:rFonts w:ascii="黑体" w:hAnsi="黑体" w:eastAsia="黑体"/>
          <w:sz w:val="32"/>
        </w:rPr>
        <w:t>一、主要职能</w:t>
      </w:r>
    </w:p>
    <w:p w14:paraId="1680F65D">
      <w:pPr>
        <w:spacing w:line="580" w:lineRule="exact"/>
        <w:ind w:firstLine="640"/>
        <w:jc w:val="both"/>
      </w:pPr>
      <w:r>
        <w:rPr>
          <w:rFonts w:ascii="仿宋_GB2312" w:hAnsi="仿宋_GB2312" w:eastAsia="仿宋_GB2312"/>
          <w:sz w:val="32"/>
        </w:rPr>
        <w:t>本单位主要职能SM不予公开。</w:t>
      </w:r>
    </w:p>
    <w:p w14:paraId="262BA889">
      <w:pPr>
        <w:spacing w:line="640" w:lineRule="exact"/>
        <w:ind w:firstLine="640"/>
        <w:jc w:val="both"/>
        <w:outlineLvl w:val="2"/>
      </w:pPr>
      <w:r>
        <w:rPr>
          <w:rFonts w:ascii="黑体" w:hAnsi="黑体" w:eastAsia="黑体"/>
          <w:sz w:val="32"/>
        </w:rPr>
        <w:t>二、机构设置及人员情况</w:t>
      </w:r>
    </w:p>
    <w:p w14:paraId="382F8357">
      <w:pPr>
        <w:spacing w:line="580" w:lineRule="exact"/>
        <w:ind w:firstLine="640"/>
        <w:jc w:val="both"/>
      </w:pPr>
      <w:r>
        <w:rPr>
          <w:rFonts w:ascii="仿宋_GB2312" w:hAnsi="仿宋_GB2312" w:eastAsia="仿宋_GB2312"/>
          <w:sz w:val="32"/>
        </w:rPr>
        <w:t>本单位机构设置及人员情况SM不予公开。</w:t>
      </w:r>
      <w:bookmarkStart w:id="0" w:name="_GoBack"/>
      <w:bookmarkEnd w:id="0"/>
    </w:p>
    <w:p w14:paraId="59F80B2A">
      <w:r>
        <w:br w:type="page"/>
      </w:r>
    </w:p>
    <w:p w14:paraId="45223C99">
      <w:pPr>
        <w:spacing w:line="240" w:lineRule="auto"/>
        <w:jc w:val="center"/>
        <w:outlineLvl w:val="1"/>
      </w:pPr>
      <w:r>
        <w:rPr>
          <w:rFonts w:ascii="黑体" w:hAnsi="黑体" w:eastAsia="黑体"/>
          <w:sz w:val="32"/>
        </w:rPr>
        <w:t>第二部分 部门决算情况说明</w:t>
      </w:r>
    </w:p>
    <w:p w14:paraId="1E777803">
      <w:pPr>
        <w:spacing w:line="640" w:lineRule="exact"/>
        <w:ind w:firstLine="640"/>
        <w:jc w:val="both"/>
        <w:outlineLvl w:val="2"/>
      </w:pPr>
      <w:r>
        <w:rPr>
          <w:rFonts w:ascii="黑体" w:hAnsi="黑体" w:eastAsia="黑体"/>
          <w:sz w:val="32"/>
        </w:rPr>
        <w:t>一、收入支出决算总体情况说明</w:t>
      </w:r>
    </w:p>
    <w:p w14:paraId="36B7A990">
      <w:pPr>
        <w:spacing w:line="580" w:lineRule="exact"/>
        <w:ind w:firstLine="640"/>
        <w:jc w:val="both"/>
      </w:pPr>
      <w:r>
        <w:rPr>
          <w:rFonts w:ascii="仿宋_GB2312" w:hAnsi="仿宋_GB2312" w:eastAsia="仿宋_GB2312"/>
          <w:b/>
          <w:sz w:val="32"/>
        </w:rPr>
        <w:t>2024年度收入总计2,141.80万元，</w:t>
      </w:r>
      <w:r>
        <w:rPr>
          <w:rFonts w:ascii="仿宋_GB2312" w:hAnsi="仿宋_GB2312" w:eastAsia="仿宋_GB2312"/>
          <w:b w:val="0"/>
          <w:sz w:val="32"/>
        </w:rPr>
        <w:t>其中：本年收入合计2,141.80万元，使用非财政拨款结余（含专用结余）0.00万元，年初结转和结余0.00万元。</w:t>
      </w:r>
    </w:p>
    <w:p w14:paraId="0342DAEB">
      <w:pPr>
        <w:spacing w:line="580" w:lineRule="exact"/>
        <w:ind w:firstLine="640"/>
        <w:jc w:val="both"/>
      </w:pPr>
      <w:r>
        <w:rPr>
          <w:rFonts w:ascii="仿宋_GB2312" w:hAnsi="仿宋_GB2312" w:eastAsia="仿宋_GB2312"/>
          <w:b/>
          <w:sz w:val="32"/>
        </w:rPr>
        <w:t>2024年度支出总计2,141.80万元，</w:t>
      </w:r>
      <w:r>
        <w:rPr>
          <w:rFonts w:ascii="仿宋_GB2312" w:hAnsi="仿宋_GB2312" w:eastAsia="仿宋_GB2312"/>
          <w:b w:val="0"/>
          <w:sz w:val="32"/>
        </w:rPr>
        <w:t>其中：本年支出合计2,141.80万元，结余分配0.00万元，年末结转和结余0.00万元。</w:t>
      </w:r>
    </w:p>
    <w:p w14:paraId="58FA762F">
      <w:pPr>
        <w:spacing w:line="580" w:lineRule="exact"/>
        <w:ind w:firstLine="640"/>
        <w:jc w:val="both"/>
      </w:pPr>
      <w:r>
        <w:rPr>
          <w:rFonts w:ascii="仿宋_GB2312" w:hAnsi="仿宋_GB2312" w:eastAsia="仿宋_GB2312"/>
          <w:b w:val="0"/>
          <w:sz w:val="32"/>
        </w:rPr>
        <w:t>收入支出总体与上年相比，增加2,141.80万元，增长100.00%，主要原因是：本年机构改革，上年与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177C0975">
      <w:pPr>
        <w:spacing w:line="640" w:lineRule="exact"/>
        <w:ind w:firstLine="640"/>
        <w:jc w:val="both"/>
        <w:outlineLvl w:val="2"/>
      </w:pPr>
      <w:r>
        <w:rPr>
          <w:rFonts w:ascii="黑体" w:hAnsi="黑体" w:eastAsia="黑体"/>
          <w:sz w:val="32"/>
        </w:rPr>
        <w:t>二、收入决算情况说明</w:t>
      </w:r>
    </w:p>
    <w:p w14:paraId="0C6CA8DF">
      <w:pPr>
        <w:spacing w:line="580" w:lineRule="exact"/>
        <w:ind w:firstLine="640"/>
        <w:jc w:val="both"/>
      </w:pPr>
      <w:r>
        <w:rPr>
          <w:rFonts w:ascii="仿宋_GB2312" w:hAnsi="仿宋_GB2312" w:eastAsia="仿宋_GB2312"/>
          <w:b/>
          <w:sz w:val="32"/>
        </w:rPr>
        <w:t>本年收入2,141.80万元，</w:t>
      </w:r>
      <w:r>
        <w:rPr>
          <w:rFonts w:ascii="仿宋_GB2312" w:hAnsi="仿宋_GB2312" w:eastAsia="仿宋_GB2312"/>
          <w:b w:val="0"/>
          <w:sz w:val="32"/>
        </w:rPr>
        <w:t>其中：财政拨款收入1,910.50万元，占89.20%；上级补助收入0.00万元，占0.00%；事业收入0.00万元，占0.00%；经营收入0.00万元，占0.00%；附属单位上缴收入0.00万元，占0.00%；其他收入231.30万元，占10.80%。</w:t>
      </w:r>
    </w:p>
    <w:p w14:paraId="7664BEC6">
      <w:pPr>
        <w:spacing w:line="640" w:lineRule="exact"/>
        <w:ind w:firstLine="640"/>
        <w:jc w:val="both"/>
        <w:outlineLvl w:val="2"/>
      </w:pPr>
      <w:r>
        <w:rPr>
          <w:rFonts w:ascii="黑体" w:hAnsi="黑体" w:eastAsia="黑体"/>
          <w:sz w:val="32"/>
        </w:rPr>
        <w:t>三、支出决算情况说明</w:t>
      </w:r>
    </w:p>
    <w:p w14:paraId="41806E6C">
      <w:pPr>
        <w:spacing w:line="580" w:lineRule="exact"/>
        <w:ind w:firstLine="640"/>
        <w:jc w:val="both"/>
      </w:pPr>
      <w:r>
        <w:rPr>
          <w:rFonts w:ascii="仿宋_GB2312" w:hAnsi="仿宋_GB2312" w:eastAsia="仿宋_GB2312"/>
          <w:b/>
          <w:sz w:val="32"/>
        </w:rPr>
        <w:t>本年支出2,141.80万元，</w:t>
      </w:r>
      <w:r>
        <w:rPr>
          <w:rFonts w:ascii="仿宋_GB2312" w:hAnsi="仿宋_GB2312" w:eastAsia="仿宋_GB2312"/>
          <w:b w:val="0"/>
          <w:sz w:val="32"/>
        </w:rPr>
        <w:t>其中：基本支出362.59万元，占16.93%；项目支出1,779.21万元，占83.07%；上缴上级支出0.00万元，占0.00%；经营支出0.00万元，占0.00%；对附属单位补助支出0.00万元，占0.00%。</w:t>
      </w:r>
    </w:p>
    <w:p w14:paraId="450AB787">
      <w:pPr>
        <w:spacing w:line="640" w:lineRule="exact"/>
        <w:ind w:firstLine="640"/>
        <w:jc w:val="both"/>
        <w:outlineLvl w:val="2"/>
      </w:pPr>
      <w:r>
        <w:rPr>
          <w:rFonts w:ascii="黑体" w:hAnsi="黑体" w:eastAsia="黑体"/>
          <w:sz w:val="32"/>
        </w:rPr>
        <w:t>四、财政拨款收入支出决算总体情况说明</w:t>
      </w:r>
    </w:p>
    <w:p w14:paraId="2904A716">
      <w:pPr>
        <w:spacing w:line="580" w:lineRule="exact"/>
        <w:ind w:firstLine="640"/>
        <w:jc w:val="both"/>
      </w:pPr>
      <w:r>
        <w:rPr>
          <w:rFonts w:ascii="仿宋_GB2312" w:hAnsi="仿宋_GB2312" w:eastAsia="仿宋_GB2312"/>
          <w:b/>
          <w:sz w:val="32"/>
        </w:rPr>
        <w:t>2024年度财政拨款收入总计1,910.50万元，</w:t>
      </w:r>
      <w:r>
        <w:rPr>
          <w:rFonts w:ascii="仿宋_GB2312" w:hAnsi="仿宋_GB2312" w:eastAsia="仿宋_GB2312"/>
          <w:b w:val="0"/>
          <w:sz w:val="32"/>
        </w:rPr>
        <w:t>其中：年初财政拨款结转和结余0.00万元，本年财政拨款收入1,910.50万元。</w:t>
      </w:r>
      <w:r>
        <w:rPr>
          <w:rFonts w:ascii="仿宋_GB2312" w:hAnsi="仿宋_GB2312" w:eastAsia="仿宋_GB2312"/>
          <w:b/>
          <w:sz w:val="32"/>
        </w:rPr>
        <w:t>财政拨款支出总计1,910.50万元，</w:t>
      </w:r>
      <w:r>
        <w:rPr>
          <w:rFonts w:ascii="仿宋_GB2312" w:hAnsi="仿宋_GB2312" w:eastAsia="仿宋_GB2312"/>
          <w:b w:val="0"/>
          <w:sz w:val="32"/>
        </w:rPr>
        <w:t>其中：年末财政拨款结转和结余0.00万元，本年财政拨款支出1,910.50万元。</w:t>
      </w:r>
    </w:p>
    <w:p w14:paraId="1FAF5D9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增加1,910.50万元，增长100.00%，主要原因是：本年机构改革，上年与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年初预算数2,002.57万元，决算数1,910.50万元，预决算差异率-4.60%，主要原因是：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办公费、电费、邮电费</w:t>
      </w:r>
      <w:r>
        <w:rPr>
          <w:rFonts w:hint="eastAsia" w:ascii="仿宋_GB2312" w:hAnsi="仿宋_GB2312" w:eastAsia="仿宋_GB2312"/>
          <w:b w:val="0"/>
          <w:sz w:val="32"/>
          <w:lang w:val="en-US" w:eastAsia="zh-CN"/>
        </w:rPr>
        <w:t>等公用经费</w:t>
      </w:r>
      <w:r>
        <w:rPr>
          <w:rFonts w:ascii="仿宋_GB2312" w:hAnsi="仿宋_GB2312" w:eastAsia="仿宋_GB2312"/>
          <w:b w:val="0"/>
          <w:sz w:val="32"/>
        </w:rPr>
        <w:t>，导致预决算存在差异。</w:t>
      </w:r>
    </w:p>
    <w:p w14:paraId="3F1ACE1A">
      <w:pPr>
        <w:spacing w:line="640" w:lineRule="exact"/>
        <w:ind w:firstLine="640"/>
        <w:jc w:val="both"/>
        <w:outlineLvl w:val="2"/>
      </w:pPr>
      <w:r>
        <w:rPr>
          <w:rFonts w:ascii="黑体" w:hAnsi="黑体" w:eastAsia="黑体"/>
          <w:sz w:val="32"/>
        </w:rPr>
        <w:t>五、一般公共预算财政拨款支出决算情况说明</w:t>
      </w:r>
    </w:p>
    <w:p w14:paraId="369431A7">
      <w:pPr>
        <w:spacing w:line="640" w:lineRule="exact"/>
        <w:ind w:firstLine="640"/>
        <w:jc w:val="both"/>
        <w:outlineLvl w:val="3"/>
      </w:pPr>
      <w:r>
        <w:rPr>
          <w:rFonts w:ascii="楷体_GB2312" w:hAnsi="楷体_GB2312" w:eastAsia="楷体_GB2312"/>
          <w:b/>
          <w:sz w:val="32"/>
        </w:rPr>
        <w:t>（一）一般公共预算财政拨款支出决算总体情况</w:t>
      </w:r>
    </w:p>
    <w:p w14:paraId="270FEF9C">
      <w:pPr>
        <w:spacing w:line="580" w:lineRule="exact"/>
        <w:ind w:firstLine="640"/>
        <w:jc w:val="both"/>
      </w:pPr>
      <w:r>
        <w:rPr>
          <w:rFonts w:ascii="仿宋_GB2312" w:hAnsi="仿宋_GB2312" w:eastAsia="仿宋_GB2312"/>
          <w:b/>
          <w:sz w:val="32"/>
        </w:rPr>
        <w:t>2024年度一般公共预算财政拨款支出1,910.50万元，</w:t>
      </w:r>
      <w:r>
        <w:rPr>
          <w:rFonts w:ascii="仿宋_GB2312" w:hAnsi="仿宋_GB2312" w:eastAsia="仿宋_GB2312"/>
          <w:b w:val="0"/>
          <w:sz w:val="32"/>
        </w:rPr>
        <w:t>占本年支出合计的89.20%。</w:t>
      </w:r>
      <w:r>
        <w:rPr>
          <w:rFonts w:ascii="仿宋_GB2312" w:hAnsi="仿宋_GB2312" w:eastAsia="仿宋_GB2312"/>
          <w:b/>
          <w:sz w:val="32"/>
        </w:rPr>
        <w:t>与上年相比，</w:t>
      </w:r>
      <w:r>
        <w:rPr>
          <w:rFonts w:ascii="仿宋_GB2312" w:hAnsi="仿宋_GB2312" w:eastAsia="仿宋_GB2312"/>
          <w:b w:val="0"/>
          <w:sz w:val="32"/>
        </w:rPr>
        <w:t>增加1,910.50万元，增长100.00%，主要原因是：本年机构改革，上年与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年初预算数2,002.57万元，决算数1,910.50万元，预决算差异率-4.60%，主要原因是：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办公费、电费、邮电费</w:t>
      </w:r>
      <w:r>
        <w:rPr>
          <w:rFonts w:hint="eastAsia" w:ascii="仿宋_GB2312" w:hAnsi="仿宋_GB2312" w:eastAsia="仿宋_GB2312"/>
          <w:b w:val="0"/>
          <w:sz w:val="32"/>
          <w:lang w:val="en-US" w:eastAsia="zh-CN"/>
        </w:rPr>
        <w:t>等公用经费</w:t>
      </w:r>
      <w:r>
        <w:rPr>
          <w:rFonts w:ascii="仿宋_GB2312" w:hAnsi="仿宋_GB2312" w:eastAsia="仿宋_GB2312"/>
          <w:b w:val="0"/>
          <w:sz w:val="32"/>
        </w:rPr>
        <w:t>，导致预决算存在差异。</w:t>
      </w:r>
    </w:p>
    <w:p w14:paraId="6BEC696E">
      <w:pPr>
        <w:spacing w:line="640" w:lineRule="exact"/>
        <w:ind w:firstLine="640"/>
        <w:jc w:val="both"/>
        <w:outlineLvl w:val="3"/>
      </w:pPr>
      <w:r>
        <w:rPr>
          <w:rFonts w:ascii="楷体_GB2312" w:hAnsi="楷体_GB2312" w:eastAsia="楷体_GB2312"/>
          <w:b/>
          <w:sz w:val="32"/>
        </w:rPr>
        <w:t>（二）一般公共预算财政拨款支出决算结构情况</w:t>
      </w:r>
    </w:p>
    <w:p w14:paraId="37B5EF4E">
      <w:pPr>
        <w:spacing w:line="580" w:lineRule="exact"/>
        <w:ind w:firstLine="640"/>
        <w:jc w:val="both"/>
      </w:pPr>
      <w:r>
        <w:rPr>
          <w:rFonts w:ascii="仿宋_GB2312" w:hAnsi="仿宋_GB2312" w:eastAsia="仿宋_GB2312"/>
          <w:b w:val="0"/>
          <w:sz w:val="32"/>
        </w:rPr>
        <w:t>1.一般公共服务支出(类)723.31万元,占37.86%。</w:t>
      </w:r>
    </w:p>
    <w:p w14:paraId="36813693">
      <w:pPr>
        <w:spacing w:line="580" w:lineRule="exact"/>
        <w:ind w:firstLine="640"/>
        <w:jc w:val="both"/>
      </w:pPr>
      <w:r>
        <w:rPr>
          <w:rFonts w:ascii="仿宋_GB2312" w:hAnsi="仿宋_GB2312" w:eastAsia="仿宋_GB2312"/>
          <w:b w:val="0"/>
          <w:sz w:val="32"/>
        </w:rPr>
        <w:t>2.社会保障和就业支出(类)47.83万元,占2.50%。</w:t>
      </w:r>
    </w:p>
    <w:p w14:paraId="7246EDCD">
      <w:pPr>
        <w:spacing w:line="580" w:lineRule="exact"/>
        <w:ind w:firstLine="640"/>
        <w:jc w:val="both"/>
      </w:pPr>
      <w:r>
        <w:rPr>
          <w:rFonts w:ascii="仿宋_GB2312" w:hAnsi="仿宋_GB2312" w:eastAsia="仿宋_GB2312"/>
          <w:b w:val="0"/>
          <w:sz w:val="32"/>
        </w:rPr>
        <w:t>3.卫生健康支出(类)12.80万元,占0.67%。</w:t>
      </w:r>
    </w:p>
    <w:p w14:paraId="0E5E8BD2">
      <w:pPr>
        <w:spacing w:line="580" w:lineRule="exact"/>
        <w:ind w:firstLine="640"/>
        <w:jc w:val="both"/>
      </w:pPr>
      <w:r>
        <w:rPr>
          <w:rFonts w:ascii="仿宋_GB2312" w:hAnsi="仿宋_GB2312" w:eastAsia="仿宋_GB2312"/>
          <w:b w:val="0"/>
          <w:sz w:val="32"/>
        </w:rPr>
        <w:t>4.农林水支出(类)1,025.40万元,占53.67%。</w:t>
      </w:r>
    </w:p>
    <w:p w14:paraId="390F572D">
      <w:pPr>
        <w:spacing w:line="580" w:lineRule="exact"/>
        <w:ind w:firstLine="640"/>
        <w:jc w:val="both"/>
      </w:pPr>
      <w:r>
        <w:rPr>
          <w:rFonts w:ascii="仿宋_GB2312" w:hAnsi="仿宋_GB2312" w:eastAsia="仿宋_GB2312"/>
          <w:b w:val="0"/>
          <w:sz w:val="32"/>
        </w:rPr>
        <w:t>5.商业服务业等支出(类)84.32万元,占4.41%。</w:t>
      </w:r>
    </w:p>
    <w:p w14:paraId="5F37A2A5">
      <w:pPr>
        <w:spacing w:line="580" w:lineRule="exact"/>
        <w:ind w:firstLine="640"/>
        <w:jc w:val="both"/>
      </w:pPr>
      <w:r>
        <w:rPr>
          <w:rFonts w:ascii="仿宋_GB2312" w:hAnsi="仿宋_GB2312" w:eastAsia="仿宋_GB2312"/>
          <w:b w:val="0"/>
          <w:sz w:val="32"/>
        </w:rPr>
        <w:t>6.住房保障支出(类)16.84万元,占0.88%。</w:t>
      </w:r>
    </w:p>
    <w:p w14:paraId="29DEE33C">
      <w:pPr>
        <w:spacing w:line="640" w:lineRule="exact"/>
        <w:ind w:firstLine="640"/>
        <w:jc w:val="both"/>
        <w:outlineLvl w:val="3"/>
      </w:pPr>
      <w:r>
        <w:rPr>
          <w:rFonts w:ascii="楷体_GB2312" w:hAnsi="楷体_GB2312" w:eastAsia="楷体_GB2312"/>
          <w:b/>
          <w:sz w:val="32"/>
        </w:rPr>
        <w:t>（三）一般公共预算财政拨款支出决算具体情况</w:t>
      </w:r>
    </w:p>
    <w:p w14:paraId="5C437B17">
      <w:pPr>
        <w:spacing w:line="580" w:lineRule="exact"/>
        <w:ind w:firstLine="640"/>
        <w:jc w:val="both"/>
      </w:pPr>
      <w:r>
        <w:rPr>
          <w:rFonts w:ascii="仿宋_GB2312" w:hAnsi="仿宋_GB2312" w:eastAsia="仿宋_GB2312"/>
          <w:b w:val="0"/>
          <w:sz w:val="32"/>
        </w:rPr>
        <w:t>1.一般公共服务支出(类)统战事务(款)行政运行(项):支出决算数为222.78万元，比上年决算增加222.78万元，增长100.00%,主要原因是：本年机构改革，上年与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00C22334">
      <w:pPr>
        <w:spacing w:line="580" w:lineRule="exact"/>
        <w:ind w:firstLine="640"/>
        <w:jc w:val="both"/>
      </w:pPr>
      <w:r>
        <w:rPr>
          <w:rFonts w:ascii="仿宋_GB2312" w:hAnsi="仿宋_GB2312" w:eastAsia="仿宋_GB2312"/>
          <w:b w:val="0"/>
          <w:sz w:val="32"/>
        </w:rPr>
        <w:t>2.一般公共服务支出(类)统战事务(款)宗教事务(项):支出决算数为472.23万元，比上年决算增加472.23万元，增长100.00%,主要原因是：本年机构改革，上年与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0BB2FAD7">
      <w:pPr>
        <w:spacing w:line="580" w:lineRule="exact"/>
        <w:ind w:firstLine="640"/>
        <w:jc w:val="both"/>
      </w:pPr>
      <w:r>
        <w:rPr>
          <w:rFonts w:ascii="仿宋_GB2312" w:hAnsi="仿宋_GB2312" w:eastAsia="仿宋_GB2312"/>
          <w:b w:val="0"/>
          <w:sz w:val="32"/>
        </w:rPr>
        <w:t>3.一般公共服务支出(类)统战事务(款)事业运行(项):支出决算数为28.30万元，比上年决算增加28.30万元，增长100.00%,主要原因是：本年机构改革，上年与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57F6B43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4.社会保障和就业支出(类)行政事业单位养老支出(款)行政单位离退休(项):支出决算数为15.40万元，比上年决算增加15.40万元，增长100.00%,主要原因是：本年机构改革，上年与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2FE07E5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5.社会保障和就业支出(类)行政事业单位养老支出(款)机关事业单位基本养老保险缴费支出(项):支出决算数为24.00万元，比上年决算增加24.00万元，增长100.00%,主要原因是：本年机构改革，上年与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36969F5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6.社会保障和就业支出(类)行政事业单位养老支出(款)机关事业单位职业年金缴费支出(项):支出决算数为8.44万元，比上年决算增加8.44万元，增长100.00%,主要原因是：本年机构改革，上年与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522A7FA6">
      <w:pPr>
        <w:spacing w:line="580" w:lineRule="exact"/>
        <w:ind w:firstLine="640"/>
        <w:jc w:val="both"/>
      </w:pPr>
      <w:r>
        <w:rPr>
          <w:rFonts w:ascii="仿宋_GB2312" w:hAnsi="仿宋_GB2312" w:eastAsia="仿宋_GB2312"/>
          <w:b w:val="0"/>
          <w:sz w:val="32"/>
        </w:rPr>
        <w:t>7.卫生健康支出(类)行政事业单位医疗(款)行政单位医疗(项):支出决算数为10.20万元，比上年决算增加10.20万元，增长100.00%,主要原因是：本年机构改革，上年与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0A785081">
      <w:pPr>
        <w:spacing w:line="580" w:lineRule="exact"/>
        <w:ind w:firstLine="640"/>
        <w:jc w:val="both"/>
      </w:pPr>
      <w:r>
        <w:rPr>
          <w:rFonts w:ascii="仿宋_GB2312" w:hAnsi="仿宋_GB2312" w:eastAsia="仿宋_GB2312"/>
          <w:b w:val="0"/>
          <w:sz w:val="32"/>
        </w:rPr>
        <w:t>8.卫生健康支出(类)行政事业单位医疗(款)公务员医疗补助(项):支出决算数为2.61万元，比上年决算增加2.61万元，增长100.00%,主要原因是：本年机构改革，上年与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79ADEC6E">
      <w:pPr>
        <w:spacing w:line="580" w:lineRule="exact"/>
        <w:ind w:firstLine="640"/>
        <w:jc w:val="both"/>
      </w:pPr>
      <w:r>
        <w:rPr>
          <w:rFonts w:ascii="仿宋_GB2312" w:hAnsi="仿宋_GB2312" w:eastAsia="仿宋_GB2312"/>
          <w:b w:val="0"/>
          <w:sz w:val="32"/>
        </w:rPr>
        <w:t>9.农林水支出(类)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衔接乡村振兴(款)生产发展(项):支出决算数为1,025.40万元，比上年决算增加1,025.40万元，增长100.00%,主要原因是：本年机构改革，上年与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75EA4A75">
      <w:pPr>
        <w:spacing w:line="580" w:lineRule="exact"/>
        <w:ind w:firstLine="640"/>
        <w:jc w:val="both"/>
      </w:pPr>
      <w:r>
        <w:rPr>
          <w:rFonts w:ascii="仿宋_GB2312" w:hAnsi="仿宋_GB2312" w:eastAsia="仿宋_GB2312"/>
          <w:b w:val="0"/>
          <w:sz w:val="32"/>
        </w:rPr>
        <w:t>10.商业服务业等支出(类)商业流通事务(款)民贸民品贷款贴息(项):支出决算数为84.32万元，比上年决算增加84.32万元，增长100.00%,主要原因是：本年机构改革，上年与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118FC921">
      <w:pPr>
        <w:spacing w:line="580" w:lineRule="exact"/>
        <w:ind w:firstLine="640"/>
        <w:jc w:val="both"/>
      </w:pPr>
      <w:r>
        <w:rPr>
          <w:rFonts w:ascii="仿宋_GB2312" w:hAnsi="仿宋_GB2312" w:eastAsia="仿宋_GB2312"/>
          <w:b w:val="0"/>
          <w:sz w:val="32"/>
        </w:rPr>
        <w:t>11.住房保障支出(类)住房改革支出(款)住房公积金(项):支出决算数为16.84万元，比上年决算增加16.84万元，增长100.00%,主要原因是：本年机构改革，上年与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70C62E7B">
      <w:pPr>
        <w:spacing w:line="640" w:lineRule="exact"/>
        <w:ind w:firstLine="640"/>
        <w:jc w:val="both"/>
        <w:outlineLvl w:val="2"/>
      </w:pPr>
      <w:r>
        <w:rPr>
          <w:rFonts w:ascii="黑体" w:hAnsi="黑体" w:eastAsia="黑体"/>
          <w:sz w:val="32"/>
        </w:rPr>
        <w:t>六、一般公共预算财政拨款基本支出决算情况说明</w:t>
      </w:r>
    </w:p>
    <w:p w14:paraId="60D71967">
      <w:pPr>
        <w:spacing w:line="580" w:lineRule="exact"/>
        <w:ind w:firstLine="640"/>
        <w:jc w:val="both"/>
      </w:pPr>
      <w:r>
        <w:rPr>
          <w:rFonts w:ascii="仿宋_GB2312" w:hAnsi="仿宋_GB2312" w:eastAsia="仿宋_GB2312"/>
          <w:b w:val="0"/>
          <w:sz w:val="32"/>
        </w:rPr>
        <w:t>2024年度一般公共预算财政拨款基本支出362.59万元，其中：</w:t>
      </w:r>
      <w:r>
        <w:rPr>
          <w:rFonts w:ascii="仿宋_GB2312" w:hAnsi="仿宋_GB2312" w:eastAsia="仿宋_GB2312"/>
          <w:b/>
          <w:sz w:val="32"/>
        </w:rPr>
        <w:t>人员经费350.45万元，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27A17D63">
      <w:pPr>
        <w:spacing w:line="580" w:lineRule="exact"/>
        <w:ind w:firstLine="640"/>
        <w:jc w:val="both"/>
      </w:pPr>
      <w:r>
        <w:rPr>
          <w:rFonts w:ascii="仿宋_GB2312" w:hAnsi="仿宋_GB2312" w:eastAsia="仿宋_GB2312"/>
          <w:b/>
          <w:sz w:val="32"/>
        </w:rPr>
        <w:t>公用经费12.14万元，</w:t>
      </w:r>
      <w:r>
        <w:rPr>
          <w:rFonts w:ascii="仿宋_GB2312" w:hAnsi="仿宋_GB2312" w:eastAsia="仿宋_GB2312"/>
          <w:b w:val="0"/>
          <w:sz w:val="32"/>
        </w:rPr>
        <w:t>包括：办公费、电费、邮电费、取暖费、差旅费、专用材料费。</w:t>
      </w:r>
    </w:p>
    <w:p w14:paraId="5CAA64DF">
      <w:pPr>
        <w:spacing w:line="640" w:lineRule="exact"/>
        <w:ind w:firstLine="640"/>
        <w:jc w:val="both"/>
        <w:outlineLvl w:val="2"/>
      </w:pPr>
      <w:r>
        <w:rPr>
          <w:rFonts w:ascii="黑体" w:hAnsi="黑体" w:eastAsia="黑体"/>
          <w:sz w:val="32"/>
        </w:rPr>
        <w:t>七、政府性基金预算财政拨款收入支出决算情况说明</w:t>
      </w:r>
    </w:p>
    <w:p w14:paraId="70592D0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D8802F5">
      <w:pPr>
        <w:spacing w:line="640" w:lineRule="exact"/>
        <w:ind w:firstLine="640"/>
        <w:jc w:val="both"/>
        <w:outlineLvl w:val="2"/>
      </w:pPr>
      <w:r>
        <w:rPr>
          <w:rFonts w:ascii="黑体" w:hAnsi="黑体" w:eastAsia="黑体"/>
          <w:sz w:val="32"/>
        </w:rPr>
        <w:t>八、国有资本经营预算财政拨款收入支出决算情况说明</w:t>
      </w:r>
    </w:p>
    <w:p w14:paraId="58A375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1B0661">
      <w:pPr>
        <w:spacing w:line="640" w:lineRule="exact"/>
        <w:ind w:firstLine="640"/>
        <w:jc w:val="both"/>
        <w:outlineLvl w:val="2"/>
      </w:pPr>
      <w:r>
        <w:rPr>
          <w:rFonts w:ascii="黑体" w:hAnsi="黑体" w:eastAsia="黑体"/>
          <w:sz w:val="32"/>
        </w:rPr>
        <w:t>九、财政拨款“三公”经费支出决算情况说明</w:t>
      </w:r>
    </w:p>
    <w:p w14:paraId="73E5622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04AE677A">
      <w:pPr>
        <w:spacing w:line="580" w:lineRule="exact"/>
        <w:ind w:firstLine="640"/>
        <w:jc w:val="both"/>
      </w:pPr>
      <w:r>
        <w:rPr>
          <w:rFonts w:ascii="仿宋_GB2312" w:hAnsi="仿宋_GB2312" w:eastAsia="仿宋_GB2312"/>
          <w:b/>
          <w:sz w:val="32"/>
        </w:rPr>
        <w:t>具体情况如下：</w:t>
      </w:r>
    </w:p>
    <w:p w14:paraId="025FCD7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DD5C3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1辆，为单位业务用车，车辆费用未使用财政拨款公务用车运行维护费支付。</w:t>
      </w:r>
    </w:p>
    <w:p w14:paraId="02E65E7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D3F56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23D587">
      <w:pPr>
        <w:spacing w:line="640" w:lineRule="exact"/>
        <w:ind w:firstLine="640"/>
        <w:jc w:val="both"/>
        <w:outlineLvl w:val="2"/>
      </w:pPr>
      <w:r>
        <w:rPr>
          <w:rFonts w:ascii="黑体" w:hAnsi="黑体" w:eastAsia="黑体"/>
          <w:sz w:val="32"/>
        </w:rPr>
        <w:t>十、其他重要事项的情况说明</w:t>
      </w:r>
    </w:p>
    <w:p w14:paraId="3DB8DC92">
      <w:pPr>
        <w:spacing w:line="640" w:lineRule="exact"/>
        <w:ind w:firstLine="640"/>
        <w:jc w:val="both"/>
        <w:outlineLvl w:val="3"/>
      </w:pPr>
      <w:r>
        <w:rPr>
          <w:rFonts w:ascii="楷体_GB2312" w:hAnsi="楷体_GB2312" w:eastAsia="楷体_GB2312"/>
          <w:b/>
          <w:sz w:val="32"/>
        </w:rPr>
        <w:t>（一）机关运行经费及公用经费支出情况</w:t>
      </w:r>
    </w:p>
    <w:p w14:paraId="73489917">
      <w:pPr>
        <w:spacing w:line="580" w:lineRule="exact"/>
        <w:ind w:firstLine="640"/>
        <w:jc w:val="both"/>
      </w:pPr>
      <w:r>
        <w:rPr>
          <w:rFonts w:ascii="仿宋_GB2312" w:hAnsi="仿宋_GB2312" w:eastAsia="仿宋_GB2312"/>
          <w:b w:val="0"/>
          <w:sz w:val="32"/>
        </w:rPr>
        <w:t>2024年度中共英吉沙县委员会统一战线工作部（行政单位和参照公务员法管理事业单位）机关运行经费支出12.14万元，比上年增加12.14万元，增长100.00%，主要原因是：本年机构改革，上年与</w:t>
      </w:r>
      <w:r>
        <w:rPr>
          <w:rFonts w:hint="eastAsia" w:ascii="仿宋_GB2312" w:hAnsi="仿宋_GB2312" w:eastAsia="仿宋_GB2312"/>
          <w:b w:val="0"/>
          <w:sz w:val="32"/>
        </w:rPr>
        <w:t>中共英吉沙县委办公室</w:t>
      </w:r>
      <w:r>
        <w:rPr>
          <w:rFonts w:ascii="仿宋_GB2312" w:hAnsi="仿宋_GB2312" w:eastAsia="仿宋_GB2312"/>
          <w:b w:val="0"/>
          <w:sz w:val="32"/>
        </w:rPr>
        <w:t>合并，本年独立核算，无上年对比数据。</w:t>
      </w:r>
    </w:p>
    <w:p w14:paraId="54D313C9">
      <w:pPr>
        <w:spacing w:line="640" w:lineRule="exact"/>
        <w:ind w:firstLine="640"/>
        <w:jc w:val="both"/>
        <w:outlineLvl w:val="3"/>
      </w:pPr>
      <w:r>
        <w:rPr>
          <w:rFonts w:ascii="楷体_GB2312" w:hAnsi="楷体_GB2312" w:eastAsia="楷体_GB2312"/>
          <w:b/>
          <w:sz w:val="32"/>
        </w:rPr>
        <w:t>（二）政府采购情况</w:t>
      </w:r>
    </w:p>
    <w:p w14:paraId="4DDC3F2E">
      <w:pPr>
        <w:spacing w:line="580" w:lineRule="exact"/>
        <w:ind w:firstLine="640"/>
        <w:jc w:val="both"/>
      </w:pPr>
      <w:r>
        <w:rPr>
          <w:rFonts w:ascii="仿宋_GB2312" w:hAnsi="仿宋_GB2312" w:eastAsia="仿宋_GB2312"/>
          <w:b w:val="0"/>
          <w:sz w:val="32"/>
        </w:rPr>
        <w:t>2024年度政府采购支出总额983.75万元，其中：政府采购货物支出964.00万元、政府采购工程支出19.57万元、政府采购服务支出0.18万元。</w:t>
      </w:r>
    </w:p>
    <w:p w14:paraId="517EAB2A">
      <w:pPr>
        <w:spacing w:line="580" w:lineRule="exact"/>
        <w:ind w:firstLine="640"/>
        <w:jc w:val="both"/>
      </w:pPr>
      <w:r>
        <w:rPr>
          <w:rFonts w:ascii="仿宋_GB2312" w:hAnsi="仿宋_GB2312" w:eastAsia="仿宋_GB2312"/>
          <w:b w:val="0"/>
          <w:sz w:val="32"/>
        </w:rPr>
        <w:t>授予中小企业合同金额976.23万元，占政府采购支出总额的99.24%，其中：授予小微企业合同金额36.95万元，占政府采购支出总额的3.76%。</w:t>
      </w:r>
    </w:p>
    <w:p w14:paraId="38D7143D">
      <w:pPr>
        <w:spacing w:line="640" w:lineRule="exact"/>
        <w:ind w:firstLine="640"/>
        <w:jc w:val="both"/>
        <w:outlineLvl w:val="3"/>
      </w:pPr>
      <w:r>
        <w:rPr>
          <w:rFonts w:ascii="楷体_GB2312" w:hAnsi="楷体_GB2312" w:eastAsia="楷体_GB2312"/>
          <w:b/>
          <w:sz w:val="32"/>
        </w:rPr>
        <w:t>（三）国有资产占用情况说明</w:t>
      </w:r>
    </w:p>
    <w:p w14:paraId="32BA16C5">
      <w:pPr>
        <w:spacing w:line="580" w:lineRule="exact"/>
        <w:ind w:firstLine="640"/>
        <w:jc w:val="both"/>
      </w:pPr>
      <w:r>
        <w:rPr>
          <w:rFonts w:ascii="仿宋_GB2312" w:hAnsi="仿宋_GB2312" w:eastAsia="仿宋_GB2312"/>
          <w:b w:val="0"/>
          <w:sz w:val="32"/>
        </w:rPr>
        <w:t>截至2024年12月31日，房屋0.00平方米，价值0.00万元。车辆1辆，价值19.53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单位</w:t>
      </w:r>
      <w:r>
        <w:rPr>
          <w:rFonts w:ascii="仿宋_GB2312" w:hAnsi="仿宋_GB2312" w:eastAsia="仿宋_GB2312"/>
          <w:b w:val="0"/>
          <w:sz w:val="32"/>
        </w:rPr>
        <w:t>业务用车。单价100万元（含）以上设备（不含车辆）0台（套）。</w:t>
      </w:r>
    </w:p>
    <w:p w14:paraId="4B839958">
      <w:pPr>
        <w:spacing w:line="640" w:lineRule="exact"/>
        <w:ind w:firstLine="640"/>
        <w:jc w:val="both"/>
        <w:outlineLvl w:val="2"/>
      </w:pPr>
      <w:r>
        <w:rPr>
          <w:rFonts w:ascii="黑体" w:hAnsi="黑体" w:eastAsia="黑体"/>
          <w:sz w:val="32"/>
        </w:rPr>
        <w:t>十一、预算绩效的情况说明</w:t>
      </w:r>
    </w:p>
    <w:p w14:paraId="1330702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根据预算绩效管理要求，本单位2024年度预算绩效管理形成整体支出绩效自评表1个，全年预算总额2,141.80万元，实际执行总额2,141.80万元；预算绩效评价项目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086.89</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994.82</w:t>
      </w:r>
      <w:r>
        <w:rPr>
          <w:rFonts w:ascii="仿宋_GB2312" w:hAnsi="仿宋_GB2312" w:eastAsia="仿宋_GB2312"/>
          <w:b w:val="0"/>
          <w:sz w:val="32"/>
        </w:rPr>
        <w:t>万元。预算绩效管理取得的成效：一是资金使用效能显著提升，保障重点任务精准有效落实，强化项目事前评估、目标设定、过程监管与结果应用，有效提升了财政资源配置效率和使用效益。二是项目管理机制持续优化，决策与执行科学性规范性增强，预算绩效管理的深入实施，</w:t>
      </w:r>
      <w:r>
        <w:rPr>
          <w:rFonts w:hint="eastAsia" w:ascii="仿宋_GB2312" w:hAnsi="仿宋_GB2312" w:eastAsia="仿宋_GB2312"/>
          <w:b w:val="0"/>
          <w:sz w:val="32"/>
          <w:lang w:eastAsia="zh-CN"/>
        </w:rPr>
        <w:t>有力</w:t>
      </w:r>
      <w:r>
        <w:rPr>
          <w:rFonts w:ascii="仿宋_GB2312" w:hAnsi="仿宋_GB2312" w:eastAsia="仿宋_GB2312"/>
          <w:b w:val="0"/>
          <w:sz w:val="32"/>
        </w:rPr>
        <w:t>推动了项目管理流程的规范化和精细化。发现的问题及原因：一是绩效评价体系还不够完善。对预算绩效管理的重要性认识不足，在预算绩效管</w:t>
      </w:r>
      <w:r>
        <w:rPr>
          <w:rFonts w:hint="eastAsia" w:ascii="仿宋_GB2312" w:hAnsi="仿宋_GB2312" w:eastAsia="仿宋_GB2312"/>
          <w:b w:val="0"/>
          <w:sz w:val="32"/>
          <w:lang w:eastAsia="zh-CN"/>
        </w:rPr>
        <w:t>理中</w:t>
      </w:r>
      <w:r>
        <w:rPr>
          <w:rFonts w:ascii="仿宋_GB2312" w:hAnsi="仿宋_GB2312" w:eastAsia="仿宋_GB2312"/>
          <w:b w:val="0"/>
          <w:sz w:val="32"/>
        </w:rPr>
        <w:t>认识和了解不够深入，预算绩效管理体制没有完善建立起来；二是管理水平和政策实施效果还不够明显。预算绩效管理队伍薄弱，对预算绩效管理的经验欠缺，工作人员频繁更换，工作人员业务不精通，经验有限，实际操作难，无法做到对预算绩效工作的全面管理。下一步改进措施：一是不断加强绩效管理队伍建设。加强对预算单位绩效专干、财务人员对绩效系统的培训，强化预算绩效管理、成本管理的理念、完善绩效指标，提高整体绩效目标质量，提升预算精细化管理水平；二是继续完善预算管理相关工作制度，建立健全过程预算绩效管理链条，有效贯彻落实全面实施绩效管理的精神。具体附整体支出绩效自评表，项目支出绩效自评表和评价报告。</w:t>
      </w:r>
    </w:p>
    <w:p w14:paraId="520CF630">
      <w:r>
        <w:br w:type="page"/>
      </w:r>
    </w:p>
    <w:tbl>
      <w:tblPr>
        <w:tblStyle w:val="9"/>
        <w:tblW w:w="0" w:type="auto"/>
        <w:tblInd w:w="0" w:type="dxa"/>
        <w:tblLayout w:type="fixed"/>
        <w:tblCellMar>
          <w:top w:w="0" w:type="dxa"/>
          <w:left w:w="108" w:type="dxa"/>
          <w:bottom w:w="0" w:type="dxa"/>
          <w:right w:w="108" w:type="dxa"/>
        </w:tblCellMar>
      </w:tblPr>
      <w:tblGrid>
        <w:gridCol w:w="983"/>
        <w:gridCol w:w="983"/>
        <w:gridCol w:w="1178"/>
        <w:gridCol w:w="788"/>
        <w:gridCol w:w="983"/>
        <w:gridCol w:w="983"/>
        <w:gridCol w:w="983"/>
        <w:gridCol w:w="983"/>
        <w:gridCol w:w="983"/>
      </w:tblGrid>
      <w:tr w14:paraId="58B3366A">
        <w:tc>
          <w:tcPr>
            <w:tcW w:w="8847" w:type="dxa"/>
            <w:gridSpan w:val="9"/>
            <w:vAlign w:val="center"/>
          </w:tcPr>
          <w:p w14:paraId="481C6526">
            <w:pPr>
              <w:jc w:val="center"/>
            </w:pPr>
            <w:r>
              <w:rPr>
                <w:rFonts w:ascii="宋体" w:hAnsi="宋体" w:eastAsia="宋体"/>
                <w:sz w:val="24"/>
              </w:rPr>
              <w:t>单位整体支出绩效自评表</w:t>
            </w:r>
          </w:p>
        </w:tc>
      </w:tr>
      <w:tr w14:paraId="6DA8EC06">
        <w:tblPrEx>
          <w:tblCellMar>
            <w:top w:w="0" w:type="dxa"/>
            <w:left w:w="108" w:type="dxa"/>
            <w:bottom w:w="0" w:type="dxa"/>
            <w:right w:w="108" w:type="dxa"/>
          </w:tblCellMar>
        </w:tblPrEx>
        <w:tc>
          <w:tcPr>
            <w:tcW w:w="8847" w:type="dxa"/>
            <w:gridSpan w:val="9"/>
            <w:vAlign w:val="center"/>
          </w:tcPr>
          <w:p w14:paraId="10EFFBEA">
            <w:pPr>
              <w:jc w:val="center"/>
            </w:pPr>
            <w:r>
              <w:rPr>
                <w:rFonts w:ascii="宋体" w:hAnsi="宋体" w:eastAsia="宋体"/>
                <w:sz w:val="24"/>
              </w:rPr>
              <w:t>（2024年度）</w:t>
            </w:r>
          </w:p>
        </w:tc>
      </w:tr>
      <w:tr w14:paraId="4236FD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44E8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0BCA87">
            <w:pPr>
              <w:jc w:val="center"/>
            </w:pPr>
            <w:r>
              <w:rPr>
                <w:rFonts w:ascii="宋体" w:hAnsi="宋体" w:eastAsia="宋体"/>
                <w:sz w:val="16"/>
              </w:rPr>
              <w:t>中共英吉沙县委员会统一战线工作部</w:t>
            </w:r>
          </w:p>
        </w:tc>
      </w:tr>
      <w:tr w14:paraId="7276CF9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64EB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3EEFF">
            <w:pPr>
              <w:jc w:val="center"/>
            </w:pPr>
            <w:r>
              <w:rPr>
                <w:rFonts w:ascii="宋体" w:hAnsi="宋体" w:eastAsia="宋体"/>
                <w:sz w:val="16"/>
              </w:rPr>
              <w:t>资金来源</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26F0954">
            <w:pPr>
              <w:jc w:val="center"/>
            </w:pPr>
            <w:r>
              <w:rPr>
                <w:rFonts w:ascii="宋体" w:hAnsi="宋体" w:eastAsia="宋体"/>
                <w:sz w:val="16"/>
              </w:rPr>
              <w:t>年初预算数</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C81C91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51D0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B71F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A7A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5082C">
            <w:pPr>
              <w:jc w:val="center"/>
            </w:pPr>
            <w:r>
              <w:rPr>
                <w:rFonts w:ascii="宋体" w:hAnsi="宋体" w:eastAsia="宋体"/>
                <w:sz w:val="16"/>
              </w:rPr>
              <w:t>得分</w:t>
            </w:r>
          </w:p>
        </w:tc>
      </w:tr>
      <w:tr w14:paraId="337807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8FF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B2AD3">
            <w:pPr>
              <w:jc w:val="center"/>
            </w:pPr>
            <w:r>
              <w:rPr>
                <w:rFonts w:ascii="宋体" w:hAnsi="宋体" w:eastAsia="宋体"/>
                <w:sz w:val="16"/>
              </w:rPr>
              <w:t>年度总资金：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67C943B">
            <w:pPr>
              <w:jc w:val="center"/>
            </w:pPr>
            <w:r>
              <w:rPr>
                <w:rFonts w:ascii="宋体" w:hAnsi="宋体" w:eastAsia="宋体"/>
                <w:sz w:val="16"/>
              </w:rPr>
              <w:t>2,002.57</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A3150E4">
            <w:pPr>
              <w:jc w:val="center"/>
            </w:pPr>
            <w:r>
              <w:rPr>
                <w:rFonts w:ascii="宋体" w:hAnsi="宋体" w:eastAsia="宋体"/>
                <w:sz w:val="16"/>
              </w:rPr>
              <w:t>2,141.80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DE138">
            <w:pPr>
              <w:jc w:val="center"/>
            </w:pPr>
            <w:r>
              <w:rPr>
                <w:rFonts w:ascii="宋体" w:hAnsi="宋体" w:eastAsia="宋体"/>
                <w:sz w:val="16"/>
              </w:rPr>
              <w:t>2,141.80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B05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CD46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D741F">
            <w:pPr>
              <w:jc w:val="center"/>
            </w:pPr>
            <w:r>
              <w:rPr>
                <w:rFonts w:ascii="宋体" w:hAnsi="宋体" w:eastAsia="宋体"/>
                <w:sz w:val="16"/>
              </w:rPr>
              <w:t>10</w:t>
            </w:r>
          </w:p>
        </w:tc>
      </w:tr>
      <w:tr w14:paraId="4A1DBD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856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4948A">
            <w:pPr>
              <w:jc w:val="center"/>
            </w:pPr>
            <w:r>
              <w:rPr>
                <w:rFonts w:ascii="宋体" w:hAnsi="宋体" w:eastAsia="宋体"/>
                <w:sz w:val="16"/>
              </w:rPr>
              <w:t>上级资金：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F6A9701">
            <w:pPr>
              <w:jc w:val="center"/>
            </w:pPr>
            <w:r>
              <w:rPr>
                <w:rFonts w:ascii="宋体" w:hAnsi="宋体" w:eastAsia="宋体"/>
                <w:sz w:val="16"/>
              </w:rPr>
              <w:t>1,601.30</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D805463">
            <w:pPr>
              <w:jc w:val="center"/>
            </w:pPr>
            <w:r>
              <w:rPr>
                <w:rFonts w:ascii="宋体" w:hAnsi="宋体" w:eastAsia="宋体"/>
                <w:sz w:val="16"/>
              </w:rPr>
              <w:t>438.20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E4F8D">
            <w:pPr>
              <w:jc w:val="center"/>
            </w:pPr>
            <w:r>
              <w:rPr>
                <w:rFonts w:ascii="宋体" w:hAnsi="宋体" w:eastAsia="宋体"/>
                <w:sz w:val="16"/>
              </w:rPr>
              <w:t>438.20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C3F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BC2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D5AC">
            <w:pPr>
              <w:jc w:val="center"/>
            </w:pPr>
            <w:r>
              <w:rPr>
                <w:rFonts w:ascii="宋体" w:hAnsi="宋体" w:eastAsia="宋体"/>
                <w:sz w:val="16"/>
              </w:rPr>
              <w:t>—</w:t>
            </w:r>
          </w:p>
        </w:tc>
      </w:tr>
      <w:tr w14:paraId="3841C9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892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508B3">
            <w:pPr>
              <w:jc w:val="center"/>
            </w:pPr>
            <w:r>
              <w:rPr>
                <w:rFonts w:ascii="宋体" w:hAnsi="宋体" w:eastAsia="宋体"/>
                <w:sz w:val="16"/>
              </w:rPr>
              <w:t>本级资金：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1D0E7B02">
            <w:pPr>
              <w:jc w:val="center"/>
            </w:pPr>
            <w:r>
              <w:rPr>
                <w:rFonts w:ascii="宋体" w:hAnsi="宋体" w:eastAsia="宋体"/>
                <w:sz w:val="16"/>
              </w:rPr>
              <w:t>401.27</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7BF02DD">
            <w:pPr>
              <w:jc w:val="center"/>
            </w:pPr>
            <w:r>
              <w:rPr>
                <w:rFonts w:ascii="宋体" w:hAnsi="宋体" w:eastAsia="宋体"/>
                <w:sz w:val="16"/>
              </w:rPr>
              <w:t>362.59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6F2D">
            <w:pPr>
              <w:jc w:val="center"/>
            </w:pPr>
            <w:r>
              <w:rPr>
                <w:rFonts w:ascii="宋体" w:hAnsi="宋体" w:eastAsia="宋体"/>
                <w:sz w:val="16"/>
              </w:rPr>
              <w:t>362.59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60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EA83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74F10">
            <w:pPr>
              <w:jc w:val="center"/>
            </w:pPr>
            <w:r>
              <w:rPr>
                <w:rFonts w:ascii="宋体" w:hAnsi="宋体" w:eastAsia="宋体"/>
                <w:sz w:val="16"/>
              </w:rPr>
              <w:t>—</w:t>
            </w:r>
          </w:p>
        </w:tc>
      </w:tr>
      <w:tr w14:paraId="7902AF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7A9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D7516">
            <w:pPr>
              <w:jc w:val="center"/>
            </w:pPr>
            <w:r>
              <w:rPr>
                <w:rFonts w:ascii="宋体" w:hAnsi="宋体" w:eastAsia="宋体"/>
                <w:sz w:val="16"/>
              </w:rPr>
              <w:t>其他资金：</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62AB6EE">
            <w:pPr>
              <w:jc w:val="center"/>
            </w:pPr>
            <w:r>
              <w:rPr>
                <w:rFonts w:ascii="宋体" w:hAnsi="宋体" w:eastAsia="宋体"/>
                <w:sz w:val="16"/>
              </w:rPr>
              <w:t>0.00</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4853D80">
            <w:pPr>
              <w:jc w:val="center"/>
            </w:pPr>
            <w:r>
              <w:rPr>
                <w:rFonts w:ascii="宋体" w:hAnsi="宋体" w:eastAsia="宋体"/>
                <w:sz w:val="16"/>
              </w:rPr>
              <w:t>1,341.01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25BFA">
            <w:pPr>
              <w:jc w:val="center"/>
            </w:pPr>
            <w:r>
              <w:rPr>
                <w:rFonts w:ascii="宋体" w:hAnsi="宋体" w:eastAsia="宋体"/>
                <w:sz w:val="16"/>
              </w:rPr>
              <w:t>1,341.01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DD8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427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7138B">
            <w:pPr>
              <w:jc w:val="center"/>
            </w:pPr>
            <w:r>
              <w:rPr>
                <w:rFonts w:ascii="宋体" w:hAnsi="宋体" w:eastAsia="宋体"/>
                <w:sz w:val="16"/>
              </w:rPr>
              <w:t>—</w:t>
            </w:r>
          </w:p>
        </w:tc>
      </w:tr>
      <w:tr w14:paraId="54806F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BA13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1A18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A05531">
            <w:pPr>
              <w:jc w:val="center"/>
            </w:pPr>
            <w:r>
              <w:rPr>
                <w:rFonts w:ascii="宋体" w:hAnsi="宋体" w:eastAsia="宋体"/>
                <w:sz w:val="16"/>
              </w:rPr>
              <w:t>实际完成情况</w:t>
            </w:r>
          </w:p>
        </w:tc>
      </w:tr>
      <w:tr w14:paraId="064707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46CEE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93E15A">
            <w:pPr>
              <w:jc w:val="both"/>
            </w:pPr>
            <w:r>
              <w:rPr>
                <w:rFonts w:ascii="宋体" w:hAnsi="宋体" w:eastAsia="宋体"/>
                <w:sz w:val="16"/>
              </w:rPr>
              <w:t>英吉沙县委统战部充分利用线上和线下载体平台，扎实做好铸牢中华民族共同体意识宣传教育。打造特色精品示范点位，在聚力打造示范</w:t>
            </w:r>
            <w:r>
              <w:rPr>
                <w:rFonts w:hint="eastAsia" w:ascii="宋体" w:hAnsi="宋体"/>
                <w:sz w:val="16"/>
                <w:lang w:eastAsia="zh-CN"/>
              </w:rPr>
              <w:t>、基地</w:t>
            </w:r>
            <w:r>
              <w:rPr>
                <w:rFonts w:ascii="宋体" w:hAnsi="宋体" w:eastAsia="宋体"/>
                <w:sz w:val="16"/>
              </w:rPr>
              <w:t>、发挥引领上狠下功夫，抓好民族团结进步创建常规工作；推进伊斯兰教中国化；做好我县2024年民族特需商品生产企业贴息引导资金工作；抓好2024年项目的实施；抓好特色林果小镇恒温库建设项目的实施。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1D8403">
            <w:pPr>
              <w:jc w:val="both"/>
            </w:pPr>
            <w:r>
              <w:rPr>
                <w:rFonts w:ascii="宋体" w:hAnsi="宋体" w:eastAsia="宋体"/>
                <w:sz w:val="16"/>
              </w:rPr>
              <w:t>2024年英吉沙县委统战部充分利用线上和线下载体平台，扎实做好铸牢中华民族共同体意识宣传教育。打造特色精品示范点位，在聚力打造示范、发挥引领上狠下功夫，结合各单位实际和“十一进”特色，坚持主线，突出主题，展现亮点；抓好民族团结进步创建常规工作；推进伊斯兰教中国化；我县2024年发放3个民族特需商品生产企业贴息引导资金、2024年项目入户户数7468户、建设1座英吉沙县特色林果小镇恒温库，开展了4次微创活动、按月及时发放教职人员生活补助。</w:t>
            </w:r>
          </w:p>
        </w:tc>
      </w:tr>
      <w:tr w14:paraId="376365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1699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50D58">
            <w:pPr>
              <w:jc w:val="center"/>
            </w:pPr>
            <w:r>
              <w:rPr>
                <w:rFonts w:ascii="宋体" w:hAnsi="宋体" w:eastAsia="宋体"/>
                <w:sz w:val="16"/>
              </w:rPr>
              <w:t>二级指标</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6008F561">
            <w:pPr>
              <w:jc w:val="center"/>
            </w:pPr>
            <w:r>
              <w:rPr>
                <w:rFonts w:ascii="宋体" w:hAnsi="宋体" w:eastAsia="宋体"/>
                <w:sz w:val="16"/>
              </w:rPr>
              <w:t>三级指标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8394B9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E983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C131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137B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25EF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306FD">
            <w:pPr>
              <w:jc w:val="center"/>
            </w:pPr>
            <w:r>
              <w:rPr>
                <w:rFonts w:ascii="宋体" w:hAnsi="宋体" w:eastAsia="宋体"/>
                <w:sz w:val="16"/>
              </w:rPr>
              <w:t>得分</w:t>
            </w:r>
          </w:p>
        </w:tc>
      </w:tr>
      <w:tr w14:paraId="12B153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32E6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D8898">
            <w:pPr>
              <w:jc w:val="center"/>
            </w:pPr>
            <w:r>
              <w:rPr>
                <w:rFonts w:ascii="宋体" w:hAnsi="宋体" w:eastAsia="宋体"/>
                <w:sz w:val="16"/>
              </w:rPr>
              <w:t>数量指标</w:t>
            </w:r>
          </w:p>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3623106">
            <w:pPr>
              <w:jc w:val="center"/>
            </w:pPr>
            <w:r>
              <w:rPr>
                <w:rFonts w:ascii="宋体" w:hAnsi="宋体" w:eastAsia="宋体"/>
                <w:sz w:val="16"/>
              </w:rPr>
              <w:t>民族特需商品企业享受贴息引导资金</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0358F19">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CC64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7E1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B0170">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00E10">
            <w:pPr>
              <w:jc w:val="center"/>
            </w:pPr>
            <w:r>
              <w:rPr>
                <w:rFonts w:ascii="宋体" w:hAnsi="宋体" w:eastAsia="宋体"/>
                <w:sz w:val="16"/>
              </w:rPr>
              <w: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CE2CF">
            <w:pPr>
              <w:jc w:val="center"/>
            </w:pPr>
            <w:r>
              <w:rPr>
                <w:rFonts w:ascii="宋体" w:hAnsi="宋体" w:eastAsia="宋体"/>
                <w:sz w:val="16"/>
              </w:rPr>
              <w:t>15</w:t>
            </w:r>
          </w:p>
        </w:tc>
      </w:tr>
      <w:tr w14:paraId="72D581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168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FEAA9"/>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9BC17BB">
            <w:pPr>
              <w:jc w:val="center"/>
            </w:pPr>
            <w:r>
              <w:rPr>
                <w:rFonts w:ascii="宋体" w:hAnsi="宋体" w:eastAsia="宋体"/>
                <w:sz w:val="16"/>
              </w:rPr>
              <w:t>入户户数</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FECADBF">
            <w:pPr>
              <w:jc w:val="center"/>
            </w:pPr>
            <w:r>
              <w:rPr>
                <w:rFonts w:ascii="宋体" w:hAnsi="宋体" w:eastAsia="宋体"/>
                <w:sz w:val="16"/>
              </w:rPr>
              <w:t>&gt;=7468户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529B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2F94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FD9A7">
            <w:pPr>
              <w:jc w:val="center"/>
            </w:pPr>
            <w:r>
              <w:rPr>
                <w:rFonts w:ascii="宋体" w:hAnsi="宋体" w:eastAsia="宋体"/>
                <w:sz w:val="16"/>
              </w:rPr>
              <w:t>=7468户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AD2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5EC3E">
            <w:pPr>
              <w:jc w:val="center"/>
            </w:pPr>
            <w:r>
              <w:rPr>
                <w:rFonts w:ascii="宋体" w:hAnsi="宋体" w:eastAsia="宋体"/>
                <w:sz w:val="16"/>
              </w:rPr>
              <w:t>20</w:t>
            </w:r>
          </w:p>
        </w:tc>
      </w:tr>
      <w:tr w14:paraId="5BEAF2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322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760AF"/>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5A2837B9">
            <w:pPr>
              <w:jc w:val="center"/>
            </w:pPr>
            <w:r>
              <w:rPr>
                <w:rFonts w:ascii="宋体" w:hAnsi="宋体" w:eastAsia="宋体"/>
                <w:sz w:val="16"/>
              </w:rPr>
              <w:t>特色林果小镇恒温库建设</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6C74B85">
            <w:pPr>
              <w:jc w:val="center"/>
            </w:pPr>
            <w:r>
              <w:rPr>
                <w:rFonts w:ascii="宋体" w:hAnsi="宋体" w:eastAsia="宋体"/>
                <w:sz w:val="16"/>
              </w:rPr>
              <w:t>&gt;=1座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E388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F13F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B0346">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244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11767">
            <w:pPr>
              <w:jc w:val="center"/>
            </w:pPr>
            <w:r>
              <w:rPr>
                <w:rFonts w:ascii="宋体" w:hAnsi="宋体" w:eastAsia="宋体"/>
                <w:sz w:val="16"/>
              </w:rPr>
              <w:t>20</w:t>
            </w:r>
          </w:p>
        </w:tc>
      </w:tr>
      <w:tr w14:paraId="4FA0F3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162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1BA1C"/>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0616BC43">
            <w:pPr>
              <w:jc w:val="center"/>
            </w:pPr>
            <w:r>
              <w:rPr>
                <w:rFonts w:ascii="宋体" w:hAnsi="宋体" w:eastAsia="宋体"/>
                <w:sz w:val="16"/>
              </w:rPr>
              <w:t>开展微创活动次数</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EF3B6BA">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02B4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858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6F60F">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4AF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63900">
            <w:pPr>
              <w:jc w:val="center"/>
            </w:pPr>
            <w:r>
              <w:rPr>
                <w:rFonts w:ascii="宋体" w:hAnsi="宋体" w:eastAsia="宋体"/>
                <w:sz w:val="16"/>
              </w:rPr>
              <w:t>10</w:t>
            </w:r>
          </w:p>
        </w:tc>
      </w:tr>
      <w:tr w14:paraId="7FDB12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750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A9BC9"/>
        </w:tc>
        <w:tc>
          <w:tcPr>
            <w:tcW w:w="1178" w:type="dxa"/>
            <w:tcBorders>
              <w:top w:val="single" w:color="auto" w:sz="10" w:space="0"/>
              <w:left w:val="single" w:color="auto" w:sz="10" w:space="0"/>
              <w:bottom w:val="single" w:color="auto" w:sz="10" w:space="0"/>
              <w:right w:val="single" w:color="auto" w:sz="10" w:space="0"/>
              <w:insideV w:val="single" w:sz="10" w:space="0"/>
            </w:tcBorders>
            <w:vAlign w:val="center"/>
          </w:tcPr>
          <w:p w14:paraId="78DBB1CD">
            <w:pPr>
              <w:jc w:val="center"/>
            </w:pPr>
            <w:r>
              <w:rPr>
                <w:rFonts w:ascii="宋体" w:hAnsi="宋体" w:eastAsia="宋体"/>
                <w:sz w:val="16"/>
              </w:rPr>
              <w:t>按月及时发放教职人员生活补助</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DAF4A21">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DC64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FC44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2FDB">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BA1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A72AB">
            <w:pPr>
              <w:jc w:val="center"/>
            </w:pPr>
            <w:r>
              <w:rPr>
                <w:rFonts w:ascii="宋体" w:hAnsi="宋体" w:eastAsia="宋体"/>
                <w:sz w:val="16"/>
              </w:rPr>
              <w:t>20</w:t>
            </w:r>
          </w:p>
        </w:tc>
      </w:tr>
    </w:tbl>
    <w:p w14:paraId="4368CD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3BAA9563">
        <w:tblPrEx>
          <w:tblCellMar>
            <w:top w:w="0" w:type="dxa"/>
            <w:left w:w="108" w:type="dxa"/>
            <w:bottom w:w="0" w:type="dxa"/>
            <w:right w:w="108" w:type="dxa"/>
          </w:tblCellMar>
        </w:tblPrEx>
        <w:tc>
          <w:tcPr>
            <w:tcW w:w="8848" w:type="dxa"/>
            <w:gridSpan w:val="14"/>
            <w:vAlign w:val="center"/>
          </w:tcPr>
          <w:p w14:paraId="39DA957B">
            <w:pPr>
              <w:jc w:val="center"/>
            </w:pPr>
            <w:r>
              <w:rPr>
                <w:rFonts w:ascii="宋体" w:hAnsi="宋体" w:eastAsia="宋体"/>
                <w:sz w:val="24"/>
              </w:rPr>
              <w:t>项目支出绩效自评表</w:t>
            </w:r>
          </w:p>
        </w:tc>
      </w:tr>
      <w:tr w14:paraId="3E300A5B">
        <w:tblPrEx>
          <w:tblCellMar>
            <w:top w:w="0" w:type="dxa"/>
            <w:left w:w="108" w:type="dxa"/>
            <w:bottom w:w="0" w:type="dxa"/>
            <w:right w:w="108" w:type="dxa"/>
          </w:tblCellMar>
        </w:tblPrEx>
        <w:tc>
          <w:tcPr>
            <w:tcW w:w="8848" w:type="dxa"/>
            <w:gridSpan w:val="14"/>
            <w:vAlign w:val="center"/>
          </w:tcPr>
          <w:p w14:paraId="075B38A4">
            <w:pPr>
              <w:jc w:val="center"/>
            </w:pPr>
            <w:r>
              <w:rPr>
                <w:rFonts w:ascii="宋体" w:hAnsi="宋体" w:eastAsia="宋体"/>
                <w:sz w:val="24"/>
              </w:rPr>
              <w:t>(2024年度)</w:t>
            </w:r>
          </w:p>
        </w:tc>
      </w:tr>
      <w:tr w14:paraId="160D21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E3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F2F5CD">
            <w:pPr>
              <w:jc w:val="center"/>
            </w:pPr>
            <w:r>
              <w:rPr>
                <w:rFonts w:ascii="宋体" w:hAnsi="宋体" w:eastAsia="宋体"/>
                <w:sz w:val="16"/>
              </w:rPr>
              <w:t>英吉沙县2023年民贸民品贷款贴息项目</w:t>
            </w:r>
          </w:p>
        </w:tc>
      </w:tr>
      <w:tr w14:paraId="7462A3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09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0ECD7">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EF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2CCE29">
            <w:pPr>
              <w:jc w:val="center"/>
            </w:pPr>
            <w:r>
              <w:rPr>
                <w:rFonts w:ascii="宋体" w:hAnsi="宋体" w:eastAsia="宋体"/>
                <w:sz w:val="16"/>
              </w:rPr>
              <w:t>中共英吉沙县委员会统一战线工作部</w:t>
            </w:r>
          </w:p>
        </w:tc>
      </w:tr>
      <w:tr w14:paraId="544EFF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21C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B1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14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027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BAA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5E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311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17BF">
            <w:pPr>
              <w:jc w:val="center"/>
            </w:pPr>
            <w:r>
              <w:rPr>
                <w:rFonts w:ascii="宋体" w:hAnsi="宋体" w:eastAsia="宋体"/>
                <w:sz w:val="16"/>
              </w:rPr>
              <w:t>得分</w:t>
            </w:r>
          </w:p>
        </w:tc>
      </w:tr>
      <w:tr w14:paraId="7C8BD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77A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1D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851ED">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9CB18">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44C2">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3C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873F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4386">
            <w:pPr>
              <w:jc w:val="center"/>
            </w:pPr>
            <w:r>
              <w:rPr>
                <w:rFonts w:ascii="宋体" w:hAnsi="宋体" w:eastAsia="宋体"/>
                <w:sz w:val="16"/>
              </w:rPr>
              <w:t>10.00分</w:t>
            </w:r>
          </w:p>
        </w:tc>
      </w:tr>
      <w:tr w14:paraId="3EA44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B51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AA5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8A7B">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75C80">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913C1">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8C1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D7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9A85">
            <w:pPr>
              <w:jc w:val="center"/>
            </w:pPr>
            <w:r>
              <w:rPr>
                <w:rFonts w:ascii="宋体" w:hAnsi="宋体" w:eastAsia="宋体"/>
                <w:sz w:val="16"/>
              </w:rPr>
              <w:t>—</w:t>
            </w:r>
          </w:p>
        </w:tc>
      </w:tr>
      <w:tr w14:paraId="445E1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2D5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2EB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6B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A9C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3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AB5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418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57DD">
            <w:pPr>
              <w:jc w:val="center"/>
            </w:pPr>
            <w:r>
              <w:rPr>
                <w:rFonts w:ascii="宋体" w:hAnsi="宋体" w:eastAsia="宋体"/>
                <w:sz w:val="16"/>
              </w:rPr>
              <w:t>—</w:t>
            </w:r>
          </w:p>
        </w:tc>
      </w:tr>
      <w:tr w14:paraId="3156F6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D5A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6D1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B7BB7">
            <w:pPr>
              <w:jc w:val="center"/>
            </w:pPr>
            <w:r>
              <w:rPr>
                <w:rFonts w:ascii="宋体" w:hAnsi="宋体" w:eastAsia="宋体"/>
                <w:sz w:val="16"/>
              </w:rPr>
              <w:t>实际完成情况</w:t>
            </w:r>
          </w:p>
        </w:tc>
      </w:tr>
      <w:tr w14:paraId="7CE62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344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719C2">
            <w:pPr>
              <w:jc w:val="both"/>
            </w:pPr>
            <w:r>
              <w:rPr>
                <w:rFonts w:ascii="宋体" w:hAnsi="宋体" w:eastAsia="宋体"/>
                <w:sz w:val="16"/>
              </w:rPr>
              <w:t>该项目投入资金59.7万元。用于我县3家民族特需商品生产企业贴息引导资金享受工作。通过项目的实施提高民贸企业的积极性，促进企业增收、促进本地经济发展。受益贴息企业满意度达到95%。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0811F1">
            <w:pPr>
              <w:jc w:val="both"/>
            </w:pPr>
            <w:r>
              <w:rPr>
                <w:rFonts w:hint="eastAsia" w:ascii="宋体" w:hAnsi="宋体"/>
                <w:sz w:val="16"/>
                <w:lang w:eastAsia="zh-CN"/>
              </w:rPr>
              <w:t>截至</w:t>
            </w:r>
            <w:r>
              <w:rPr>
                <w:rFonts w:ascii="宋体" w:hAnsi="宋体" w:eastAsia="宋体"/>
                <w:sz w:val="16"/>
              </w:rPr>
              <w:t>2024年5月30日，该项目投入资金59.7万元，用于我县3家民族特需商品生产企业贴息引导资金享受工作。项目的实施提高民贸企业的积极性，促进企业增收、促进本地经济发展。受益贴息企业满意度达到100%。</w:t>
            </w:r>
          </w:p>
        </w:tc>
      </w:tr>
      <w:tr w14:paraId="66C260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1E0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DA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E4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B1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E8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F5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E3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6C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8E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13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8D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F9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4634">
            <w:pPr>
              <w:jc w:val="center"/>
            </w:pPr>
            <w:r>
              <w:rPr>
                <w:rFonts w:ascii="宋体" w:hAnsi="宋体" w:eastAsia="宋体"/>
                <w:sz w:val="16"/>
              </w:rPr>
              <w:t>偏差原因分析及改进措施</w:t>
            </w:r>
          </w:p>
        </w:tc>
      </w:tr>
      <w:tr w14:paraId="0F0913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4E0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1395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1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BB1D">
            <w:pPr>
              <w:jc w:val="center"/>
            </w:pPr>
            <w:r>
              <w:rPr>
                <w:rFonts w:ascii="宋体" w:hAnsi="宋体" w:eastAsia="宋体"/>
                <w:sz w:val="16"/>
              </w:rPr>
              <w:t>涉及现有民贸企业数量（家）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E9F2">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C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40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84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F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6B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C790">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5B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34CE0">
            <w:pPr>
              <w:jc w:val="center"/>
            </w:pPr>
          </w:p>
        </w:tc>
      </w:tr>
      <w:tr w14:paraId="78F88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C7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4C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09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9586">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E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D9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0C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15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A1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87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3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E5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6A5AA">
            <w:pPr>
              <w:jc w:val="center"/>
            </w:pPr>
          </w:p>
        </w:tc>
      </w:tr>
      <w:tr w14:paraId="2E603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72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9A8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B1F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DFB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3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B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80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01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03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E1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3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9A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9287A">
            <w:pPr>
              <w:jc w:val="center"/>
            </w:pPr>
          </w:p>
        </w:tc>
      </w:tr>
      <w:tr w14:paraId="6506E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085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0B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C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0B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A18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24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FA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E1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40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0E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C841">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F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C6EE">
            <w:pPr>
              <w:jc w:val="center"/>
            </w:pPr>
          </w:p>
        </w:tc>
      </w:tr>
      <w:tr w14:paraId="3B426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50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E9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F9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0418">
            <w:pPr>
              <w:jc w:val="center"/>
            </w:pPr>
            <w:r>
              <w:rPr>
                <w:rFonts w:ascii="宋体" w:hAnsi="宋体" w:eastAsia="宋体"/>
                <w:sz w:val="16"/>
              </w:rPr>
              <w:t>民族特需商品生产企业贴息平均成本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4B3E">
            <w:pPr>
              <w:jc w:val="center"/>
            </w:pPr>
            <w:r>
              <w:rPr>
                <w:rFonts w:ascii="宋体" w:hAnsi="宋体" w:eastAsia="宋体"/>
                <w:sz w:val="16"/>
              </w:rPr>
              <w:t>&lt;=19.90万元/家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24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68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3F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6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73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539C">
            <w:pPr>
              <w:jc w:val="center"/>
            </w:pPr>
            <w:r>
              <w:rPr>
                <w:rFonts w:ascii="宋体" w:hAnsi="宋体" w:eastAsia="宋体"/>
                <w:sz w:val="16"/>
              </w:rPr>
              <w:t>=19.9万元/家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1E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658F8">
            <w:pPr>
              <w:jc w:val="center"/>
            </w:pPr>
          </w:p>
        </w:tc>
      </w:tr>
      <w:tr w14:paraId="76FE5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A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77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AE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6A7F">
            <w:pPr>
              <w:jc w:val="center"/>
            </w:pPr>
            <w:r>
              <w:rPr>
                <w:rFonts w:ascii="宋体" w:hAnsi="宋体" w:eastAsia="宋体"/>
                <w:sz w:val="16"/>
              </w:rPr>
              <w:t>提高民贸企业的积极性，促进企业增收、促进本地经济发展。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D1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B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D1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7F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EB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8A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E203">
            <w:pPr>
              <w:jc w:val="center"/>
            </w:pPr>
            <w:r>
              <w:rPr>
                <w:rFonts w:ascii="宋体" w:hAnsi="宋体" w:eastAsia="宋体"/>
                <w:sz w:val="16"/>
              </w:rPr>
              <w:t>与预期目标一致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FD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17603">
            <w:pPr>
              <w:jc w:val="center"/>
            </w:pPr>
          </w:p>
        </w:tc>
      </w:tr>
      <w:tr w14:paraId="14BF9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39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40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28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FF98">
            <w:pPr>
              <w:jc w:val="center"/>
            </w:pPr>
            <w:r>
              <w:rPr>
                <w:rFonts w:ascii="宋体" w:hAnsi="宋体" w:eastAsia="宋体"/>
                <w:sz w:val="16"/>
              </w:rPr>
              <w:t>受益贴息企业满意度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D5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A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2F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7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DE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25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3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8A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6BBF3">
            <w:pPr>
              <w:jc w:val="center"/>
            </w:pPr>
            <w:r>
              <w:rPr>
                <w:rFonts w:ascii="宋体" w:hAnsi="宋体" w:eastAsia="宋体"/>
                <w:sz w:val="16"/>
              </w:rPr>
              <w:t>偏差原因：项目实施效益较好，满意度超过期望值。改进措施：加强项目管理。</w:t>
            </w:r>
          </w:p>
        </w:tc>
      </w:tr>
      <w:tr w14:paraId="09DEC1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906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B1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8CB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5B5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5F920F"/>
        </w:tc>
      </w:tr>
    </w:tbl>
    <w:p w14:paraId="488D66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9E2220A">
        <w:tblPrEx>
          <w:tblCellMar>
            <w:top w:w="0" w:type="dxa"/>
            <w:left w:w="108" w:type="dxa"/>
            <w:bottom w:w="0" w:type="dxa"/>
            <w:right w:w="108" w:type="dxa"/>
          </w:tblCellMar>
        </w:tblPrEx>
        <w:tc>
          <w:tcPr>
            <w:tcW w:w="8848" w:type="dxa"/>
            <w:gridSpan w:val="14"/>
            <w:vAlign w:val="center"/>
          </w:tcPr>
          <w:p w14:paraId="686EC6DD">
            <w:pPr>
              <w:jc w:val="center"/>
            </w:pPr>
            <w:r>
              <w:rPr>
                <w:rFonts w:ascii="宋体" w:hAnsi="宋体" w:eastAsia="宋体"/>
                <w:sz w:val="24"/>
              </w:rPr>
              <w:t>项目支出绩效自评表</w:t>
            </w:r>
          </w:p>
        </w:tc>
      </w:tr>
      <w:tr w14:paraId="5B885A5B">
        <w:tblPrEx>
          <w:tblCellMar>
            <w:top w:w="0" w:type="dxa"/>
            <w:left w:w="108" w:type="dxa"/>
            <w:bottom w:w="0" w:type="dxa"/>
            <w:right w:w="108" w:type="dxa"/>
          </w:tblCellMar>
        </w:tblPrEx>
        <w:tc>
          <w:tcPr>
            <w:tcW w:w="8848" w:type="dxa"/>
            <w:gridSpan w:val="14"/>
            <w:vAlign w:val="center"/>
          </w:tcPr>
          <w:p w14:paraId="1FF260F6">
            <w:pPr>
              <w:jc w:val="center"/>
            </w:pPr>
            <w:r>
              <w:rPr>
                <w:rFonts w:ascii="宋体" w:hAnsi="宋体" w:eastAsia="宋体"/>
                <w:sz w:val="24"/>
              </w:rPr>
              <w:t>(2024年度)</w:t>
            </w:r>
          </w:p>
        </w:tc>
      </w:tr>
      <w:tr w14:paraId="5271F4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B5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F6D9EB">
            <w:pPr>
              <w:jc w:val="center"/>
            </w:pPr>
            <w:r>
              <w:rPr>
                <w:rFonts w:ascii="宋体" w:hAnsi="宋体" w:eastAsia="宋体"/>
                <w:sz w:val="16"/>
              </w:rPr>
              <w:t>英吉沙县2024年民贸民品贷款贴息项目</w:t>
            </w:r>
          </w:p>
        </w:tc>
      </w:tr>
      <w:tr w14:paraId="034BE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F0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B488B">
            <w:pPr>
              <w:jc w:val="center"/>
            </w:pPr>
            <w:r>
              <w:rPr>
                <w:rFonts w:ascii="宋体" w:hAnsi="宋体" w:eastAsia="宋体"/>
                <w:sz w:val="16"/>
              </w:rPr>
              <w:t>中共英吉沙县委员会统一战线工作部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73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1AA6A">
            <w:pPr>
              <w:jc w:val="center"/>
            </w:pPr>
            <w:r>
              <w:rPr>
                <w:rFonts w:ascii="宋体" w:hAnsi="宋体" w:eastAsia="宋体"/>
                <w:sz w:val="16"/>
              </w:rPr>
              <w:t>中共英吉沙县委员会统一战线工作部</w:t>
            </w:r>
          </w:p>
        </w:tc>
      </w:tr>
      <w:tr w14:paraId="63000C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D71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80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69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B2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D8C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274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A0A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9A81">
            <w:pPr>
              <w:jc w:val="center"/>
            </w:pPr>
            <w:r>
              <w:rPr>
                <w:rFonts w:ascii="宋体" w:hAnsi="宋体" w:eastAsia="宋体"/>
                <w:sz w:val="16"/>
              </w:rPr>
              <w:t>得分</w:t>
            </w:r>
          </w:p>
        </w:tc>
      </w:tr>
      <w:tr w14:paraId="0B467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627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E6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6790">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1528">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CB0C8">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60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CA7D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5AB7">
            <w:pPr>
              <w:jc w:val="center"/>
            </w:pPr>
            <w:r>
              <w:rPr>
                <w:rFonts w:ascii="宋体" w:hAnsi="宋体" w:eastAsia="宋体"/>
                <w:sz w:val="16"/>
              </w:rPr>
              <w:t>10.00分</w:t>
            </w:r>
          </w:p>
        </w:tc>
      </w:tr>
      <w:tr w14:paraId="4011D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C5B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E9D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6EBBB">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10478">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BD6A">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B2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4A2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0B64">
            <w:pPr>
              <w:jc w:val="center"/>
            </w:pPr>
            <w:r>
              <w:rPr>
                <w:rFonts w:ascii="宋体" w:hAnsi="宋体" w:eastAsia="宋体"/>
                <w:sz w:val="16"/>
              </w:rPr>
              <w:t>—</w:t>
            </w:r>
          </w:p>
        </w:tc>
      </w:tr>
      <w:tr w14:paraId="356D1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D57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AD9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836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136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E0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64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930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BAFB">
            <w:pPr>
              <w:jc w:val="center"/>
            </w:pPr>
            <w:r>
              <w:rPr>
                <w:rFonts w:ascii="宋体" w:hAnsi="宋体" w:eastAsia="宋体"/>
                <w:sz w:val="16"/>
              </w:rPr>
              <w:t>—</w:t>
            </w:r>
          </w:p>
        </w:tc>
      </w:tr>
      <w:tr w14:paraId="3EF109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C8A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6EE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4FAFBE">
            <w:pPr>
              <w:jc w:val="center"/>
            </w:pPr>
            <w:r>
              <w:rPr>
                <w:rFonts w:ascii="宋体" w:hAnsi="宋体" w:eastAsia="宋体"/>
                <w:sz w:val="16"/>
              </w:rPr>
              <w:t>实际完成情况</w:t>
            </w:r>
          </w:p>
        </w:tc>
      </w:tr>
      <w:tr w14:paraId="67878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A3E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7732C">
            <w:pPr>
              <w:jc w:val="both"/>
            </w:pPr>
            <w:r>
              <w:rPr>
                <w:rFonts w:ascii="宋体" w:hAnsi="宋体" w:eastAsia="宋体"/>
                <w:sz w:val="16"/>
              </w:rPr>
              <w:t>该项目投入资金24.62万元。用于我县4家民族特需商品生产企业贴息引导资金享受工作。通过项目的实施提高民贸企业的积极性，促进企业增收、促进本地经济发展。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63393">
            <w:pPr>
              <w:jc w:val="both"/>
            </w:pPr>
            <w:r>
              <w:rPr>
                <w:rFonts w:hint="eastAsia" w:ascii="宋体" w:hAnsi="宋体"/>
                <w:sz w:val="16"/>
                <w:lang w:eastAsia="zh-CN"/>
              </w:rPr>
              <w:t>截至</w:t>
            </w:r>
            <w:r>
              <w:rPr>
                <w:rFonts w:ascii="宋体" w:hAnsi="宋体" w:eastAsia="宋体"/>
                <w:sz w:val="16"/>
              </w:rPr>
              <w:t>2024年12月31日，项目已完成支出24.62万元。用于我县4家民族特需商品生产企业贴息引导资金享受工作。通过项目的实施提高民贸企业的积极性，促进企业增收、促进本地经济发展。</w:t>
            </w:r>
            <w:r>
              <w:rPr>
                <w:rFonts w:ascii="宋体" w:hAnsi="宋体" w:eastAsia="宋体"/>
                <w:sz w:val="16"/>
              </w:rPr>
              <w:br w:type="textWrapping"/>
            </w:r>
          </w:p>
        </w:tc>
      </w:tr>
      <w:tr w14:paraId="6FE898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51EC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76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17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81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19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A4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86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94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A7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3E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2E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6A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54328">
            <w:pPr>
              <w:jc w:val="center"/>
            </w:pPr>
            <w:r>
              <w:rPr>
                <w:rFonts w:ascii="宋体" w:hAnsi="宋体" w:eastAsia="宋体"/>
                <w:sz w:val="16"/>
              </w:rPr>
              <w:t>偏差原因分析及改进措施</w:t>
            </w:r>
          </w:p>
        </w:tc>
      </w:tr>
      <w:tr w14:paraId="27BFE7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5EC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C86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AF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BC59">
            <w:pPr>
              <w:jc w:val="center"/>
            </w:pPr>
            <w:r>
              <w:rPr>
                <w:rFonts w:ascii="宋体" w:hAnsi="宋体" w:eastAsia="宋体"/>
                <w:sz w:val="16"/>
              </w:rPr>
              <w:t>涉及现有民贸企业数量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DEB8">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54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A1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7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B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9F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2230">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98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E7184">
            <w:pPr>
              <w:jc w:val="center"/>
            </w:pPr>
          </w:p>
        </w:tc>
      </w:tr>
      <w:tr w14:paraId="3D1D3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64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6F1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A8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AFCD">
            <w:pPr>
              <w:jc w:val="center"/>
            </w:pPr>
            <w:r>
              <w:rPr>
                <w:rFonts w:ascii="宋体" w:hAnsi="宋体" w:eastAsia="宋体"/>
                <w:sz w:val="16"/>
              </w:rPr>
              <w:t>贴息资金合格率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6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C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A5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46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5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C7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01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F4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9AABE">
            <w:pPr>
              <w:jc w:val="center"/>
            </w:pPr>
          </w:p>
        </w:tc>
      </w:tr>
      <w:tr w14:paraId="248E4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4CB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4D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A32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384E">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4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C6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E5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4D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6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7F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6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9C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0A61D">
            <w:pPr>
              <w:jc w:val="center"/>
            </w:pPr>
          </w:p>
        </w:tc>
      </w:tr>
      <w:tr w14:paraId="76414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77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25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4C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4B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8C3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E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E0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FF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F5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7B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6FF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AB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0683B">
            <w:pPr>
              <w:jc w:val="center"/>
            </w:pPr>
          </w:p>
        </w:tc>
      </w:tr>
      <w:tr w14:paraId="7DEEA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60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7C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1F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CFF5">
            <w:pPr>
              <w:jc w:val="center"/>
            </w:pPr>
            <w:r>
              <w:rPr>
                <w:rFonts w:ascii="宋体" w:hAnsi="宋体" w:eastAsia="宋体"/>
                <w:sz w:val="16"/>
              </w:rPr>
              <w:t>民族特需商品生产企业贴息平均成本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BC33">
            <w:pPr>
              <w:jc w:val="center"/>
            </w:pPr>
            <w:r>
              <w:rPr>
                <w:rFonts w:ascii="宋体" w:hAnsi="宋体" w:eastAsia="宋体"/>
                <w:sz w:val="16"/>
              </w:rPr>
              <w:t>&lt;=6.155万元/家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3F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EA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CC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4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F0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7796">
            <w:pPr>
              <w:jc w:val="center"/>
            </w:pPr>
            <w:r>
              <w:rPr>
                <w:rFonts w:ascii="宋体" w:hAnsi="宋体" w:eastAsia="宋体"/>
                <w:sz w:val="16"/>
              </w:rPr>
              <w:t>=6.155万元/家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54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6958">
            <w:pPr>
              <w:jc w:val="center"/>
            </w:pPr>
          </w:p>
        </w:tc>
      </w:tr>
      <w:tr w14:paraId="6B320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B17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F5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23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EB46">
            <w:pPr>
              <w:jc w:val="center"/>
            </w:pPr>
            <w:r>
              <w:rPr>
                <w:rFonts w:ascii="宋体" w:hAnsi="宋体" w:eastAsia="宋体"/>
                <w:sz w:val="16"/>
              </w:rPr>
              <w:t>带动企业增收、促进本地经济发展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6F9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9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4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ED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A4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7F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F97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DA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57E16">
            <w:pPr>
              <w:jc w:val="center"/>
            </w:pPr>
          </w:p>
        </w:tc>
      </w:tr>
      <w:tr w14:paraId="29501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15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7A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01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3BE5">
            <w:pPr>
              <w:jc w:val="center"/>
            </w:pPr>
            <w:r>
              <w:rPr>
                <w:rFonts w:ascii="宋体" w:hAnsi="宋体" w:eastAsia="宋体"/>
                <w:sz w:val="16"/>
              </w:rPr>
              <w:t>受益贴息企业满意度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B3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8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E1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E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F6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A5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F27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1C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2039">
            <w:pPr>
              <w:jc w:val="center"/>
            </w:pPr>
          </w:p>
        </w:tc>
      </w:tr>
      <w:tr w14:paraId="4BAC97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96D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C2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7B4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378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73B5B2"/>
        </w:tc>
      </w:tr>
    </w:tbl>
    <w:p w14:paraId="5BA91E3A">
      <w:r>
        <w:br w:type="page"/>
      </w:r>
    </w:p>
    <w:p w14:paraId="1F3E1324">
      <w:pPr>
        <w:spacing w:line="640" w:lineRule="exact"/>
        <w:ind w:firstLine="640"/>
        <w:jc w:val="both"/>
        <w:outlineLvl w:val="2"/>
      </w:pPr>
      <w:r>
        <w:rPr>
          <w:rFonts w:ascii="黑体" w:hAnsi="黑体" w:eastAsia="黑体"/>
          <w:sz w:val="32"/>
        </w:rPr>
        <w:t>十二、其他需说明的事项</w:t>
      </w:r>
    </w:p>
    <w:p w14:paraId="005220D3">
      <w:pPr>
        <w:spacing w:line="580" w:lineRule="exact"/>
        <w:ind w:firstLine="640"/>
        <w:jc w:val="both"/>
      </w:pPr>
      <w:r>
        <w:rPr>
          <w:rFonts w:ascii="仿宋_GB2312" w:hAnsi="仿宋_GB2312" w:eastAsia="仿宋_GB2312"/>
          <w:b w:val="0"/>
          <w:sz w:val="32"/>
        </w:rPr>
        <w:t>本年本单位SM项目3个，全年预算数2,002.57万元，全年执行数1,910.50万元。</w:t>
      </w:r>
    </w:p>
    <w:p w14:paraId="468EE785">
      <w:r>
        <w:br w:type="page"/>
      </w:r>
    </w:p>
    <w:p w14:paraId="78EEA39F">
      <w:pPr>
        <w:spacing w:line="240" w:lineRule="auto"/>
        <w:jc w:val="center"/>
        <w:outlineLvl w:val="1"/>
      </w:pPr>
      <w:r>
        <w:rPr>
          <w:rFonts w:ascii="黑体" w:hAnsi="黑体" w:eastAsia="黑体"/>
          <w:sz w:val="32"/>
        </w:rPr>
        <w:t>第三部分 专业名词解释</w:t>
      </w:r>
    </w:p>
    <w:p w14:paraId="6779948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63D86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DB42B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23992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B86AA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A2AB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37D88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2C81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7F220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76C33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9D164F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0BCD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88461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B1BA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627051">
      <w:r>
        <w:br w:type="page"/>
      </w:r>
    </w:p>
    <w:p w14:paraId="0214A349">
      <w:pPr>
        <w:spacing w:line="240" w:lineRule="auto"/>
        <w:jc w:val="center"/>
        <w:outlineLvl w:val="1"/>
      </w:pPr>
      <w:r>
        <w:rPr>
          <w:rFonts w:ascii="黑体" w:hAnsi="黑体" w:eastAsia="黑体"/>
          <w:sz w:val="32"/>
        </w:rPr>
        <w:t>第四部分 部门决算报表（见附表）</w:t>
      </w:r>
    </w:p>
    <w:p w14:paraId="14949140">
      <w:pPr>
        <w:spacing w:line="240" w:lineRule="auto"/>
        <w:ind w:firstLine="640"/>
        <w:jc w:val="both"/>
      </w:pPr>
      <w:r>
        <w:rPr>
          <w:rFonts w:ascii="仿宋_GB2312" w:hAnsi="仿宋_GB2312" w:eastAsia="仿宋_GB2312"/>
          <w:b w:val="0"/>
          <w:sz w:val="32"/>
        </w:rPr>
        <w:t>一、《收入支出决算总表》</w:t>
      </w:r>
    </w:p>
    <w:p w14:paraId="43A3A491">
      <w:pPr>
        <w:spacing w:line="240" w:lineRule="auto"/>
        <w:ind w:firstLine="640"/>
        <w:jc w:val="both"/>
      </w:pPr>
      <w:r>
        <w:rPr>
          <w:rFonts w:ascii="仿宋_GB2312" w:hAnsi="仿宋_GB2312" w:eastAsia="仿宋_GB2312"/>
          <w:b w:val="0"/>
          <w:sz w:val="32"/>
        </w:rPr>
        <w:t>二、《收入决算表》</w:t>
      </w:r>
    </w:p>
    <w:p w14:paraId="06625E13">
      <w:pPr>
        <w:spacing w:line="240" w:lineRule="auto"/>
        <w:ind w:firstLine="640"/>
        <w:jc w:val="both"/>
      </w:pPr>
      <w:r>
        <w:rPr>
          <w:rFonts w:ascii="仿宋_GB2312" w:hAnsi="仿宋_GB2312" w:eastAsia="仿宋_GB2312"/>
          <w:b w:val="0"/>
          <w:sz w:val="32"/>
        </w:rPr>
        <w:t>三、《支出决算表》</w:t>
      </w:r>
    </w:p>
    <w:p w14:paraId="4D82ED4E">
      <w:pPr>
        <w:spacing w:line="240" w:lineRule="auto"/>
        <w:ind w:firstLine="640"/>
        <w:jc w:val="both"/>
      </w:pPr>
      <w:r>
        <w:rPr>
          <w:rFonts w:ascii="仿宋_GB2312" w:hAnsi="仿宋_GB2312" w:eastAsia="仿宋_GB2312"/>
          <w:b w:val="0"/>
          <w:sz w:val="32"/>
        </w:rPr>
        <w:t>四、《财政拨款收入支出决算总表》</w:t>
      </w:r>
    </w:p>
    <w:p w14:paraId="25190535">
      <w:pPr>
        <w:spacing w:line="240" w:lineRule="auto"/>
        <w:ind w:firstLine="640"/>
        <w:jc w:val="both"/>
      </w:pPr>
      <w:r>
        <w:rPr>
          <w:rFonts w:ascii="仿宋_GB2312" w:hAnsi="仿宋_GB2312" w:eastAsia="仿宋_GB2312"/>
          <w:b w:val="0"/>
          <w:sz w:val="32"/>
        </w:rPr>
        <w:t>五、《一般公共预算财政拨款支出决算表》</w:t>
      </w:r>
    </w:p>
    <w:p w14:paraId="7E46C9FA">
      <w:pPr>
        <w:spacing w:line="240" w:lineRule="auto"/>
        <w:ind w:firstLine="640"/>
        <w:jc w:val="both"/>
      </w:pPr>
      <w:r>
        <w:rPr>
          <w:rFonts w:ascii="仿宋_GB2312" w:hAnsi="仿宋_GB2312" w:eastAsia="仿宋_GB2312"/>
          <w:b w:val="0"/>
          <w:sz w:val="32"/>
        </w:rPr>
        <w:t>六、《一般公共预算财政拨款基本支出决算表》</w:t>
      </w:r>
    </w:p>
    <w:p w14:paraId="5519F509">
      <w:pPr>
        <w:spacing w:line="240" w:lineRule="auto"/>
        <w:ind w:firstLine="640"/>
        <w:jc w:val="both"/>
      </w:pPr>
      <w:r>
        <w:rPr>
          <w:rFonts w:ascii="仿宋_GB2312" w:hAnsi="仿宋_GB2312" w:eastAsia="仿宋_GB2312"/>
          <w:b w:val="0"/>
          <w:sz w:val="32"/>
        </w:rPr>
        <w:t>七、《政府性基金预算财政拨款收入支出决算表》</w:t>
      </w:r>
    </w:p>
    <w:p w14:paraId="6D803A47">
      <w:pPr>
        <w:spacing w:line="240" w:lineRule="auto"/>
        <w:ind w:firstLine="640"/>
        <w:jc w:val="both"/>
      </w:pPr>
      <w:r>
        <w:rPr>
          <w:rFonts w:ascii="仿宋_GB2312" w:hAnsi="仿宋_GB2312" w:eastAsia="仿宋_GB2312"/>
          <w:b w:val="0"/>
          <w:sz w:val="32"/>
        </w:rPr>
        <w:t>八、《国有资本经营预算财政拨款收入支出决算表》</w:t>
      </w:r>
    </w:p>
    <w:p w14:paraId="3153DA64">
      <w:pPr>
        <w:spacing w:line="240" w:lineRule="auto"/>
        <w:ind w:firstLine="640"/>
        <w:jc w:val="both"/>
      </w:pPr>
      <w:r>
        <w:rPr>
          <w:rFonts w:ascii="仿宋_GB2312" w:hAnsi="仿宋_GB2312" w:eastAsia="仿宋_GB2312"/>
          <w:b w:val="0"/>
          <w:sz w:val="32"/>
        </w:rPr>
        <w:t>九、《财政拨款“三公”经费支出决算表》</w:t>
      </w:r>
    </w:p>
    <w:p w14:paraId="2C661835">
      <w:pPr>
        <w:spacing w:line="240" w:lineRule="auto"/>
        <w:ind w:firstLine="640"/>
        <w:jc w:val="both"/>
      </w:pPr>
    </w:p>
    <w:p w14:paraId="6D115F0B">
      <w:pPr>
        <w:spacing w:line="240" w:lineRule="auto"/>
        <w:ind w:firstLine="640"/>
        <w:jc w:val="both"/>
      </w:pPr>
    </w:p>
    <w:p w14:paraId="639B25B5">
      <w:pPr>
        <w:spacing w:line="240" w:lineRule="auto"/>
        <w:ind w:firstLine="640"/>
        <w:jc w:val="both"/>
      </w:pPr>
    </w:p>
    <w:p w14:paraId="7BDAB3A0">
      <w:pPr>
        <w:spacing w:line="240" w:lineRule="auto"/>
        <w:ind w:firstLine="640"/>
        <w:jc w:val="both"/>
      </w:pPr>
    </w:p>
    <w:p w14:paraId="6809CC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463A72"/>
    <w:rsid w:val="27CE017C"/>
    <w:rsid w:val="27CF2642"/>
    <w:rsid w:val="282459E2"/>
    <w:rsid w:val="29116777"/>
    <w:rsid w:val="2A053397"/>
    <w:rsid w:val="2A444FB1"/>
    <w:rsid w:val="2A6064E2"/>
    <w:rsid w:val="2A6E0E08"/>
    <w:rsid w:val="2C1965E9"/>
    <w:rsid w:val="2D1136DF"/>
    <w:rsid w:val="2DAE0E44"/>
    <w:rsid w:val="2FD27414"/>
    <w:rsid w:val="313F1D52"/>
    <w:rsid w:val="318029AB"/>
    <w:rsid w:val="31C63837"/>
    <w:rsid w:val="326F0A17"/>
    <w:rsid w:val="3277581B"/>
    <w:rsid w:val="38006E2C"/>
    <w:rsid w:val="3914510A"/>
    <w:rsid w:val="3A2711E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D36DA3"/>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6367</Words>
  <Characters>7461</Characters>
  <Lines>0</Lines>
  <Paragraphs>0</Paragraphs>
  <TotalTime>0</TotalTime>
  <ScaleCrop>false</ScaleCrop>
  <LinksUpToDate>false</LinksUpToDate>
  <CharactersWithSpaces>7472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2025-09-05T09:17:23Z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