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B4A9BA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中共英吉沙县委政法委员会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8C84F7A">
      <w:r>
        <w:br w:type="page"/>
      </w:r>
    </w:p>
    <w:p w14:paraId="57DD1824">
      <w:pPr>
        <w:spacing w:line="640" w:lineRule="exact"/>
        <w:jc w:val="center"/>
        <w:outlineLvl w:val="1"/>
      </w:pPr>
      <w:r>
        <w:rPr>
          <w:rFonts w:ascii="黑体" w:hAnsi="黑体" w:eastAsia="黑体"/>
          <w:sz w:val="32"/>
        </w:rPr>
        <w:t>第一部分 单位概况</w:t>
      </w:r>
    </w:p>
    <w:p w14:paraId="21D3EF0E">
      <w:pPr>
        <w:spacing w:line="640" w:lineRule="exact"/>
        <w:ind w:firstLine="640"/>
        <w:jc w:val="both"/>
        <w:outlineLvl w:val="2"/>
      </w:pPr>
      <w:r>
        <w:rPr>
          <w:rFonts w:ascii="黑体" w:hAnsi="黑体" w:eastAsia="黑体"/>
          <w:sz w:val="32"/>
        </w:rPr>
        <w:t>一、主要职能</w:t>
      </w:r>
    </w:p>
    <w:p w14:paraId="0D659EE7">
      <w:pPr>
        <w:spacing w:line="580" w:lineRule="exact"/>
        <w:ind w:firstLine="640"/>
        <w:jc w:val="both"/>
      </w:pPr>
      <w:r>
        <w:rPr>
          <w:rFonts w:ascii="仿宋_GB2312" w:hAnsi="仿宋_GB2312" w:eastAsia="仿宋_GB2312"/>
          <w:sz w:val="32"/>
        </w:rPr>
        <w:t>本单位主要职能SM不予公开。</w:t>
      </w:r>
    </w:p>
    <w:p w14:paraId="5604AFD2">
      <w:pPr>
        <w:spacing w:line="640" w:lineRule="exact"/>
        <w:ind w:firstLine="640"/>
        <w:jc w:val="both"/>
        <w:outlineLvl w:val="2"/>
      </w:pPr>
      <w:r>
        <w:rPr>
          <w:rFonts w:ascii="黑体" w:hAnsi="黑体" w:eastAsia="黑体"/>
          <w:sz w:val="32"/>
        </w:rPr>
        <w:t>二、机构设置及人员情况</w:t>
      </w:r>
    </w:p>
    <w:p w14:paraId="2F88E399">
      <w:pPr>
        <w:spacing w:line="580" w:lineRule="exact"/>
        <w:ind w:firstLine="640"/>
        <w:jc w:val="both"/>
      </w:pPr>
      <w:r>
        <w:rPr>
          <w:rFonts w:ascii="仿宋_GB2312" w:hAnsi="仿宋_GB2312" w:eastAsia="仿宋_GB2312"/>
          <w:sz w:val="32"/>
        </w:rPr>
        <w:t>本单位机构设置及人员情况SM不予公开。</w:t>
      </w:r>
    </w:p>
    <w:p w14:paraId="13EAE218">
      <w:r>
        <w:br w:type="page"/>
      </w:r>
    </w:p>
    <w:p w14:paraId="69FF9DDE">
      <w:pPr>
        <w:spacing w:line="240" w:lineRule="auto"/>
        <w:jc w:val="center"/>
        <w:outlineLvl w:val="1"/>
      </w:pPr>
      <w:r>
        <w:rPr>
          <w:rFonts w:ascii="黑体" w:hAnsi="黑体" w:eastAsia="黑体"/>
          <w:sz w:val="32"/>
        </w:rPr>
        <w:t>第二部分 部门决算情况说明</w:t>
      </w:r>
    </w:p>
    <w:p w14:paraId="54806C1D">
      <w:pPr>
        <w:spacing w:line="640" w:lineRule="exact"/>
        <w:ind w:firstLine="640"/>
        <w:jc w:val="both"/>
        <w:outlineLvl w:val="2"/>
      </w:pPr>
      <w:r>
        <w:rPr>
          <w:rFonts w:ascii="黑体" w:hAnsi="黑体" w:eastAsia="黑体"/>
          <w:sz w:val="32"/>
        </w:rPr>
        <w:t>一、收入支出决算总体情况说明</w:t>
      </w:r>
    </w:p>
    <w:p w14:paraId="7B579108">
      <w:pPr>
        <w:spacing w:line="580" w:lineRule="exact"/>
        <w:ind w:firstLine="640"/>
        <w:jc w:val="both"/>
      </w:pPr>
      <w:r>
        <w:rPr>
          <w:rFonts w:ascii="仿宋_GB2312" w:hAnsi="仿宋_GB2312" w:eastAsia="仿宋_GB2312"/>
          <w:b/>
          <w:sz w:val="32"/>
        </w:rPr>
        <w:t>2024年度收入总计981.15万元，</w:t>
      </w:r>
      <w:r>
        <w:rPr>
          <w:rFonts w:ascii="仿宋_GB2312" w:hAnsi="仿宋_GB2312" w:eastAsia="仿宋_GB2312"/>
          <w:b w:val="0"/>
          <w:sz w:val="32"/>
        </w:rPr>
        <w:t>其中：本年收入合计981.15万元，使用非财政拨款结余（含专用结余）0.00万元，年初结转和结余0.00万元。</w:t>
      </w:r>
    </w:p>
    <w:p w14:paraId="0D81CA44">
      <w:pPr>
        <w:spacing w:line="580" w:lineRule="exact"/>
        <w:ind w:firstLine="640"/>
        <w:jc w:val="both"/>
      </w:pPr>
      <w:r>
        <w:rPr>
          <w:rFonts w:ascii="仿宋_GB2312" w:hAnsi="仿宋_GB2312" w:eastAsia="仿宋_GB2312"/>
          <w:b/>
          <w:sz w:val="32"/>
        </w:rPr>
        <w:t>2024年度支出总计981.15万元，</w:t>
      </w:r>
      <w:r>
        <w:rPr>
          <w:rFonts w:ascii="仿宋_GB2312" w:hAnsi="仿宋_GB2312" w:eastAsia="仿宋_GB2312"/>
          <w:b w:val="0"/>
          <w:sz w:val="32"/>
        </w:rPr>
        <w:t>其中：本年支出合计981.15万元，结余分配0.00万元，年末结转和结余0.00万元。</w:t>
      </w:r>
    </w:p>
    <w:p w14:paraId="55601276">
      <w:pPr>
        <w:spacing w:line="580" w:lineRule="exact"/>
        <w:ind w:firstLine="640"/>
        <w:jc w:val="both"/>
      </w:pPr>
      <w:r>
        <w:rPr>
          <w:rFonts w:ascii="仿宋_GB2312" w:hAnsi="仿宋_GB2312" w:eastAsia="仿宋_GB2312"/>
          <w:b w:val="0"/>
          <w:sz w:val="32"/>
        </w:rPr>
        <w:t>收入支出总体与上年相比，增加981.15万元，增长100.00%，主要原因是：本年机构改革，上年与县委办统一编报公开，本年独立核算，无上年对比数据。</w:t>
      </w:r>
    </w:p>
    <w:p w14:paraId="4D012665">
      <w:pPr>
        <w:spacing w:line="640" w:lineRule="exact"/>
        <w:ind w:firstLine="640"/>
        <w:jc w:val="both"/>
        <w:outlineLvl w:val="2"/>
      </w:pPr>
      <w:r>
        <w:rPr>
          <w:rFonts w:ascii="黑体" w:hAnsi="黑体" w:eastAsia="黑体"/>
          <w:sz w:val="32"/>
        </w:rPr>
        <w:t>二、收入决算情况说明</w:t>
      </w:r>
    </w:p>
    <w:p w14:paraId="48EE0315">
      <w:pPr>
        <w:spacing w:line="580" w:lineRule="exact"/>
        <w:ind w:firstLine="640"/>
        <w:jc w:val="both"/>
      </w:pPr>
      <w:r>
        <w:rPr>
          <w:rFonts w:ascii="仿宋_GB2312" w:hAnsi="仿宋_GB2312" w:eastAsia="仿宋_GB2312"/>
          <w:b/>
          <w:sz w:val="32"/>
        </w:rPr>
        <w:t>本年收入981.15万元，</w:t>
      </w:r>
      <w:r>
        <w:rPr>
          <w:rFonts w:ascii="仿宋_GB2312" w:hAnsi="仿宋_GB2312" w:eastAsia="仿宋_GB2312"/>
          <w:b w:val="0"/>
          <w:sz w:val="32"/>
        </w:rPr>
        <w:t>其中：财政拨款收入781.15万元，占79.62%；上级补助收入0.00万元，占0.00%；事业收入0.00万元，占0.00%；经营收入0.00万元，占0.00%；附属单位上缴收入0.00万元，占0.00%；其他收入200.00万元，占20.38%。</w:t>
      </w:r>
    </w:p>
    <w:p w14:paraId="556779F0">
      <w:pPr>
        <w:spacing w:line="640" w:lineRule="exact"/>
        <w:ind w:firstLine="640"/>
        <w:jc w:val="both"/>
        <w:outlineLvl w:val="2"/>
      </w:pPr>
      <w:r>
        <w:rPr>
          <w:rFonts w:ascii="黑体" w:hAnsi="黑体" w:eastAsia="黑体"/>
          <w:sz w:val="32"/>
        </w:rPr>
        <w:t>三、支出决算情况说明</w:t>
      </w:r>
    </w:p>
    <w:p w14:paraId="520CED22">
      <w:pPr>
        <w:spacing w:line="580" w:lineRule="exact"/>
        <w:ind w:firstLine="640"/>
        <w:jc w:val="both"/>
      </w:pPr>
      <w:r>
        <w:rPr>
          <w:rFonts w:ascii="仿宋_GB2312" w:hAnsi="仿宋_GB2312" w:eastAsia="仿宋_GB2312"/>
          <w:b/>
          <w:sz w:val="32"/>
        </w:rPr>
        <w:t>本年支出981.15万元，</w:t>
      </w:r>
      <w:r>
        <w:rPr>
          <w:rFonts w:ascii="仿宋_GB2312" w:hAnsi="仿宋_GB2312" w:eastAsia="仿宋_GB2312"/>
          <w:b w:val="0"/>
          <w:sz w:val="32"/>
        </w:rPr>
        <w:t>其中：基本支出916.42万元，占93.40%；项目支出64.73万元，占6.60%；上缴上级支出0.00万元，占0.00%；经营支出0.00万元，占0.00%；对附属单位补助支出0.00万元，占0.00%。</w:t>
      </w:r>
    </w:p>
    <w:p w14:paraId="0AC7071C">
      <w:pPr>
        <w:spacing w:line="640" w:lineRule="exact"/>
        <w:ind w:firstLine="640"/>
        <w:jc w:val="both"/>
        <w:outlineLvl w:val="2"/>
      </w:pPr>
      <w:r>
        <w:rPr>
          <w:rFonts w:ascii="黑体" w:hAnsi="黑体" w:eastAsia="黑体"/>
          <w:sz w:val="32"/>
        </w:rPr>
        <w:t>四、财政拨款收入支出决算总体情况说明</w:t>
      </w:r>
    </w:p>
    <w:p w14:paraId="206170D3">
      <w:pPr>
        <w:spacing w:line="580" w:lineRule="exact"/>
        <w:ind w:firstLine="640"/>
        <w:jc w:val="both"/>
      </w:pPr>
      <w:r>
        <w:rPr>
          <w:rFonts w:ascii="仿宋_GB2312" w:hAnsi="仿宋_GB2312" w:eastAsia="仿宋_GB2312"/>
          <w:b/>
          <w:sz w:val="32"/>
        </w:rPr>
        <w:t>2024年度财政拨款收入总计781.15万元，</w:t>
      </w:r>
      <w:r>
        <w:rPr>
          <w:rFonts w:ascii="仿宋_GB2312" w:hAnsi="仿宋_GB2312" w:eastAsia="仿宋_GB2312"/>
          <w:b w:val="0"/>
          <w:sz w:val="32"/>
        </w:rPr>
        <w:t>其中：年初财政拨款结转和结余0.00万元，本年财政拨款收入781.15万元。</w:t>
      </w:r>
      <w:r>
        <w:rPr>
          <w:rFonts w:ascii="仿宋_GB2312" w:hAnsi="仿宋_GB2312" w:eastAsia="仿宋_GB2312"/>
          <w:b/>
          <w:sz w:val="32"/>
        </w:rPr>
        <w:t>财政拨款支出总计781.15万元，</w:t>
      </w:r>
      <w:r>
        <w:rPr>
          <w:rFonts w:ascii="仿宋_GB2312" w:hAnsi="仿宋_GB2312" w:eastAsia="仿宋_GB2312"/>
          <w:b w:val="0"/>
          <w:sz w:val="32"/>
        </w:rPr>
        <w:t>其中：年末财政拨款结转和结余0.00万元，本年财政拨款支出781.15万元。</w:t>
      </w:r>
    </w:p>
    <w:p w14:paraId="3B26984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增加781.15万元，增长100.00%，主要原因是：本年机构改革，上年与县委办统一编报公开，本年独立核算，无上年对比数据。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年初预算数653.91万元，决算数781.15万元，预决算差异率19.46%，主要原因是：年中追加人员工资、社保、公积金基数调增部分资金。本年机构改革，追加相关公用经费，导致预决算存在差异。</w:t>
      </w:r>
    </w:p>
    <w:p w14:paraId="5764839C">
      <w:pPr>
        <w:spacing w:line="640" w:lineRule="exact"/>
        <w:ind w:firstLine="640"/>
        <w:jc w:val="both"/>
        <w:outlineLvl w:val="2"/>
      </w:pPr>
      <w:r>
        <w:rPr>
          <w:rFonts w:ascii="黑体" w:hAnsi="黑体" w:eastAsia="黑体"/>
          <w:sz w:val="32"/>
        </w:rPr>
        <w:t>五、一般公共预算财政拨款支出决算情况说明</w:t>
      </w:r>
    </w:p>
    <w:p w14:paraId="4662CEEC">
      <w:pPr>
        <w:spacing w:line="640" w:lineRule="exact"/>
        <w:ind w:firstLine="640"/>
        <w:jc w:val="both"/>
        <w:outlineLvl w:val="3"/>
      </w:pPr>
      <w:r>
        <w:rPr>
          <w:rFonts w:ascii="楷体_GB2312" w:hAnsi="楷体_GB2312" w:eastAsia="楷体_GB2312"/>
          <w:b/>
          <w:sz w:val="32"/>
        </w:rPr>
        <w:t>（一）一般公共预算财政拨款支出决算总体情况</w:t>
      </w:r>
    </w:p>
    <w:p w14:paraId="4E1BEA8F">
      <w:pPr>
        <w:spacing w:line="580" w:lineRule="exact"/>
        <w:ind w:firstLine="640"/>
        <w:jc w:val="both"/>
      </w:pPr>
      <w:r>
        <w:rPr>
          <w:rFonts w:ascii="仿宋_GB2312" w:hAnsi="仿宋_GB2312" w:eastAsia="仿宋_GB2312"/>
          <w:b/>
          <w:sz w:val="32"/>
        </w:rPr>
        <w:t>2024年度一般公共预算财政拨款支出781.15万元，</w:t>
      </w:r>
      <w:r>
        <w:rPr>
          <w:rFonts w:ascii="仿宋_GB2312" w:hAnsi="仿宋_GB2312" w:eastAsia="仿宋_GB2312"/>
          <w:b w:val="0"/>
          <w:sz w:val="32"/>
        </w:rPr>
        <w:t>占本年支出合计的79.62%。</w:t>
      </w:r>
      <w:r>
        <w:rPr>
          <w:rFonts w:ascii="仿宋_GB2312" w:hAnsi="仿宋_GB2312" w:eastAsia="仿宋_GB2312"/>
          <w:b/>
          <w:sz w:val="32"/>
        </w:rPr>
        <w:t>与上年相比，</w:t>
      </w:r>
      <w:r>
        <w:rPr>
          <w:rFonts w:ascii="仿宋_GB2312" w:hAnsi="仿宋_GB2312" w:eastAsia="仿宋_GB2312"/>
          <w:b w:val="0"/>
          <w:sz w:val="32"/>
        </w:rPr>
        <w:t>增加781.15万元，增长100.00%，主要原因是：本年机构改革，上年与县委办统一编报公开，本年独立核算，无上年对比数据。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年初预算数653.91万元，决算数781.15万元，预决算差异率19.46%，主要原因是：年中追加人员工资、社保、公积金基数调增部分资金。本年机构改革，追加相关公用经费，导致预决算存在差异。</w:t>
      </w:r>
    </w:p>
    <w:p w14:paraId="64E53E0C">
      <w:pPr>
        <w:spacing w:line="640" w:lineRule="exact"/>
        <w:ind w:firstLine="640"/>
        <w:jc w:val="both"/>
        <w:outlineLvl w:val="3"/>
      </w:pPr>
      <w:r>
        <w:rPr>
          <w:rFonts w:ascii="楷体_GB2312" w:hAnsi="楷体_GB2312" w:eastAsia="楷体_GB2312"/>
          <w:b/>
          <w:sz w:val="32"/>
        </w:rPr>
        <w:t>（二）一般公共预算财政拨款支出决算结构情况</w:t>
      </w:r>
    </w:p>
    <w:p w14:paraId="632A70F8">
      <w:pPr>
        <w:spacing w:line="580" w:lineRule="exact"/>
        <w:ind w:firstLine="640"/>
        <w:jc w:val="both"/>
      </w:pPr>
      <w:r>
        <w:rPr>
          <w:rFonts w:ascii="仿宋_GB2312" w:hAnsi="仿宋_GB2312" w:eastAsia="仿宋_GB2312"/>
          <w:b w:val="0"/>
          <w:sz w:val="32"/>
        </w:rPr>
        <w:t>1.一般公共服务支出(类)660.53万元,占84.56%。</w:t>
      </w:r>
    </w:p>
    <w:p w14:paraId="282EE1F1">
      <w:pPr>
        <w:spacing w:line="580" w:lineRule="exact"/>
        <w:ind w:firstLine="640"/>
        <w:jc w:val="both"/>
      </w:pPr>
      <w:r>
        <w:rPr>
          <w:rFonts w:ascii="仿宋_GB2312" w:hAnsi="仿宋_GB2312" w:eastAsia="仿宋_GB2312"/>
          <w:b w:val="0"/>
          <w:sz w:val="32"/>
        </w:rPr>
        <w:t>2.科学技术支出(类)8.23万元,占1.05%。</w:t>
      </w:r>
    </w:p>
    <w:p w14:paraId="14A815F0">
      <w:pPr>
        <w:spacing w:line="580" w:lineRule="exact"/>
        <w:ind w:firstLine="640"/>
        <w:jc w:val="both"/>
      </w:pPr>
      <w:r>
        <w:rPr>
          <w:rFonts w:ascii="仿宋_GB2312" w:hAnsi="仿宋_GB2312" w:eastAsia="仿宋_GB2312"/>
          <w:b w:val="0"/>
          <w:sz w:val="32"/>
        </w:rPr>
        <w:t>3.社会保障和就业支出(类)51.14万元,占6.55%。</w:t>
      </w:r>
    </w:p>
    <w:p w14:paraId="1F3763EB">
      <w:pPr>
        <w:spacing w:line="580" w:lineRule="exact"/>
        <w:ind w:firstLine="640"/>
        <w:jc w:val="both"/>
      </w:pPr>
      <w:r>
        <w:rPr>
          <w:rFonts w:ascii="仿宋_GB2312" w:hAnsi="仿宋_GB2312" w:eastAsia="仿宋_GB2312"/>
          <w:b w:val="0"/>
          <w:sz w:val="32"/>
        </w:rPr>
        <w:t>4.卫生健康支出(类)22.48万元,占2.88%。</w:t>
      </w:r>
    </w:p>
    <w:p w14:paraId="1755105E">
      <w:pPr>
        <w:spacing w:line="580" w:lineRule="exact"/>
        <w:ind w:firstLine="640"/>
        <w:jc w:val="both"/>
      </w:pPr>
      <w:r>
        <w:rPr>
          <w:rFonts w:ascii="仿宋_GB2312" w:hAnsi="仿宋_GB2312" w:eastAsia="仿宋_GB2312"/>
          <w:b w:val="0"/>
          <w:sz w:val="32"/>
        </w:rPr>
        <w:t>5.住房保障支出(类)38.78万元,占4.96%。</w:t>
      </w:r>
    </w:p>
    <w:p w14:paraId="5FF1AC46">
      <w:pPr>
        <w:spacing w:line="640" w:lineRule="exact"/>
        <w:ind w:firstLine="640"/>
        <w:jc w:val="both"/>
        <w:outlineLvl w:val="3"/>
      </w:pPr>
      <w:r>
        <w:rPr>
          <w:rFonts w:ascii="楷体_GB2312" w:hAnsi="楷体_GB2312" w:eastAsia="楷体_GB2312"/>
          <w:b/>
          <w:sz w:val="32"/>
        </w:rPr>
        <w:t>（三）一般公共预算财政拨款支出决算具体情况</w:t>
      </w:r>
    </w:p>
    <w:p w14:paraId="7F26F19E">
      <w:pPr>
        <w:spacing w:line="580" w:lineRule="exact"/>
        <w:ind w:firstLine="640"/>
        <w:jc w:val="both"/>
      </w:pPr>
      <w:r>
        <w:rPr>
          <w:rFonts w:ascii="仿宋_GB2312" w:hAnsi="仿宋_GB2312" w:eastAsia="仿宋_GB2312"/>
          <w:b w:val="0"/>
          <w:sz w:val="32"/>
        </w:rPr>
        <w:t>1.一般公共服务支出(类)政府办公厅（室）及相关机构事务(款)其他政府办公厅（室）及相关机构事务支出(项):支出决算数为46.50万元，比上年决算增加46.50万元，增长100.00%,主要原因是：本年机构改革，上年与县委办统一编报公开，本年独立核算，无上年对比数据。</w:t>
      </w:r>
    </w:p>
    <w:p w14:paraId="34C4B863">
      <w:pPr>
        <w:spacing w:line="580" w:lineRule="exact"/>
        <w:ind w:firstLine="640"/>
        <w:jc w:val="both"/>
      </w:pPr>
      <w:r>
        <w:rPr>
          <w:rFonts w:ascii="仿宋_GB2312" w:hAnsi="仿宋_GB2312" w:eastAsia="仿宋_GB2312"/>
          <w:b w:val="0"/>
          <w:sz w:val="32"/>
        </w:rPr>
        <w:t>2.一般公共服务支出(类)党委办公厅（室）及相关机构事务(款)行政运行(项):支出决算数为320.25万元，比上年决算增加320.25万元，增长100.00%,主要原因是：本年机构改革，上年与县委办统一编报公开，本年独立核算，无上年对比数据。</w:t>
      </w:r>
    </w:p>
    <w:p w14:paraId="385CC943">
      <w:pPr>
        <w:spacing w:line="580" w:lineRule="exact"/>
        <w:ind w:firstLine="640"/>
        <w:jc w:val="both"/>
      </w:pPr>
      <w:r>
        <w:rPr>
          <w:rFonts w:ascii="仿宋_GB2312" w:hAnsi="仿宋_GB2312" w:eastAsia="仿宋_GB2312"/>
          <w:b w:val="0"/>
          <w:sz w:val="32"/>
        </w:rPr>
        <w:t>3.一般公共服务支出(类)党委办公厅（室）及相关机构事务(款)事业运行(项):支出决算数为194.49万元，比上年决算增加194.49万元，增长100.00%,主要原因是：本年机构改革，上年与县委办统一编报公开，本年独立核算，无上年对比数据。</w:t>
      </w:r>
    </w:p>
    <w:p w14:paraId="39728F72">
      <w:pPr>
        <w:spacing w:line="580" w:lineRule="exact"/>
        <w:ind w:firstLine="640"/>
        <w:jc w:val="both"/>
      </w:pPr>
      <w:r>
        <w:rPr>
          <w:rFonts w:ascii="仿宋_GB2312" w:hAnsi="仿宋_GB2312" w:eastAsia="仿宋_GB2312"/>
          <w:b w:val="0"/>
          <w:sz w:val="32"/>
        </w:rPr>
        <w:t>4.一般公共服务支出(类)其他共产党事务支出(款)行政运行(项):支出决算数为89.29万元，比上年决算增加89.29万元，增长100.00%,主要原因是：本年机构改革，上年与县委办统一编报公开，本年独立核算，无上年对比数据。</w:t>
      </w:r>
    </w:p>
    <w:p w14:paraId="640A7C93">
      <w:pPr>
        <w:spacing w:line="580" w:lineRule="exact"/>
        <w:ind w:firstLine="640"/>
        <w:jc w:val="both"/>
      </w:pPr>
      <w:r>
        <w:rPr>
          <w:rFonts w:ascii="仿宋_GB2312" w:hAnsi="仿宋_GB2312" w:eastAsia="仿宋_GB2312"/>
          <w:b w:val="0"/>
          <w:sz w:val="32"/>
        </w:rPr>
        <w:t>5.一般公共服务支出(类)其他共产党事务支出(款)一般行政管理事务(项):支出决算数为10.00万元，比上年决算增加10.00万元，增长100.00%,主要原因是：本年机构改革，上年与县委办统一编报公开，本年独立核算，无上年对比数据。</w:t>
      </w:r>
    </w:p>
    <w:p w14:paraId="18AD4584">
      <w:pPr>
        <w:spacing w:line="580" w:lineRule="exact"/>
        <w:ind w:firstLine="640"/>
        <w:jc w:val="both"/>
      </w:pPr>
      <w:r>
        <w:rPr>
          <w:rFonts w:ascii="仿宋_GB2312" w:hAnsi="仿宋_GB2312" w:eastAsia="仿宋_GB2312"/>
          <w:b w:val="0"/>
          <w:sz w:val="32"/>
        </w:rPr>
        <w:t>6.科学技术支出(类)其他科学技术支出(款)其他科学技术支出(项):支出决算数为8.23万元，比上年决算增加8.23万元，增长100.00%,主要原因是：本年机构改革，上年与县委办统一编报公开，本年独立核算，无上年对比数据。</w:t>
      </w:r>
    </w:p>
    <w:p w14:paraId="2D63576E">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5.75万元，比上年决算增加5.75万元，增长100.00%,主要原因是：本年机构改革，上年与县委办统一编报公开，本年独立核算，无上年对比数据。</w:t>
      </w:r>
    </w:p>
    <w:p w14:paraId="77F5898F">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45.38万元，比上年决算增加45.38万元，增长100.00%,主要原因是：本年机构改革，上年与县委办统一编报公开，本年独立核算，无上年对比数据。</w:t>
      </w:r>
    </w:p>
    <w:p w14:paraId="693791D4">
      <w:pPr>
        <w:spacing w:line="580" w:lineRule="exact"/>
        <w:ind w:firstLine="640"/>
        <w:jc w:val="both"/>
      </w:pPr>
      <w:r>
        <w:rPr>
          <w:rFonts w:ascii="仿宋_GB2312" w:hAnsi="仿宋_GB2312" w:eastAsia="仿宋_GB2312"/>
          <w:b w:val="0"/>
          <w:sz w:val="32"/>
        </w:rPr>
        <w:t>9.卫生健康支出(类)行政事业单位医疗(款)行政单位医疗(项):支出决算数为10.63万元，比上年决算增加10.63万元，增长100.00%,主要原因是：本年机构改革，上年与县委办统一编报公开，本年独立核算，无上年对比数据。</w:t>
      </w:r>
    </w:p>
    <w:p w14:paraId="4E235E57">
      <w:pPr>
        <w:spacing w:line="580" w:lineRule="exact"/>
        <w:ind w:firstLine="640"/>
        <w:jc w:val="both"/>
      </w:pPr>
      <w:r>
        <w:rPr>
          <w:rFonts w:ascii="仿宋_GB2312" w:hAnsi="仿宋_GB2312" w:eastAsia="仿宋_GB2312"/>
          <w:b w:val="0"/>
          <w:sz w:val="32"/>
        </w:rPr>
        <w:t>10.卫生健康支出(类)行政事业单位医疗(款)事业单位医疗(项):支出决算数为8.99万元，比上年决算增加8.99万元，增长100.00%,主要原因是：本年机构改革，上年与县委办统一编报公开，本年独立核算，无上年对比数据。</w:t>
      </w:r>
    </w:p>
    <w:p w14:paraId="17EA5969">
      <w:pPr>
        <w:spacing w:line="580" w:lineRule="exact"/>
        <w:ind w:firstLine="640"/>
        <w:jc w:val="both"/>
      </w:pPr>
      <w:r>
        <w:rPr>
          <w:rFonts w:ascii="仿宋_GB2312" w:hAnsi="仿宋_GB2312" w:eastAsia="仿宋_GB2312"/>
          <w:b w:val="0"/>
          <w:sz w:val="32"/>
        </w:rPr>
        <w:t>11.卫生健康支出(类)行政事业单位医疗(款)公务员医疗补助(项):支出决算数为2.86万元，比上年决算增加2.86万元，增长100.00%,主要原因是：本年机构改革，上年与县委办统一编报公开，本年独立核算，无上年对比数据。</w:t>
      </w:r>
    </w:p>
    <w:p w14:paraId="48B75439">
      <w:pPr>
        <w:spacing w:line="580" w:lineRule="exact"/>
        <w:ind w:firstLine="640"/>
        <w:jc w:val="both"/>
      </w:pPr>
      <w:r>
        <w:rPr>
          <w:rFonts w:ascii="仿宋_GB2312" w:hAnsi="仿宋_GB2312" w:eastAsia="仿宋_GB2312"/>
          <w:b w:val="0"/>
          <w:sz w:val="32"/>
        </w:rPr>
        <w:t>12.住房保障支出(类)住房改革支出(款)住房公积金(项):支出决算数为38.78万元，比上年决算增加38.78万元，增长100.00%,主要原因是：本年机构改革，上年与县委办统一编报公开，本年独立核算，无上年对比数据。</w:t>
      </w:r>
    </w:p>
    <w:p w14:paraId="109A5588">
      <w:pPr>
        <w:spacing w:line="640" w:lineRule="exact"/>
        <w:ind w:firstLine="640"/>
        <w:jc w:val="both"/>
        <w:outlineLvl w:val="2"/>
      </w:pPr>
      <w:r>
        <w:rPr>
          <w:rFonts w:ascii="黑体" w:hAnsi="黑体" w:eastAsia="黑体"/>
          <w:sz w:val="32"/>
        </w:rPr>
        <w:t>六、一般公共预算财政拨款基本支出决算情况说明</w:t>
      </w:r>
    </w:p>
    <w:p w14:paraId="61D6B1C6">
      <w:pPr>
        <w:spacing w:line="580" w:lineRule="exact"/>
        <w:ind w:firstLine="640"/>
        <w:jc w:val="both"/>
      </w:pPr>
      <w:r>
        <w:rPr>
          <w:rFonts w:ascii="仿宋_GB2312" w:hAnsi="仿宋_GB2312" w:eastAsia="仿宋_GB2312"/>
          <w:b w:val="0"/>
          <w:sz w:val="32"/>
        </w:rPr>
        <w:t>2024年度一般公共预算财政拨款基本支出716.42万元，其中：</w:t>
      </w:r>
      <w:r>
        <w:rPr>
          <w:rFonts w:ascii="仿宋_GB2312" w:hAnsi="仿宋_GB2312" w:eastAsia="仿宋_GB2312"/>
          <w:b/>
          <w:sz w:val="32"/>
        </w:rPr>
        <w:t>人员经费557.06万元，</w:t>
      </w:r>
      <w:r>
        <w:rPr>
          <w:rFonts w:ascii="仿宋_GB2312" w:hAnsi="仿宋_GB2312" w:eastAsia="仿宋_GB2312"/>
          <w:b w:val="0"/>
          <w:sz w:val="32"/>
        </w:rPr>
        <w:t>包括：基本工资、津贴补贴、奖金、伙食补助费、绩效工资、机关事业单位基本养老保险缴费、职业年金缴费、职工基本医疗保险缴费、公务员医疗补助缴费、其他社会保障缴费、住房公积金、退休费、生活补助。</w:t>
      </w:r>
    </w:p>
    <w:p w14:paraId="60344625">
      <w:pPr>
        <w:spacing w:line="580" w:lineRule="exact"/>
        <w:ind w:firstLine="640"/>
        <w:jc w:val="both"/>
      </w:pPr>
      <w:r>
        <w:rPr>
          <w:rFonts w:ascii="仿宋_GB2312" w:hAnsi="仿宋_GB2312" w:eastAsia="仿宋_GB2312"/>
          <w:b/>
          <w:sz w:val="32"/>
        </w:rPr>
        <w:t>公用经费159.36万元，</w:t>
      </w:r>
      <w:r>
        <w:rPr>
          <w:rFonts w:ascii="仿宋_GB2312" w:hAnsi="仿宋_GB2312" w:eastAsia="仿宋_GB2312"/>
          <w:b w:val="0"/>
          <w:sz w:val="32"/>
        </w:rPr>
        <w:t>包括：办公费、邮电费、差旅费、维修（护）费、专用材料费、公务用车运行维护费。</w:t>
      </w:r>
    </w:p>
    <w:p w14:paraId="5E88FF72">
      <w:pPr>
        <w:spacing w:line="640" w:lineRule="exact"/>
        <w:ind w:firstLine="640"/>
        <w:jc w:val="both"/>
        <w:outlineLvl w:val="2"/>
      </w:pPr>
      <w:r>
        <w:rPr>
          <w:rFonts w:ascii="黑体" w:hAnsi="黑体" w:eastAsia="黑体"/>
          <w:sz w:val="32"/>
        </w:rPr>
        <w:t>七、政府性基金预算财政拨款收入支出决算情况说明</w:t>
      </w:r>
    </w:p>
    <w:p w14:paraId="72DF37B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0AEEAF2">
      <w:pPr>
        <w:spacing w:line="640" w:lineRule="exact"/>
        <w:ind w:firstLine="640"/>
        <w:jc w:val="both"/>
        <w:outlineLvl w:val="2"/>
      </w:pPr>
      <w:r>
        <w:rPr>
          <w:rFonts w:ascii="黑体" w:hAnsi="黑体" w:eastAsia="黑体"/>
          <w:sz w:val="32"/>
        </w:rPr>
        <w:t>八、国有资本经营预算财政拨款收入支出决算情况说明</w:t>
      </w:r>
    </w:p>
    <w:p w14:paraId="1E13EE5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17CE6C7">
      <w:pPr>
        <w:spacing w:line="640" w:lineRule="exact"/>
        <w:ind w:firstLine="640"/>
        <w:jc w:val="both"/>
        <w:outlineLvl w:val="2"/>
      </w:pPr>
      <w:r>
        <w:rPr>
          <w:rFonts w:ascii="黑体" w:hAnsi="黑体" w:eastAsia="黑体"/>
          <w:sz w:val="32"/>
        </w:rPr>
        <w:t>九、财政拨款“三公”经费支出决算情况说明</w:t>
      </w:r>
    </w:p>
    <w:p w14:paraId="4788D502">
      <w:pPr>
        <w:spacing w:line="580" w:lineRule="exact"/>
        <w:ind w:firstLine="640"/>
        <w:jc w:val="both"/>
      </w:pPr>
      <w:r>
        <w:rPr>
          <w:rFonts w:ascii="仿宋_GB2312" w:hAnsi="仿宋_GB2312" w:eastAsia="仿宋_GB2312"/>
          <w:b/>
          <w:sz w:val="32"/>
        </w:rPr>
        <w:t>2024年度财政拨款“三公”经费支出1.80万元，</w:t>
      </w:r>
      <w:r>
        <w:rPr>
          <w:rFonts w:ascii="仿宋_GB2312" w:hAnsi="仿宋_GB2312" w:eastAsia="仿宋_GB2312"/>
          <w:b w:val="0"/>
          <w:sz w:val="32"/>
        </w:rPr>
        <w:t>比上年增加1.80万元，增长100.00%，主要原因是：本年机构改革，上年与县委办统一编报公开，本年独立核算，无上年对比数据。其中：因公出国（境）费支出0.00万元，占0.00%，比上年增加0.00万元，增长0.00%，主要原因是：2024年未安排因公出国（境）费支出。公务用车购置及运行维护费支出1.80万元，占100.00%，比上年增加1.80万元，增长100.00%，主要原因是：本年机构改革，上年与县委办统一编报公开，本年独立核算，无上年对比数据。公务接待费支出0.00万元，占0.00%，比上年增加0.00万元，增长0.00%，主要原因是：2024年未安排公务接待费支出。</w:t>
      </w:r>
    </w:p>
    <w:p w14:paraId="520D1734">
      <w:pPr>
        <w:spacing w:line="580" w:lineRule="exact"/>
        <w:ind w:firstLine="640"/>
        <w:jc w:val="both"/>
      </w:pPr>
      <w:r>
        <w:rPr>
          <w:rFonts w:ascii="仿宋_GB2312" w:hAnsi="仿宋_GB2312" w:eastAsia="仿宋_GB2312"/>
          <w:b/>
          <w:sz w:val="32"/>
        </w:rPr>
        <w:t>具体情况如下：</w:t>
      </w:r>
    </w:p>
    <w:p w14:paraId="7FCFCDA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2D9523">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过路费。公务用车购置数0辆，公务用车保有量1辆。国有资产占用情况中固定资产车辆0辆，与公务用车保有量差异原因是：借用其他单位车辆，车辆费用由本单位支付。</w:t>
      </w:r>
    </w:p>
    <w:p w14:paraId="21BF4F3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3C759F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0.00万元，决算数0.00万元，预决算差异率0.00%，主要原因是：本单位无公务接待费。</w:t>
      </w:r>
    </w:p>
    <w:p w14:paraId="26F428B5">
      <w:pPr>
        <w:spacing w:line="640" w:lineRule="exact"/>
        <w:ind w:firstLine="640"/>
        <w:jc w:val="both"/>
        <w:outlineLvl w:val="2"/>
      </w:pPr>
      <w:r>
        <w:rPr>
          <w:rFonts w:ascii="黑体" w:hAnsi="黑体" w:eastAsia="黑体"/>
          <w:sz w:val="32"/>
        </w:rPr>
        <w:t>十、其他重要事项的情况说明</w:t>
      </w:r>
    </w:p>
    <w:p w14:paraId="5760E274">
      <w:pPr>
        <w:spacing w:line="640" w:lineRule="exact"/>
        <w:ind w:firstLine="640"/>
        <w:jc w:val="both"/>
        <w:outlineLvl w:val="3"/>
      </w:pPr>
      <w:r>
        <w:rPr>
          <w:rFonts w:ascii="楷体_GB2312" w:hAnsi="楷体_GB2312" w:eastAsia="楷体_GB2312"/>
          <w:b/>
          <w:sz w:val="32"/>
        </w:rPr>
        <w:t>（一）机关运行经费及公用经费支出情况</w:t>
      </w:r>
    </w:p>
    <w:p w14:paraId="46574688">
      <w:pPr>
        <w:spacing w:line="580" w:lineRule="exact"/>
        <w:ind w:firstLine="640"/>
        <w:jc w:val="both"/>
      </w:pPr>
      <w:r>
        <w:rPr>
          <w:rFonts w:ascii="仿宋_GB2312" w:hAnsi="仿宋_GB2312" w:eastAsia="仿宋_GB2312"/>
          <w:b w:val="0"/>
          <w:sz w:val="32"/>
        </w:rPr>
        <w:t>2024年度中共英吉沙县委政法委员会（行政单位和参照公务员法管理事业单位）机关运行经费支出159.36万元，比上年增加159.36万元，增长100.00%，主要原因是：本年机构改革，上年与县委办统一编报公开，本年独立核算，无上年对比数据。</w:t>
      </w:r>
    </w:p>
    <w:p w14:paraId="1099D5BC">
      <w:pPr>
        <w:spacing w:line="640" w:lineRule="exact"/>
        <w:ind w:firstLine="640"/>
        <w:jc w:val="both"/>
        <w:outlineLvl w:val="3"/>
      </w:pPr>
      <w:r>
        <w:rPr>
          <w:rFonts w:ascii="楷体_GB2312" w:hAnsi="楷体_GB2312" w:eastAsia="楷体_GB2312"/>
          <w:b/>
          <w:sz w:val="32"/>
        </w:rPr>
        <w:t>（二）政府采购情况</w:t>
      </w:r>
    </w:p>
    <w:p w14:paraId="3F811650">
      <w:pPr>
        <w:spacing w:line="580" w:lineRule="exact"/>
        <w:ind w:firstLine="640"/>
        <w:jc w:val="both"/>
      </w:pPr>
      <w:r>
        <w:rPr>
          <w:rFonts w:ascii="仿宋_GB2312" w:hAnsi="仿宋_GB2312" w:eastAsia="仿宋_GB2312"/>
          <w:b w:val="0"/>
          <w:sz w:val="32"/>
        </w:rPr>
        <w:t>2024年度政府采购支出总额3.67万元，其中：政府采购货物支出2.67万元、政府采购工程支出0.00万元、政府采购服务支出1.00万元。</w:t>
      </w:r>
    </w:p>
    <w:p w14:paraId="341E9594">
      <w:pPr>
        <w:spacing w:line="580" w:lineRule="exact"/>
        <w:ind w:firstLine="640"/>
        <w:jc w:val="both"/>
      </w:pPr>
      <w:r>
        <w:rPr>
          <w:rFonts w:ascii="仿宋_GB2312" w:hAnsi="仿宋_GB2312" w:eastAsia="仿宋_GB2312"/>
          <w:b w:val="0"/>
          <w:sz w:val="32"/>
        </w:rPr>
        <w:t>授予中小企业合同金额2.08万元，占政府采购支出总额的56.68%，其中：授予小微企业合同金额2.08万元，占政府采购支出总额的56.68%。</w:t>
      </w:r>
    </w:p>
    <w:p w14:paraId="1E79F791">
      <w:pPr>
        <w:spacing w:line="640" w:lineRule="exact"/>
        <w:ind w:firstLine="640"/>
        <w:jc w:val="both"/>
        <w:outlineLvl w:val="3"/>
      </w:pPr>
      <w:r>
        <w:rPr>
          <w:rFonts w:ascii="楷体_GB2312" w:hAnsi="楷体_GB2312" w:eastAsia="楷体_GB2312"/>
          <w:b/>
          <w:sz w:val="32"/>
        </w:rPr>
        <w:t>（三）国有资产占用情况说明</w:t>
      </w:r>
    </w:p>
    <w:p w14:paraId="260EC3B2">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ADC4C81">
      <w:pPr>
        <w:spacing w:line="640" w:lineRule="exact"/>
        <w:ind w:firstLine="640"/>
        <w:jc w:val="both"/>
        <w:outlineLvl w:val="2"/>
      </w:pPr>
      <w:r>
        <w:rPr>
          <w:rFonts w:ascii="黑体" w:hAnsi="黑体" w:eastAsia="黑体"/>
          <w:sz w:val="32"/>
        </w:rPr>
        <w:t>十一、预算绩效的情况说明</w:t>
      </w:r>
    </w:p>
    <w:p w14:paraId="62DC97C6">
      <w:pPr>
        <w:spacing w:line="580" w:lineRule="exact"/>
        <w:ind w:firstLine="640"/>
        <w:jc w:val="both"/>
      </w:pPr>
      <w:r>
        <w:rPr>
          <w:rFonts w:ascii="仿宋_GB2312" w:hAnsi="仿宋_GB2312" w:eastAsia="仿宋_GB2312"/>
          <w:b w:val="0"/>
          <w:sz w:val="32"/>
        </w:rPr>
        <w:t>根据预算绩效管理要求，</w:t>
      </w:r>
      <w:r>
        <w:rPr>
          <w:rFonts w:hint="eastAsia" w:ascii="仿宋_GB2312" w:eastAsia="仿宋_GB2312"/>
          <w:sz w:val="32"/>
          <w:szCs w:val="32"/>
          <w:highlight w:val="none"/>
          <w:lang w:val="en-US" w:eastAsia="zh-CN"/>
        </w:rPr>
        <w:t>本</w:t>
      </w:r>
      <w:r>
        <w:rPr>
          <w:rFonts w:hint="eastAsia" w:ascii="仿宋_GB2312" w:eastAsia="仿宋_GB2312"/>
          <w:sz w:val="32"/>
          <w:szCs w:val="32"/>
          <w:highlight w:val="none"/>
          <w:lang w:eastAsia="zh-CN"/>
        </w:rPr>
        <w:t>单位2024年度预算绩效管理</w:t>
      </w:r>
      <w:r>
        <w:rPr>
          <w:rFonts w:hint="eastAsia" w:ascii="仿宋_GB2312" w:eastAsia="仿宋_GB2312"/>
          <w:sz w:val="32"/>
          <w:szCs w:val="32"/>
          <w:highlight w:val="none"/>
          <w:lang w:val="en-US" w:eastAsia="zh-CN"/>
        </w:rPr>
        <w:t>形成</w:t>
      </w:r>
      <w:r>
        <w:rPr>
          <w:rFonts w:hint="eastAsia" w:ascii="仿宋_GB2312" w:eastAsia="仿宋_GB2312"/>
          <w:sz w:val="32"/>
          <w:szCs w:val="32"/>
          <w:highlight w:val="none"/>
          <w:lang w:eastAsia="zh-CN"/>
        </w:rPr>
        <w:t>整体支出绩效自评表</w:t>
      </w:r>
      <w:r>
        <w:rPr>
          <w:rFonts w:hint="eastAsia" w:ascii="仿宋_GB2312" w:eastAsia="仿宋_GB2312"/>
          <w:sz w:val="32"/>
          <w:szCs w:val="32"/>
          <w:highlight w:val="none"/>
          <w:lang w:val="en-US" w:eastAsia="zh-CN"/>
        </w:rPr>
        <w:t>1个，全年预算总额1,</w:t>
      </w:r>
      <w:bookmarkStart w:id="0" w:name="_GoBack"/>
      <w:bookmarkEnd w:id="0"/>
      <w:r>
        <w:rPr>
          <w:rFonts w:hint="eastAsia" w:ascii="仿宋_GB2312" w:eastAsia="仿宋_GB2312"/>
          <w:sz w:val="32"/>
          <w:szCs w:val="32"/>
          <w:highlight w:val="none"/>
          <w:lang w:val="en-US" w:eastAsia="zh-CN"/>
        </w:rPr>
        <w:t>007.66</w:t>
      </w:r>
      <w:r>
        <w:rPr>
          <w:rFonts w:hint="eastAsia" w:ascii="仿宋_GB2312" w:eastAsia="仿宋_GB2312"/>
          <w:sz w:val="32"/>
          <w:szCs w:val="32"/>
          <w:highlight w:val="none"/>
          <w:lang w:eastAsia="zh-CN"/>
        </w:rPr>
        <w:t>万元，</w:t>
      </w:r>
      <w:r>
        <w:rPr>
          <w:rFonts w:hint="eastAsia" w:ascii="仿宋_GB2312" w:eastAsia="仿宋_GB2312"/>
          <w:sz w:val="32"/>
          <w:szCs w:val="32"/>
          <w:highlight w:val="none"/>
          <w:lang w:val="en-US" w:eastAsia="zh-CN"/>
        </w:rPr>
        <w:t>实际执行总额981.15</w:t>
      </w:r>
      <w:r>
        <w:rPr>
          <w:rFonts w:hint="eastAsia" w:ascii="仿宋_GB2312" w:eastAsia="仿宋_GB2312"/>
          <w:sz w:val="32"/>
          <w:szCs w:val="32"/>
          <w:highlight w:val="none"/>
          <w:lang w:eastAsia="zh-CN"/>
        </w:rPr>
        <w:t>万元</w:t>
      </w:r>
      <w:r>
        <w:rPr>
          <w:rFonts w:hint="eastAsia" w:ascii="仿宋_GB2312" w:eastAsia="仿宋_GB2312"/>
          <w:sz w:val="32"/>
          <w:szCs w:val="32"/>
          <w:highlight w:val="none"/>
          <w:lang w:val="en-US" w:eastAsia="zh-CN"/>
        </w:rPr>
        <w:t>；</w:t>
      </w:r>
      <w:r>
        <w:rPr>
          <w:rFonts w:ascii="仿宋_GB2312" w:hAnsi="仿宋_GB2312" w:eastAsia="仿宋_GB2312"/>
          <w:b w:val="0"/>
          <w:sz w:val="32"/>
        </w:rPr>
        <w:t>本单位预算绩效评价项目7个，全年预算数64.73万元，全年执行数64.73万元。预算绩效管理取得的成效：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项目绩效自评表</w:t>
      </w:r>
      <w:r>
        <w:rPr>
          <w:rFonts w:hint="eastAsia" w:ascii="仿宋_GB2312" w:hAnsi="仿宋_GB2312" w:eastAsia="仿宋_GB2312"/>
          <w:b w:val="0"/>
          <w:sz w:val="32"/>
          <w:lang w:val="en-US" w:eastAsia="zh-CN"/>
        </w:rPr>
        <w:t>SM不予公开</w:t>
      </w:r>
      <w:r>
        <w:rPr>
          <w:rFonts w:ascii="仿宋_GB2312" w:hAnsi="仿宋_GB2312" w:eastAsia="仿宋_GB2312"/>
          <w:b w:val="0"/>
          <w:sz w:val="32"/>
        </w:rPr>
        <w:t>。发现的问题及原因：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项目绩效自评表</w:t>
      </w:r>
      <w:r>
        <w:rPr>
          <w:rFonts w:hint="eastAsia" w:ascii="仿宋_GB2312" w:hAnsi="仿宋_GB2312" w:eastAsia="仿宋_GB2312"/>
          <w:b w:val="0"/>
          <w:sz w:val="32"/>
          <w:lang w:val="en-US" w:eastAsia="zh-CN"/>
        </w:rPr>
        <w:t>SM不予公开</w:t>
      </w:r>
      <w:r>
        <w:rPr>
          <w:rFonts w:ascii="仿宋_GB2312" w:hAnsi="仿宋_GB2312" w:eastAsia="仿宋_GB2312"/>
          <w:b w:val="0"/>
          <w:sz w:val="32"/>
        </w:rPr>
        <w:t>。下一步改进措施：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项目绩效自评表</w:t>
      </w:r>
      <w:r>
        <w:rPr>
          <w:rFonts w:hint="eastAsia" w:ascii="仿宋_GB2312" w:hAnsi="仿宋_GB2312" w:eastAsia="仿宋_GB2312"/>
          <w:b w:val="0"/>
          <w:sz w:val="32"/>
          <w:lang w:val="en-US" w:eastAsia="zh-CN"/>
        </w:rPr>
        <w:t>SM不予公开</w:t>
      </w:r>
      <w:r>
        <w:rPr>
          <w:rFonts w:ascii="仿宋_GB2312" w:hAnsi="仿宋_GB2312" w:eastAsia="仿宋_GB2312"/>
          <w:b w:val="0"/>
          <w:sz w:val="32"/>
        </w:rPr>
        <w:t>。</w:t>
      </w:r>
    </w:p>
    <w:p w14:paraId="5F171A6B">
      <w:r>
        <w:br w:type="page"/>
      </w:r>
    </w:p>
    <w:p w14:paraId="131896D1">
      <w:pPr>
        <w:spacing w:line="640" w:lineRule="exact"/>
        <w:ind w:firstLine="640"/>
        <w:jc w:val="both"/>
        <w:outlineLvl w:val="2"/>
      </w:pPr>
      <w:r>
        <w:rPr>
          <w:rFonts w:ascii="黑体" w:hAnsi="黑体" w:eastAsia="黑体"/>
          <w:sz w:val="32"/>
        </w:rPr>
        <w:t>十二、其他需说明的事项</w:t>
      </w:r>
    </w:p>
    <w:p w14:paraId="28D30511">
      <w:pPr>
        <w:spacing w:line="580" w:lineRule="exact"/>
        <w:ind w:firstLine="640"/>
        <w:jc w:val="both"/>
      </w:pPr>
      <w:r>
        <w:rPr>
          <w:rFonts w:ascii="仿宋_GB2312" w:hAnsi="仿宋_GB2312" w:eastAsia="仿宋_GB2312"/>
          <w:b w:val="0"/>
          <w:sz w:val="32"/>
        </w:rPr>
        <w:t>本年度本单位整体绩效自评表不予公开。本年本单位SM项目7个，全年预算数64.73万元，全年执行数64.73万元。</w:t>
      </w:r>
    </w:p>
    <w:p w14:paraId="02183FD4">
      <w:r>
        <w:br w:type="page"/>
      </w:r>
    </w:p>
    <w:p w14:paraId="65A14690">
      <w:pPr>
        <w:spacing w:line="240" w:lineRule="auto"/>
        <w:jc w:val="center"/>
        <w:outlineLvl w:val="1"/>
      </w:pPr>
      <w:r>
        <w:rPr>
          <w:rFonts w:ascii="黑体" w:hAnsi="黑体" w:eastAsia="黑体"/>
          <w:sz w:val="32"/>
        </w:rPr>
        <w:t>第三部分 专业名词解释</w:t>
      </w:r>
    </w:p>
    <w:p w14:paraId="52012C7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939CE3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5296E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1464C0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1BAF9E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78200B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054B4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C16A62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B8C17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ACA12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363907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641818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6F4707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5AC72E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91F40DB">
      <w:r>
        <w:br w:type="page"/>
      </w:r>
    </w:p>
    <w:p w14:paraId="2715A934">
      <w:pPr>
        <w:spacing w:line="240" w:lineRule="auto"/>
        <w:jc w:val="center"/>
        <w:outlineLvl w:val="1"/>
      </w:pPr>
      <w:r>
        <w:rPr>
          <w:rFonts w:ascii="黑体" w:hAnsi="黑体" w:eastAsia="黑体"/>
          <w:sz w:val="32"/>
        </w:rPr>
        <w:t>第四部分 部门决算报表（见附表）</w:t>
      </w:r>
    </w:p>
    <w:p w14:paraId="73B8F900">
      <w:pPr>
        <w:spacing w:line="240" w:lineRule="auto"/>
        <w:ind w:firstLine="640"/>
        <w:jc w:val="both"/>
      </w:pPr>
      <w:r>
        <w:rPr>
          <w:rFonts w:ascii="仿宋_GB2312" w:hAnsi="仿宋_GB2312" w:eastAsia="仿宋_GB2312"/>
          <w:b w:val="0"/>
          <w:sz w:val="32"/>
        </w:rPr>
        <w:t>一、《收入支出决算总表》</w:t>
      </w:r>
    </w:p>
    <w:p w14:paraId="468AF732">
      <w:pPr>
        <w:spacing w:line="240" w:lineRule="auto"/>
        <w:ind w:firstLine="640"/>
        <w:jc w:val="both"/>
      </w:pPr>
      <w:r>
        <w:rPr>
          <w:rFonts w:ascii="仿宋_GB2312" w:hAnsi="仿宋_GB2312" w:eastAsia="仿宋_GB2312"/>
          <w:b w:val="0"/>
          <w:sz w:val="32"/>
        </w:rPr>
        <w:t>二、《收入决算表》</w:t>
      </w:r>
    </w:p>
    <w:p w14:paraId="0ABB76E1">
      <w:pPr>
        <w:spacing w:line="240" w:lineRule="auto"/>
        <w:ind w:firstLine="640"/>
        <w:jc w:val="both"/>
      </w:pPr>
      <w:r>
        <w:rPr>
          <w:rFonts w:ascii="仿宋_GB2312" w:hAnsi="仿宋_GB2312" w:eastAsia="仿宋_GB2312"/>
          <w:b w:val="0"/>
          <w:sz w:val="32"/>
        </w:rPr>
        <w:t>三、《支出决算表》</w:t>
      </w:r>
    </w:p>
    <w:p w14:paraId="27F63D92">
      <w:pPr>
        <w:spacing w:line="240" w:lineRule="auto"/>
        <w:ind w:firstLine="640"/>
        <w:jc w:val="both"/>
      </w:pPr>
      <w:r>
        <w:rPr>
          <w:rFonts w:ascii="仿宋_GB2312" w:hAnsi="仿宋_GB2312" w:eastAsia="仿宋_GB2312"/>
          <w:b w:val="0"/>
          <w:sz w:val="32"/>
        </w:rPr>
        <w:t>四、《财政拨款收入支出决算总表》</w:t>
      </w:r>
    </w:p>
    <w:p w14:paraId="4ABDD1DF">
      <w:pPr>
        <w:spacing w:line="240" w:lineRule="auto"/>
        <w:ind w:firstLine="640"/>
        <w:jc w:val="both"/>
      </w:pPr>
      <w:r>
        <w:rPr>
          <w:rFonts w:ascii="仿宋_GB2312" w:hAnsi="仿宋_GB2312" w:eastAsia="仿宋_GB2312"/>
          <w:b w:val="0"/>
          <w:sz w:val="32"/>
        </w:rPr>
        <w:t>五、《一般公共预算财政拨款支出决算表》</w:t>
      </w:r>
    </w:p>
    <w:p w14:paraId="25C379BD">
      <w:pPr>
        <w:spacing w:line="240" w:lineRule="auto"/>
        <w:ind w:firstLine="640"/>
        <w:jc w:val="both"/>
      </w:pPr>
      <w:r>
        <w:rPr>
          <w:rFonts w:ascii="仿宋_GB2312" w:hAnsi="仿宋_GB2312" w:eastAsia="仿宋_GB2312"/>
          <w:b w:val="0"/>
          <w:sz w:val="32"/>
        </w:rPr>
        <w:t>六、《一般公共预算财政拨款基本支出决算表》</w:t>
      </w:r>
    </w:p>
    <w:p w14:paraId="600DBDC5">
      <w:pPr>
        <w:spacing w:line="240" w:lineRule="auto"/>
        <w:ind w:firstLine="640"/>
        <w:jc w:val="both"/>
      </w:pPr>
      <w:r>
        <w:rPr>
          <w:rFonts w:ascii="仿宋_GB2312" w:hAnsi="仿宋_GB2312" w:eastAsia="仿宋_GB2312"/>
          <w:b w:val="0"/>
          <w:sz w:val="32"/>
        </w:rPr>
        <w:t>七、《政府性基金预算财政拨款收入支出决算表》</w:t>
      </w:r>
    </w:p>
    <w:p w14:paraId="00F4AD55">
      <w:pPr>
        <w:spacing w:line="240" w:lineRule="auto"/>
        <w:ind w:firstLine="640"/>
        <w:jc w:val="both"/>
      </w:pPr>
      <w:r>
        <w:rPr>
          <w:rFonts w:ascii="仿宋_GB2312" w:hAnsi="仿宋_GB2312" w:eastAsia="仿宋_GB2312"/>
          <w:b w:val="0"/>
          <w:sz w:val="32"/>
        </w:rPr>
        <w:t>八、《国有资本经营预算财政拨款收入支出决算表》</w:t>
      </w:r>
    </w:p>
    <w:p w14:paraId="12F8B04E">
      <w:pPr>
        <w:spacing w:line="240" w:lineRule="auto"/>
        <w:ind w:firstLine="640"/>
        <w:jc w:val="both"/>
      </w:pPr>
      <w:r>
        <w:rPr>
          <w:rFonts w:ascii="仿宋_GB2312" w:hAnsi="仿宋_GB2312" w:eastAsia="仿宋_GB2312"/>
          <w:b w:val="0"/>
          <w:sz w:val="32"/>
        </w:rPr>
        <w:t>九、《财政拨款“三公”经费支出决算表》</w:t>
      </w:r>
    </w:p>
    <w:p w14:paraId="38C5D5E2">
      <w:pPr>
        <w:spacing w:line="240" w:lineRule="auto"/>
        <w:ind w:firstLine="640"/>
        <w:jc w:val="both"/>
      </w:pPr>
    </w:p>
    <w:p w14:paraId="73CF736E">
      <w:pPr>
        <w:spacing w:line="240" w:lineRule="auto"/>
        <w:ind w:firstLine="640"/>
        <w:jc w:val="both"/>
      </w:pPr>
    </w:p>
    <w:p w14:paraId="479147DD">
      <w:pPr>
        <w:spacing w:line="240" w:lineRule="auto"/>
        <w:ind w:firstLine="640"/>
        <w:jc w:val="both"/>
      </w:pPr>
    </w:p>
    <w:p w14:paraId="422B3BB5">
      <w:pPr>
        <w:spacing w:line="240" w:lineRule="auto"/>
        <w:ind w:firstLine="640"/>
        <w:jc w:val="both"/>
      </w:pPr>
    </w:p>
    <w:p w14:paraId="197E530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2C26CF"/>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62546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AB1FAA"/>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5581</Words>
  <Characters>6330</Characters>
  <Lines>0</Lines>
  <Paragraphs>0</Paragraphs>
  <TotalTime>1</TotalTime>
  <ScaleCrop>false</ScaleCrop>
  <LinksUpToDate>false</LinksUpToDate>
  <CharactersWithSpaces>6340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2025-09-05T09:14:03Z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