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中共英吉沙县委网络安全和信息化委员会办公室2024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92EBDE4">
      <w:r>
        <w:br w:type="page"/>
      </w:r>
    </w:p>
    <w:p w14:paraId="697B1248">
      <w:pPr>
        <w:spacing w:line="640" w:lineRule="exact"/>
        <w:jc w:val="center"/>
        <w:outlineLvl w:val="1"/>
      </w:pPr>
      <w:r>
        <w:rPr>
          <w:rFonts w:ascii="黑体" w:hAnsi="黑体" w:eastAsia="黑体"/>
          <w:sz w:val="32"/>
        </w:rPr>
        <w:t>第一部分 单位概况</w:t>
      </w:r>
    </w:p>
    <w:p w14:paraId="233755C9">
      <w:pPr>
        <w:spacing w:line="640" w:lineRule="exact"/>
        <w:ind w:firstLine="640"/>
        <w:jc w:val="both"/>
        <w:outlineLvl w:val="2"/>
      </w:pPr>
      <w:r>
        <w:rPr>
          <w:rFonts w:ascii="黑体" w:hAnsi="黑体" w:eastAsia="黑体"/>
          <w:sz w:val="32"/>
        </w:rPr>
        <w:t>一、主要职能</w:t>
      </w:r>
    </w:p>
    <w:p w14:paraId="1962A043">
      <w:pPr>
        <w:spacing w:line="580" w:lineRule="exact"/>
        <w:ind w:firstLine="640"/>
        <w:jc w:val="both"/>
      </w:pPr>
      <w:r>
        <w:rPr>
          <w:rFonts w:ascii="仿宋_GB2312" w:hAnsi="仿宋_GB2312" w:eastAsia="仿宋_GB2312"/>
          <w:sz w:val="32"/>
        </w:rPr>
        <w:t>本单位主要职能SM不予公开。</w:t>
      </w:r>
    </w:p>
    <w:p w14:paraId="15C418E9">
      <w:pPr>
        <w:spacing w:line="640" w:lineRule="exact"/>
        <w:ind w:firstLine="640"/>
        <w:jc w:val="both"/>
        <w:outlineLvl w:val="2"/>
      </w:pPr>
      <w:r>
        <w:rPr>
          <w:rFonts w:ascii="黑体" w:hAnsi="黑体" w:eastAsia="黑体"/>
          <w:sz w:val="32"/>
        </w:rPr>
        <w:t>二、机构设置及人员情况</w:t>
      </w:r>
    </w:p>
    <w:p w14:paraId="691F290C">
      <w:pPr>
        <w:spacing w:line="580" w:lineRule="exact"/>
        <w:ind w:firstLine="640"/>
        <w:jc w:val="both"/>
      </w:pPr>
      <w:r>
        <w:rPr>
          <w:rFonts w:ascii="仿宋_GB2312" w:hAnsi="仿宋_GB2312" w:eastAsia="仿宋_GB2312"/>
          <w:sz w:val="32"/>
        </w:rPr>
        <w:t>本单位机构设置及人员情况SM不予公开。</w:t>
      </w:r>
    </w:p>
    <w:p w14:paraId="09A31778">
      <w:r>
        <w:br w:type="page"/>
      </w:r>
    </w:p>
    <w:p w14:paraId="188FA4B5">
      <w:pPr>
        <w:spacing w:line="240" w:lineRule="auto"/>
        <w:jc w:val="center"/>
        <w:outlineLvl w:val="1"/>
      </w:pPr>
      <w:r>
        <w:rPr>
          <w:rFonts w:ascii="黑体" w:hAnsi="黑体" w:eastAsia="黑体"/>
          <w:sz w:val="32"/>
        </w:rPr>
        <w:t>第二部分 部门决算情况说明</w:t>
      </w:r>
    </w:p>
    <w:p w14:paraId="71F42E3A">
      <w:pPr>
        <w:spacing w:line="640" w:lineRule="exact"/>
        <w:ind w:firstLine="640"/>
        <w:jc w:val="both"/>
        <w:outlineLvl w:val="2"/>
      </w:pPr>
      <w:r>
        <w:rPr>
          <w:rFonts w:ascii="黑体" w:hAnsi="黑体" w:eastAsia="黑体"/>
          <w:sz w:val="32"/>
        </w:rPr>
        <w:t>一、收入支出决算总体情况说明</w:t>
      </w:r>
    </w:p>
    <w:p w14:paraId="36CBD56A">
      <w:pPr>
        <w:spacing w:line="580" w:lineRule="exact"/>
        <w:ind w:firstLine="640"/>
        <w:jc w:val="both"/>
      </w:pPr>
      <w:r>
        <w:rPr>
          <w:rFonts w:ascii="仿宋_GB2312" w:hAnsi="仿宋_GB2312" w:eastAsia="仿宋_GB2312"/>
          <w:b/>
          <w:sz w:val="32"/>
        </w:rPr>
        <w:t>2024年度收入总计316.45万元，</w:t>
      </w:r>
      <w:r>
        <w:rPr>
          <w:rFonts w:ascii="仿宋_GB2312" w:hAnsi="仿宋_GB2312" w:eastAsia="仿宋_GB2312"/>
          <w:b w:val="0"/>
          <w:sz w:val="32"/>
        </w:rPr>
        <w:t>其中：本年收入合计316.45万元，使用非财政拨款结余（含专用结余）0.00万元，年初结转和结余0.00万元。</w:t>
      </w:r>
    </w:p>
    <w:p w14:paraId="11CFA0C2">
      <w:pPr>
        <w:spacing w:line="580" w:lineRule="exact"/>
        <w:ind w:firstLine="640"/>
        <w:jc w:val="both"/>
      </w:pPr>
      <w:r>
        <w:rPr>
          <w:rFonts w:ascii="仿宋_GB2312" w:hAnsi="仿宋_GB2312" w:eastAsia="仿宋_GB2312"/>
          <w:b/>
          <w:sz w:val="32"/>
        </w:rPr>
        <w:t>2024年度支出总计316.45万元，</w:t>
      </w:r>
      <w:r>
        <w:rPr>
          <w:rFonts w:ascii="仿宋_GB2312" w:hAnsi="仿宋_GB2312" w:eastAsia="仿宋_GB2312"/>
          <w:b w:val="0"/>
          <w:sz w:val="32"/>
        </w:rPr>
        <w:t>其中：本年支出合计316.45万元，结余分配0.00万元，年末结转和结余0.00万元。</w:t>
      </w:r>
    </w:p>
    <w:p w14:paraId="687C6593">
      <w:pPr>
        <w:spacing w:line="580" w:lineRule="exact"/>
        <w:ind w:firstLine="640"/>
        <w:jc w:val="both"/>
      </w:pPr>
      <w:r>
        <w:rPr>
          <w:rFonts w:ascii="仿宋_GB2312" w:hAnsi="仿宋_GB2312" w:eastAsia="仿宋_GB2312"/>
          <w:b w:val="0"/>
          <w:sz w:val="32"/>
        </w:rPr>
        <w:t>收入支出总体与上年相比，增加316.45万元，增长100.00%，主要原因是：本年机构改革，上年与县委办统一编报公开，本年独立核算，无上年对比数据。</w:t>
      </w:r>
    </w:p>
    <w:p w14:paraId="73DF4E2C">
      <w:pPr>
        <w:spacing w:line="640" w:lineRule="exact"/>
        <w:ind w:firstLine="640"/>
        <w:jc w:val="both"/>
        <w:outlineLvl w:val="2"/>
      </w:pPr>
      <w:r>
        <w:rPr>
          <w:rFonts w:ascii="黑体" w:hAnsi="黑体" w:eastAsia="黑体"/>
          <w:sz w:val="32"/>
        </w:rPr>
        <w:t>二、收入决算情况说明</w:t>
      </w:r>
    </w:p>
    <w:p w14:paraId="21777F0A">
      <w:pPr>
        <w:spacing w:line="580" w:lineRule="exact"/>
        <w:ind w:firstLine="640"/>
        <w:jc w:val="both"/>
      </w:pPr>
      <w:r>
        <w:rPr>
          <w:rFonts w:ascii="仿宋_GB2312" w:hAnsi="仿宋_GB2312" w:eastAsia="仿宋_GB2312"/>
          <w:b/>
          <w:sz w:val="32"/>
        </w:rPr>
        <w:t>本年收入316.45万元，</w:t>
      </w:r>
      <w:r>
        <w:rPr>
          <w:rFonts w:ascii="仿宋_GB2312" w:hAnsi="仿宋_GB2312" w:eastAsia="仿宋_GB2312"/>
          <w:b w:val="0"/>
          <w:sz w:val="32"/>
        </w:rPr>
        <w:t>其中：财政拨款收入316.45万元，占100.00%；上级补助收入0.00万元，占0.00%；事业收入0.00万元，占0.00%；经营收入0.00万元，占0.00%；附属单位上缴收入0.00万元，占0.00%；其他收入0.00万元，占0.00%。</w:t>
      </w:r>
    </w:p>
    <w:p w14:paraId="1AC7EB62">
      <w:pPr>
        <w:spacing w:line="640" w:lineRule="exact"/>
        <w:ind w:firstLine="640"/>
        <w:jc w:val="both"/>
        <w:outlineLvl w:val="2"/>
      </w:pPr>
      <w:r>
        <w:rPr>
          <w:rFonts w:ascii="黑体" w:hAnsi="黑体" w:eastAsia="黑体"/>
          <w:sz w:val="32"/>
        </w:rPr>
        <w:t>三、支出决算情况说明</w:t>
      </w:r>
    </w:p>
    <w:p w14:paraId="02176BB8">
      <w:pPr>
        <w:spacing w:line="580" w:lineRule="exact"/>
        <w:ind w:firstLine="640"/>
        <w:jc w:val="both"/>
      </w:pPr>
      <w:r>
        <w:rPr>
          <w:rFonts w:ascii="仿宋_GB2312" w:hAnsi="仿宋_GB2312" w:eastAsia="仿宋_GB2312"/>
          <w:b/>
          <w:sz w:val="32"/>
        </w:rPr>
        <w:t>本年支出316.45万元，</w:t>
      </w:r>
      <w:r>
        <w:rPr>
          <w:rFonts w:ascii="仿宋_GB2312" w:hAnsi="仿宋_GB2312" w:eastAsia="仿宋_GB2312"/>
          <w:b w:val="0"/>
          <w:sz w:val="32"/>
        </w:rPr>
        <w:t>其中：基本支出316.45万元，占100.00%；项目支出0.00万元，占0.00%；上缴上级支出0.00万元，占0.00%；经营支出0.00万元，占0.00%；对附属单位补助支出0.00万元，占0.00%。</w:t>
      </w:r>
    </w:p>
    <w:p w14:paraId="7E834D56">
      <w:pPr>
        <w:spacing w:line="640" w:lineRule="exact"/>
        <w:ind w:firstLine="640"/>
        <w:jc w:val="both"/>
        <w:outlineLvl w:val="2"/>
      </w:pPr>
      <w:r>
        <w:rPr>
          <w:rFonts w:ascii="黑体" w:hAnsi="黑体" w:eastAsia="黑体"/>
          <w:sz w:val="32"/>
        </w:rPr>
        <w:t>四、财政拨款收入支出决算总体情况说明</w:t>
      </w:r>
    </w:p>
    <w:p w14:paraId="097C963D">
      <w:pPr>
        <w:spacing w:line="580" w:lineRule="exact"/>
        <w:ind w:firstLine="640"/>
        <w:jc w:val="both"/>
      </w:pPr>
      <w:r>
        <w:rPr>
          <w:rFonts w:ascii="仿宋_GB2312" w:hAnsi="仿宋_GB2312" w:eastAsia="仿宋_GB2312"/>
          <w:b/>
          <w:sz w:val="32"/>
        </w:rPr>
        <w:t>2024年度财政拨款收入总计316.45万元，</w:t>
      </w:r>
      <w:r>
        <w:rPr>
          <w:rFonts w:ascii="仿宋_GB2312" w:hAnsi="仿宋_GB2312" w:eastAsia="仿宋_GB2312"/>
          <w:b w:val="0"/>
          <w:sz w:val="32"/>
        </w:rPr>
        <w:t>其中：年初财政拨款结转和结余0.00万元，本年财政拨款收入316.45万元。</w:t>
      </w:r>
      <w:r>
        <w:rPr>
          <w:rFonts w:ascii="仿宋_GB2312" w:hAnsi="仿宋_GB2312" w:eastAsia="仿宋_GB2312"/>
          <w:b/>
          <w:sz w:val="32"/>
        </w:rPr>
        <w:t>财政拨款支出总计316.45万元，</w:t>
      </w:r>
      <w:r>
        <w:rPr>
          <w:rFonts w:ascii="仿宋_GB2312" w:hAnsi="仿宋_GB2312" w:eastAsia="仿宋_GB2312"/>
          <w:b w:val="0"/>
          <w:sz w:val="32"/>
        </w:rPr>
        <w:t>其中：年末财政拨款结转和结余0.00万元，本年财政拨款支出316.45万元。</w:t>
      </w:r>
    </w:p>
    <w:p w14:paraId="05BC73C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增加316.45万元，增长100.00%，主要原因是：本年机构改革，上年与县委办统一编报公开，本年独立核算，无上年对比数据。</w:t>
      </w:r>
      <w:r>
        <w:rPr>
          <w:rFonts w:ascii="仿宋_GB2312" w:hAnsi="仿宋_GB2312" w:eastAsia="仿宋_GB2312"/>
          <w:b/>
          <w:sz w:val="32"/>
        </w:rPr>
        <w:t>与年初预算相比，</w:t>
      </w:r>
      <w:r>
        <w:rPr>
          <w:rFonts w:ascii="仿宋_GB2312" w:hAnsi="仿宋_GB2312" w:eastAsia="仿宋_GB2312"/>
          <w:b w:val="0"/>
          <w:sz w:val="32"/>
        </w:rPr>
        <w:t>年初预算数289.57万元，决算数316.45万元，预决算差异率9.28%，主要原因是：年中追加人员工资、社保、公积金基数调增部分资金，导致预决算差异。</w:t>
      </w:r>
    </w:p>
    <w:p w14:paraId="224458E6">
      <w:pPr>
        <w:spacing w:line="640" w:lineRule="exact"/>
        <w:ind w:firstLine="640"/>
        <w:jc w:val="both"/>
        <w:outlineLvl w:val="2"/>
      </w:pPr>
      <w:r>
        <w:rPr>
          <w:rFonts w:ascii="黑体" w:hAnsi="黑体" w:eastAsia="黑体"/>
          <w:sz w:val="32"/>
        </w:rPr>
        <w:t>五、一般公共预算财政拨款支出决算情况说明</w:t>
      </w:r>
    </w:p>
    <w:p w14:paraId="3D1F8C4D">
      <w:pPr>
        <w:spacing w:line="640" w:lineRule="exact"/>
        <w:ind w:firstLine="640"/>
        <w:jc w:val="both"/>
        <w:outlineLvl w:val="3"/>
      </w:pPr>
      <w:r>
        <w:rPr>
          <w:rFonts w:ascii="楷体_GB2312" w:hAnsi="楷体_GB2312" w:eastAsia="楷体_GB2312"/>
          <w:b/>
          <w:sz w:val="32"/>
        </w:rPr>
        <w:t>（一）一般公共预算财政拨款支出决算总体情况</w:t>
      </w:r>
    </w:p>
    <w:p w14:paraId="0A50D1BF">
      <w:pPr>
        <w:spacing w:line="580" w:lineRule="exact"/>
        <w:ind w:firstLine="640"/>
        <w:jc w:val="both"/>
      </w:pPr>
      <w:r>
        <w:rPr>
          <w:rFonts w:ascii="仿宋_GB2312" w:hAnsi="仿宋_GB2312" w:eastAsia="仿宋_GB2312"/>
          <w:b/>
          <w:sz w:val="32"/>
        </w:rPr>
        <w:t>2024年度一般公共预算财政拨款支出316.45万元，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增加316.45万元，增长100.00%，主要原因是：本年机构改革，上年与县委办统一编报公开，本年独立核算，无上年对比数据。</w:t>
      </w:r>
      <w:r>
        <w:rPr>
          <w:rFonts w:ascii="仿宋_GB2312" w:hAnsi="仿宋_GB2312" w:eastAsia="仿宋_GB2312"/>
          <w:b/>
          <w:sz w:val="32"/>
        </w:rPr>
        <w:t>与年初预算相比,</w:t>
      </w:r>
      <w:r>
        <w:rPr>
          <w:rFonts w:ascii="仿宋_GB2312" w:hAnsi="仿宋_GB2312" w:eastAsia="仿宋_GB2312"/>
          <w:b w:val="0"/>
          <w:sz w:val="32"/>
        </w:rPr>
        <w:t>年初预算数289.57万元，决算数316.45万元，预决算差异率9.28%，主要原因是：年中追加人员工资、社保、公积金基数调增部分资金，导致预决算差异。</w:t>
      </w:r>
    </w:p>
    <w:p w14:paraId="21A60CDF">
      <w:pPr>
        <w:spacing w:line="640" w:lineRule="exact"/>
        <w:ind w:firstLine="640"/>
        <w:jc w:val="both"/>
        <w:outlineLvl w:val="3"/>
      </w:pPr>
      <w:r>
        <w:rPr>
          <w:rFonts w:ascii="楷体_GB2312" w:hAnsi="楷体_GB2312" w:eastAsia="楷体_GB2312"/>
          <w:b/>
          <w:sz w:val="32"/>
        </w:rPr>
        <w:t>（二）一般公共预算财政拨款支出决算结构情况</w:t>
      </w:r>
    </w:p>
    <w:p w14:paraId="40073A4A">
      <w:pPr>
        <w:spacing w:line="580" w:lineRule="exact"/>
        <w:ind w:firstLine="640"/>
        <w:jc w:val="both"/>
      </w:pPr>
      <w:r>
        <w:rPr>
          <w:rFonts w:ascii="仿宋_GB2312" w:hAnsi="仿宋_GB2312" w:eastAsia="仿宋_GB2312"/>
          <w:b w:val="0"/>
          <w:sz w:val="32"/>
        </w:rPr>
        <w:t>1.一般公共服务支出(类)253.55万元,占80.12%。</w:t>
      </w:r>
    </w:p>
    <w:p w14:paraId="126033F4">
      <w:pPr>
        <w:spacing w:line="580" w:lineRule="exact"/>
        <w:ind w:firstLine="640"/>
        <w:jc w:val="both"/>
      </w:pPr>
      <w:r>
        <w:rPr>
          <w:rFonts w:ascii="仿宋_GB2312" w:hAnsi="仿宋_GB2312" w:eastAsia="仿宋_GB2312"/>
          <w:b w:val="0"/>
          <w:sz w:val="32"/>
        </w:rPr>
        <w:t>2.社会保障和就业支出(类)36.52万元,占11.54%。</w:t>
      </w:r>
    </w:p>
    <w:p w14:paraId="2C6590BE">
      <w:pPr>
        <w:spacing w:line="580" w:lineRule="exact"/>
        <w:ind w:firstLine="640"/>
        <w:jc w:val="both"/>
      </w:pPr>
      <w:r>
        <w:rPr>
          <w:rFonts w:ascii="仿宋_GB2312" w:hAnsi="仿宋_GB2312" w:eastAsia="仿宋_GB2312"/>
          <w:b w:val="0"/>
          <w:sz w:val="32"/>
        </w:rPr>
        <w:t>3.卫生健康支出(类)4.91万元,占1.55%。</w:t>
      </w:r>
    </w:p>
    <w:p w14:paraId="77EB1B99">
      <w:pPr>
        <w:spacing w:line="580" w:lineRule="exact"/>
        <w:ind w:firstLine="640"/>
        <w:jc w:val="both"/>
      </w:pPr>
      <w:r>
        <w:rPr>
          <w:rFonts w:ascii="仿宋_GB2312" w:hAnsi="仿宋_GB2312" w:eastAsia="仿宋_GB2312"/>
          <w:b w:val="0"/>
          <w:sz w:val="32"/>
        </w:rPr>
        <w:t>4.住房保障支出(类)21.47万元,占6.78%。</w:t>
      </w:r>
    </w:p>
    <w:p w14:paraId="6A5680E5">
      <w:pPr>
        <w:spacing w:line="640" w:lineRule="exact"/>
        <w:ind w:firstLine="640"/>
        <w:jc w:val="both"/>
        <w:outlineLvl w:val="3"/>
      </w:pPr>
      <w:r>
        <w:rPr>
          <w:rFonts w:ascii="楷体_GB2312" w:hAnsi="楷体_GB2312" w:eastAsia="楷体_GB2312"/>
          <w:b/>
          <w:sz w:val="32"/>
        </w:rPr>
        <w:t>（三）一般公共预算财政拨款支出决算具体情况</w:t>
      </w:r>
    </w:p>
    <w:p w14:paraId="28437734">
      <w:pPr>
        <w:spacing w:line="580" w:lineRule="exact"/>
        <w:ind w:firstLine="640"/>
        <w:jc w:val="both"/>
      </w:pPr>
      <w:r>
        <w:rPr>
          <w:rFonts w:ascii="仿宋_GB2312" w:hAnsi="仿宋_GB2312" w:eastAsia="仿宋_GB2312"/>
          <w:b w:val="0"/>
          <w:sz w:val="32"/>
        </w:rPr>
        <w:t>1.一般公共服务支出(类)网信事务(款)行政运行(项):支出决算数为89.66万元，比上年决算增加89.66万元，增长100.00%,主要原因是：本年机构改革，上年与县委办统一编报公开，本年独立核算，无上年对比数据。</w:t>
      </w:r>
    </w:p>
    <w:p w14:paraId="477AC382">
      <w:pPr>
        <w:spacing w:line="580" w:lineRule="exact"/>
        <w:ind w:firstLine="640"/>
        <w:jc w:val="both"/>
      </w:pPr>
      <w:r>
        <w:rPr>
          <w:rFonts w:ascii="仿宋_GB2312" w:hAnsi="仿宋_GB2312" w:eastAsia="仿宋_GB2312"/>
          <w:b w:val="0"/>
          <w:sz w:val="32"/>
        </w:rPr>
        <w:t>2.一般公共服务支出(类)网信事务(款)事业运行(项):支出决算数为163.88万元，比上年决算增加163.88万元，增长100.00%,主要原因是：本年机构改革，上年与县委办统一编报公开，本年独立核算，无上年对比数据。</w:t>
      </w:r>
    </w:p>
    <w:p w14:paraId="65407810">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9.07万元，比上年决算增加9.07万元，增长100.00%,主要原因是：本年机构改革，上年与县委办统一编报公开，本年独立核算，无上年对比数据。</w:t>
      </w:r>
    </w:p>
    <w:p w14:paraId="1662B3C7">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27.45万元，比上年决算增加27.45万元，增长100.00%,主要原因是：本年机构改革，上年与县委办统一编报公开，本年独立核算，无上年对比数据。</w:t>
      </w:r>
    </w:p>
    <w:p w14:paraId="20D64E01">
      <w:pPr>
        <w:spacing w:line="580" w:lineRule="exact"/>
        <w:ind w:firstLine="640"/>
        <w:jc w:val="both"/>
      </w:pPr>
      <w:r>
        <w:rPr>
          <w:rFonts w:ascii="仿宋_GB2312" w:hAnsi="仿宋_GB2312" w:eastAsia="仿宋_GB2312"/>
          <w:b w:val="0"/>
          <w:sz w:val="32"/>
        </w:rPr>
        <w:t>5.卫生健康支出(类)行政事业单位医疗(款)行政单位医疗(项):支出决算数为3.67万元，比上年决算增加3.67万元，增长100.00%,主要原因是：本年机构改革，上年与县委办统一编报公开，本年独立核算，无上年对比数据。</w:t>
      </w:r>
    </w:p>
    <w:p w14:paraId="3655410C">
      <w:pPr>
        <w:spacing w:line="580" w:lineRule="exact"/>
        <w:ind w:firstLine="640"/>
        <w:jc w:val="both"/>
      </w:pPr>
      <w:r>
        <w:rPr>
          <w:rFonts w:ascii="仿宋_GB2312" w:hAnsi="仿宋_GB2312" w:eastAsia="仿宋_GB2312"/>
          <w:b w:val="0"/>
          <w:sz w:val="32"/>
        </w:rPr>
        <w:t>6.卫生健康支出(类)行政事业单位医疗(款)公务员医疗补助(项):支出决算数为1.24万元，比上年决算增加1.24万元，增长100.00%,主要原因是：本年机构改革，上年与县委办统一编报公开，本年独立核算，无上年对比数据。</w:t>
      </w:r>
    </w:p>
    <w:p w14:paraId="5F9FABA0">
      <w:pPr>
        <w:spacing w:line="580" w:lineRule="exact"/>
        <w:ind w:firstLine="640"/>
        <w:jc w:val="both"/>
      </w:pPr>
      <w:r>
        <w:rPr>
          <w:rFonts w:ascii="仿宋_GB2312" w:hAnsi="仿宋_GB2312" w:eastAsia="仿宋_GB2312"/>
          <w:b w:val="0"/>
          <w:sz w:val="32"/>
        </w:rPr>
        <w:t>7.住房保障支出(类)住房改革支出(款)住房公积金(项):支出决算数为21.47万元，比上年决算增加21.47万元，增长100.00%,主要原因是：本年机构改革，上年与县委办统一编报公开，本年独立核算，无上年对比数据。</w:t>
      </w:r>
    </w:p>
    <w:p w14:paraId="797E3535">
      <w:pPr>
        <w:spacing w:line="640" w:lineRule="exact"/>
        <w:ind w:firstLine="640"/>
        <w:jc w:val="both"/>
        <w:outlineLvl w:val="2"/>
      </w:pPr>
      <w:r>
        <w:rPr>
          <w:rFonts w:ascii="黑体" w:hAnsi="黑体" w:eastAsia="黑体"/>
          <w:sz w:val="32"/>
        </w:rPr>
        <w:t>六、一般公共预算财政拨款基本支出决算情况说明</w:t>
      </w:r>
    </w:p>
    <w:p w14:paraId="6EB15ED8">
      <w:pPr>
        <w:spacing w:line="580" w:lineRule="exact"/>
        <w:ind w:firstLine="640"/>
        <w:jc w:val="both"/>
      </w:pPr>
      <w:r>
        <w:rPr>
          <w:rFonts w:ascii="仿宋_GB2312" w:hAnsi="仿宋_GB2312" w:eastAsia="仿宋_GB2312"/>
          <w:b w:val="0"/>
          <w:sz w:val="32"/>
        </w:rPr>
        <w:t>2024年度一般公共预算财政拨款基本支出316.45万元，其中：</w:t>
      </w:r>
      <w:r>
        <w:rPr>
          <w:rFonts w:ascii="仿宋_GB2312" w:hAnsi="仿宋_GB2312" w:eastAsia="仿宋_GB2312"/>
          <w:b/>
          <w:sz w:val="32"/>
        </w:rPr>
        <w:t>人员经费294.52万元，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w:t>
      </w:r>
    </w:p>
    <w:p w14:paraId="193C7D04">
      <w:pPr>
        <w:spacing w:line="580" w:lineRule="exact"/>
        <w:ind w:firstLine="640"/>
        <w:jc w:val="both"/>
      </w:pPr>
      <w:r>
        <w:rPr>
          <w:rFonts w:ascii="仿宋_GB2312" w:hAnsi="仿宋_GB2312" w:eastAsia="仿宋_GB2312"/>
          <w:b/>
          <w:sz w:val="32"/>
        </w:rPr>
        <w:t>公用经费21.93万元，</w:t>
      </w:r>
      <w:r>
        <w:rPr>
          <w:rFonts w:ascii="仿宋_GB2312" w:hAnsi="仿宋_GB2312" w:eastAsia="仿宋_GB2312"/>
          <w:b w:val="0"/>
          <w:sz w:val="32"/>
        </w:rPr>
        <w:t>包括：办公费、电费、邮电费、差旅费、维修（护）费。</w:t>
      </w:r>
    </w:p>
    <w:p w14:paraId="5E6A989E">
      <w:pPr>
        <w:spacing w:line="640" w:lineRule="exact"/>
        <w:ind w:firstLine="640"/>
        <w:jc w:val="both"/>
        <w:outlineLvl w:val="2"/>
      </w:pPr>
      <w:r>
        <w:rPr>
          <w:rFonts w:ascii="黑体" w:hAnsi="黑体" w:eastAsia="黑体"/>
          <w:sz w:val="32"/>
        </w:rPr>
        <w:t>七、政府性基金预算财政拨款收入支出决算情况说明</w:t>
      </w:r>
    </w:p>
    <w:p w14:paraId="16FC505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DEC87F1">
      <w:pPr>
        <w:spacing w:line="640" w:lineRule="exact"/>
        <w:ind w:firstLine="640"/>
        <w:jc w:val="both"/>
        <w:outlineLvl w:val="2"/>
      </w:pPr>
      <w:r>
        <w:rPr>
          <w:rFonts w:ascii="黑体" w:hAnsi="黑体" w:eastAsia="黑体"/>
          <w:sz w:val="32"/>
        </w:rPr>
        <w:t>八、国有资本经营预算财政拨款收入支出决算情况说明</w:t>
      </w:r>
    </w:p>
    <w:p w14:paraId="092195F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A6554DE">
      <w:pPr>
        <w:spacing w:line="640" w:lineRule="exact"/>
        <w:ind w:firstLine="640"/>
        <w:jc w:val="both"/>
        <w:outlineLvl w:val="2"/>
      </w:pPr>
      <w:r>
        <w:rPr>
          <w:rFonts w:ascii="黑体" w:hAnsi="黑体" w:eastAsia="黑体"/>
          <w:sz w:val="32"/>
        </w:rPr>
        <w:t>九、财政拨款“三公”经费支出决算情况说明</w:t>
      </w:r>
    </w:p>
    <w:p w14:paraId="35D8C839">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2024年未安排财政拨款“三公”经费支出。其中：因公出国（境）费支出0.00万元，占0.00%，比上年增加0.00万元，增长0.00%，主要原因是：2024年未安排因公出国（境）费支出。公务用车购置及运行维护费支出0.00万元，占0.00%，比上年增加0.00万元，增长0.00%，主要原因是：2024年未安排公务用车购置及运行维护费支出。公务接待费支出0.00万元，占0.00%，比上年增加0.00万元，增长0.00%，主要原因是：2024年未安排公务接待费支出。</w:t>
      </w:r>
    </w:p>
    <w:p w14:paraId="292A814C">
      <w:pPr>
        <w:spacing w:line="580" w:lineRule="exact"/>
        <w:ind w:firstLine="640"/>
        <w:jc w:val="both"/>
      </w:pPr>
      <w:r>
        <w:rPr>
          <w:rFonts w:ascii="仿宋_GB2312" w:hAnsi="仿宋_GB2312" w:eastAsia="仿宋_GB2312"/>
          <w:b/>
          <w:sz w:val="32"/>
        </w:rPr>
        <w:t>具体情况如下：</w:t>
      </w:r>
    </w:p>
    <w:p w14:paraId="0EA8003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43AB515">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0D6BC0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1E39CCA">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8913A33">
      <w:pPr>
        <w:spacing w:line="640" w:lineRule="exact"/>
        <w:ind w:firstLine="640"/>
        <w:jc w:val="both"/>
        <w:outlineLvl w:val="2"/>
      </w:pPr>
      <w:r>
        <w:rPr>
          <w:rFonts w:ascii="黑体" w:hAnsi="黑体" w:eastAsia="黑体"/>
          <w:sz w:val="32"/>
        </w:rPr>
        <w:t>十、其他重要事项的情况说明</w:t>
      </w:r>
    </w:p>
    <w:p w14:paraId="718707A3">
      <w:pPr>
        <w:spacing w:line="640" w:lineRule="exact"/>
        <w:ind w:firstLine="640"/>
        <w:jc w:val="both"/>
        <w:outlineLvl w:val="3"/>
      </w:pPr>
      <w:r>
        <w:rPr>
          <w:rFonts w:ascii="楷体_GB2312" w:hAnsi="楷体_GB2312" w:eastAsia="楷体_GB2312"/>
          <w:b/>
          <w:sz w:val="32"/>
        </w:rPr>
        <w:t>（一）机关运行经费及公用经费支出情况</w:t>
      </w:r>
    </w:p>
    <w:p w14:paraId="3EC53D65">
      <w:pPr>
        <w:spacing w:line="580" w:lineRule="exact"/>
        <w:ind w:firstLine="640"/>
        <w:jc w:val="both"/>
      </w:pPr>
      <w:r>
        <w:rPr>
          <w:rFonts w:ascii="仿宋_GB2312" w:hAnsi="仿宋_GB2312" w:eastAsia="仿宋_GB2312"/>
          <w:b w:val="0"/>
          <w:sz w:val="32"/>
        </w:rPr>
        <w:t>2024年度中共英吉沙县委网络安全和信息化委员会办公室（行政单位和参照公务员法管理事业单位）机关运行经费支出21.93万元，比上年增加21.93万元，增长100.00%，主要原因是：本年机构改革，上年与县委办统一编报公开，本年独立核算，无上年对比数据。</w:t>
      </w:r>
    </w:p>
    <w:p w14:paraId="749A1012">
      <w:pPr>
        <w:spacing w:line="640" w:lineRule="exact"/>
        <w:ind w:firstLine="640"/>
        <w:jc w:val="both"/>
        <w:outlineLvl w:val="3"/>
      </w:pPr>
      <w:r>
        <w:rPr>
          <w:rFonts w:ascii="楷体_GB2312" w:hAnsi="楷体_GB2312" w:eastAsia="楷体_GB2312"/>
          <w:b/>
          <w:sz w:val="32"/>
        </w:rPr>
        <w:t>（二）政府采购情况</w:t>
      </w:r>
    </w:p>
    <w:p w14:paraId="6376091C">
      <w:pPr>
        <w:spacing w:line="580" w:lineRule="exact"/>
        <w:ind w:firstLine="640"/>
        <w:jc w:val="both"/>
      </w:pPr>
      <w:r>
        <w:rPr>
          <w:rFonts w:ascii="仿宋_GB2312" w:hAnsi="仿宋_GB2312" w:eastAsia="仿宋_GB2312"/>
          <w:b w:val="0"/>
          <w:sz w:val="32"/>
        </w:rPr>
        <w:t>2024年度政府采购支出总额1.38万元，其中：政府采购货物支出1.38万元、政府采购工程支出0.00万元、政府采购服务支出0.00万元。</w:t>
      </w:r>
    </w:p>
    <w:p w14:paraId="387F48A9">
      <w:pPr>
        <w:spacing w:line="580" w:lineRule="exact"/>
        <w:ind w:firstLine="640"/>
        <w:jc w:val="both"/>
      </w:pPr>
      <w:r>
        <w:rPr>
          <w:rFonts w:ascii="仿宋_GB2312" w:hAnsi="仿宋_GB2312" w:eastAsia="仿宋_GB2312"/>
          <w:b w:val="0"/>
          <w:sz w:val="32"/>
        </w:rPr>
        <w:t>授予中小企业合同金额0.38万元，占政府采购支出总额的27.54%，其中：授予小微企业合同金额0.38万元，占政府采购支出总额的27.54%。</w:t>
      </w:r>
    </w:p>
    <w:p w14:paraId="09B84AFB">
      <w:pPr>
        <w:spacing w:line="640" w:lineRule="exact"/>
        <w:ind w:firstLine="640"/>
        <w:jc w:val="both"/>
        <w:outlineLvl w:val="3"/>
      </w:pPr>
      <w:r>
        <w:rPr>
          <w:rFonts w:ascii="楷体_GB2312" w:hAnsi="楷体_GB2312" w:eastAsia="楷体_GB2312"/>
          <w:b/>
          <w:sz w:val="32"/>
        </w:rPr>
        <w:t>（三）国有资产占用情况说明</w:t>
      </w:r>
    </w:p>
    <w:p w14:paraId="5C509184">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0049433B">
      <w:pPr>
        <w:spacing w:line="640" w:lineRule="exact"/>
        <w:ind w:firstLine="640"/>
        <w:jc w:val="both"/>
        <w:outlineLvl w:val="2"/>
      </w:pPr>
      <w:r>
        <w:rPr>
          <w:rFonts w:ascii="黑体" w:hAnsi="黑体" w:eastAsia="黑体"/>
          <w:sz w:val="32"/>
        </w:rPr>
        <w:t>十一、预算绩效的情况说明</w:t>
      </w:r>
    </w:p>
    <w:p w14:paraId="6E6A080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w:t>
      </w:r>
      <w:r>
        <w:rPr>
          <w:rFonts w:hint="eastAsia" w:ascii="仿宋_GB2312" w:hAnsi="仿宋_GB2312" w:eastAsia="仿宋_GB2312"/>
          <w:b w:val="0"/>
          <w:sz w:val="32"/>
          <w:lang w:val="en-US" w:eastAsia="zh-CN"/>
        </w:rPr>
        <w:t>316.45</w:t>
      </w:r>
      <w:r>
        <w:rPr>
          <w:rFonts w:ascii="仿宋_GB2312" w:hAnsi="仿宋_GB2312" w:eastAsia="仿宋_GB2312"/>
          <w:b w:val="0"/>
          <w:sz w:val="32"/>
        </w:rPr>
        <w:t>万元，实际执行总额</w:t>
      </w:r>
      <w:r>
        <w:rPr>
          <w:rFonts w:hint="eastAsia" w:ascii="仿宋_GB2312" w:hAnsi="仿宋_GB2312" w:eastAsia="仿宋_GB2312"/>
          <w:b w:val="0"/>
          <w:sz w:val="32"/>
          <w:lang w:val="en-US" w:eastAsia="zh-CN"/>
        </w:rPr>
        <w:t>316.45</w:t>
      </w:r>
      <w:r>
        <w:rPr>
          <w:rFonts w:ascii="仿宋_GB2312" w:hAnsi="仿宋_GB2312" w:eastAsia="仿宋_GB2312"/>
          <w:b w:val="0"/>
          <w:sz w:val="32"/>
        </w:rPr>
        <w:t>万元；预算绩效评价项目1个，全年预算数12.64万元，全年执行数12.64万元。预算绩效管理取得的成效：一是确保资金的高效使用，切实发挥财政资金使用效果。二是严格按照工作职责和相关文件依据，确保专款专用。三是严格控制资金的流出方向，确保资金的合规性。发现的问题及原因：绩效管理专业人员匮乏，规范管理有盲点。预算绩效管理工作的覆盖面广、专业性强，预算单位在开展日常管理，需要具备一定专业素养和实战经验的人。下一步改进措施：一是在以后年度，</w:t>
      </w:r>
      <w:r>
        <w:rPr>
          <w:rFonts w:hint="eastAsia" w:ascii="仿宋_GB2312" w:hAnsi="仿宋_GB2312" w:eastAsia="仿宋_GB2312"/>
          <w:b w:val="0"/>
          <w:sz w:val="32"/>
          <w:lang w:eastAsia="zh-CN"/>
        </w:rPr>
        <w:t>本单位</w:t>
      </w:r>
      <w:r>
        <w:rPr>
          <w:rFonts w:ascii="仿宋_GB2312" w:hAnsi="仿宋_GB2312" w:eastAsia="仿宋_GB2312"/>
          <w:b w:val="0"/>
          <w:sz w:val="32"/>
        </w:rPr>
        <w:t>会充分考虑、预测实际情况来进行预算的填报，提高预算数据的准确度；二是加强对以前年度资金使用情况的分析和总结，加强预算编制科学化、精细化管理，增强预算编制的严肃性和权威性。具体附项目支出绩效自评表和评价报告。</w:t>
      </w:r>
    </w:p>
    <w:p w14:paraId="146A4ADC">
      <w:r>
        <w:br w:type="page"/>
      </w:r>
    </w:p>
    <w:tbl>
      <w:tblPr>
        <w:tblStyle w:val="9"/>
        <w:tblW w:w="0" w:type="auto"/>
        <w:tblInd w:w="0" w:type="dxa"/>
        <w:tblLayout w:type="autofit"/>
        <w:tblCellMar>
          <w:top w:w="0" w:type="dxa"/>
          <w:left w:w="108" w:type="dxa"/>
          <w:bottom w:w="0" w:type="dxa"/>
          <w:right w:w="108" w:type="dxa"/>
        </w:tblCellMar>
      </w:tblPr>
      <w:tblGrid>
        <w:gridCol w:w="619"/>
        <w:gridCol w:w="598"/>
        <w:gridCol w:w="598"/>
        <w:gridCol w:w="619"/>
        <w:gridCol w:w="936"/>
        <w:gridCol w:w="598"/>
        <w:gridCol w:w="598"/>
        <w:gridCol w:w="609"/>
        <w:gridCol w:w="598"/>
        <w:gridCol w:w="598"/>
        <w:gridCol w:w="856"/>
        <w:gridCol w:w="633"/>
        <w:gridCol w:w="569"/>
        <w:gridCol w:w="631"/>
      </w:tblGrid>
      <w:tr w14:paraId="0373C14B">
        <w:tblPrEx>
          <w:tblCellMar>
            <w:top w:w="0" w:type="dxa"/>
            <w:left w:w="108" w:type="dxa"/>
            <w:bottom w:w="0" w:type="dxa"/>
            <w:right w:w="108" w:type="dxa"/>
          </w:tblCellMar>
        </w:tblPrEx>
        <w:tc>
          <w:tcPr>
            <w:tcW w:w="8848" w:type="dxa"/>
            <w:gridSpan w:val="14"/>
            <w:vAlign w:val="center"/>
          </w:tcPr>
          <w:p w14:paraId="7A4868CE">
            <w:pPr>
              <w:jc w:val="center"/>
            </w:pPr>
            <w:r>
              <w:rPr>
                <w:rFonts w:ascii="宋体" w:hAnsi="宋体" w:eastAsia="宋体"/>
                <w:sz w:val="24"/>
              </w:rPr>
              <w:t>项目支出绩效自评表</w:t>
            </w:r>
          </w:p>
        </w:tc>
      </w:tr>
      <w:tr w14:paraId="62002AB6">
        <w:tblPrEx>
          <w:tblCellMar>
            <w:top w:w="0" w:type="dxa"/>
            <w:left w:w="108" w:type="dxa"/>
            <w:bottom w:w="0" w:type="dxa"/>
            <w:right w:w="108" w:type="dxa"/>
          </w:tblCellMar>
        </w:tblPrEx>
        <w:tc>
          <w:tcPr>
            <w:tcW w:w="8848" w:type="dxa"/>
            <w:gridSpan w:val="14"/>
            <w:vAlign w:val="center"/>
          </w:tcPr>
          <w:p w14:paraId="4C3C2980">
            <w:pPr>
              <w:jc w:val="center"/>
            </w:pPr>
            <w:r>
              <w:rPr>
                <w:rFonts w:ascii="宋体" w:hAnsi="宋体" w:eastAsia="宋体"/>
                <w:sz w:val="24"/>
              </w:rPr>
              <w:t>(2024年度)</w:t>
            </w:r>
          </w:p>
        </w:tc>
      </w:tr>
      <w:tr w14:paraId="6E53C72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E632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2B15B4">
            <w:pPr>
              <w:jc w:val="center"/>
            </w:pPr>
            <w:r>
              <w:rPr>
                <w:rFonts w:ascii="宋体" w:hAnsi="宋体" w:eastAsia="宋体"/>
                <w:sz w:val="16"/>
              </w:rPr>
              <w:t>英吉沙县委网信办搬迁改造项目</w:t>
            </w:r>
          </w:p>
        </w:tc>
      </w:tr>
      <w:tr w14:paraId="5CD3D5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EDDA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0D0531">
            <w:pPr>
              <w:jc w:val="center"/>
            </w:pPr>
            <w:r>
              <w:rPr>
                <w:rFonts w:ascii="宋体" w:hAnsi="宋体" w:eastAsia="宋体"/>
                <w:sz w:val="16"/>
              </w:rPr>
              <w:t>英吉沙县委网络安全和信息化委员会办公室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20AD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C27F15">
            <w:pPr>
              <w:jc w:val="center"/>
            </w:pPr>
            <w:r>
              <w:rPr>
                <w:rFonts w:ascii="宋体" w:hAnsi="宋体" w:eastAsia="宋体"/>
                <w:sz w:val="16"/>
              </w:rPr>
              <w:t>中共英吉沙县委网络安全和信息化委员会办公室</w:t>
            </w:r>
          </w:p>
        </w:tc>
      </w:tr>
      <w:tr w14:paraId="7A4423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63C67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2A67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217F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293F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3382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DAB8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D9F3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6CF69">
            <w:pPr>
              <w:jc w:val="center"/>
            </w:pPr>
            <w:r>
              <w:rPr>
                <w:rFonts w:ascii="宋体" w:hAnsi="宋体" w:eastAsia="宋体"/>
                <w:sz w:val="16"/>
              </w:rPr>
              <w:t>得分</w:t>
            </w:r>
          </w:p>
        </w:tc>
      </w:tr>
      <w:tr w14:paraId="3E924F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96F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239E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E1059">
            <w:pPr>
              <w:jc w:val="center"/>
            </w:pPr>
            <w:r>
              <w:rPr>
                <w:rFonts w:ascii="宋体" w:hAnsi="宋体" w:eastAsia="宋体"/>
                <w:sz w:val="16"/>
              </w:rPr>
              <w:t>12.64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83B80">
            <w:pPr>
              <w:jc w:val="center"/>
            </w:pPr>
            <w:r>
              <w:rPr>
                <w:rFonts w:ascii="宋体" w:hAnsi="宋体" w:eastAsia="宋体"/>
                <w:sz w:val="16"/>
              </w:rPr>
              <w:t>12.64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B19C3">
            <w:pPr>
              <w:jc w:val="center"/>
            </w:pPr>
            <w:r>
              <w:rPr>
                <w:rFonts w:ascii="宋体" w:hAnsi="宋体" w:eastAsia="宋体"/>
                <w:sz w:val="16"/>
              </w:rPr>
              <w:t>12.64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AB4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7728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44E6B">
            <w:pPr>
              <w:jc w:val="center"/>
            </w:pPr>
            <w:r>
              <w:rPr>
                <w:rFonts w:ascii="宋体" w:hAnsi="宋体" w:eastAsia="宋体"/>
                <w:sz w:val="16"/>
              </w:rPr>
              <w:t>10.00分</w:t>
            </w:r>
          </w:p>
        </w:tc>
      </w:tr>
      <w:tr w14:paraId="04F8D3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A32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B2ED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E1C2F">
            <w:pPr>
              <w:jc w:val="center"/>
            </w:pPr>
            <w:r>
              <w:rPr>
                <w:rFonts w:ascii="宋体" w:hAnsi="宋体" w:eastAsia="宋体"/>
                <w:sz w:val="16"/>
              </w:rPr>
              <w:t>12.64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B3C35">
            <w:pPr>
              <w:jc w:val="center"/>
            </w:pPr>
            <w:r>
              <w:rPr>
                <w:rFonts w:ascii="宋体" w:hAnsi="宋体" w:eastAsia="宋体"/>
                <w:sz w:val="16"/>
              </w:rPr>
              <w:t>12.64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DA9F8">
            <w:pPr>
              <w:jc w:val="center"/>
            </w:pPr>
            <w:r>
              <w:rPr>
                <w:rFonts w:ascii="宋体" w:hAnsi="宋体" w:eastAsia="宋体"/>
                <w:sz w:val="16"/>
              </w:rPr>
              <w:t>12.64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899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AB6F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0CC68">
            <w:pPr>
              <w:jc w:val="center"/>
            </w:pPr>
            <w:r>
              <w:rPr>
                <w:rFonts w:ascii="宋体" w:hAnsi="宋体" w:eastAsia="宋体"/>
                <w:sz w:val="16"/>
              </w:rPr>
              <w:t>—</w:t>
            </w:r>
          </w:p>
        </w:tc>
      </w:tr>
      <w:tr w14:paraId="63E4A0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AB6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9DDA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C46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76C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A25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D1EFA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7759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C2610">
            <w:pPr>
              <w:jc w:val="center"/>
            </w:pPr>
            <w:r>
              <w:rPr>
                <w:rFonts w:ascii="宋体" w:hAnsi="宋体" w:eastAsia="宋体"/>
                <w:sz w:val="16"/>
              </w:rPr>
              <w:t>—</w:t>
            </w:r>
          </w:p>
        </w:tc>
      </w:tr>
      <w:tr w14:paraId="559626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FC56F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F8473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C37671A">
            <w:pPr>
              <w:jc w:val="center"/>
            </w:pPr>
            <w:r>
              <w:rPr>
                <w:rFonts w:ascii="宋体" w:hAnsi="宋体" w:eastAsia="宋体"/>
                <w:sz w:val="16"/>
              </w:rPr>
              <w:t>实际完成情况</w:t>
            </w:r>
          </w:p>
        </w:tc>
      </w:tr>
      <w:tr w14:paraId="6C619D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3202E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11773E">
            <w:pPr>
              <w:jc w:val="both"/>
            </w:pPr>
            <w:r>
              <w:rPr>
                <w:rFonts w:ascii="宋体" w:hAnsi="宋体" w:eastAsia="宋体"/>
                <w:sz w:val="16"/>
              </w:rPr>
              <w:t>该项目计划投入资金12.64万元，用于装修5间办公室、购买安装大屏及配套设备1套、购买28个办公设备、购买8个宣传物料。该项目的实施，有效提高单位工作人员的办公环境，保障单位的正常运转。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9D3995">
            <w:pPr>
              <w:jc w:val="both"/>
            </w:pPr>
            <w:r>
              <w:rPr>
                <w:rFonts w:ascii="宋体" w:hAnsi="宋体" w:eastAsia="宋体"/>
                <w:sz w:val="16"/>
              </w:rPr>
              <w:t>截至目前下达</w:t>
            </w:r>
            <w:r>
              <w:rPr>
                <w:rFonts w:hint="eastAsia" w:ascii="宋体" w:hAnsi="宋体"/>
                <w:sz w:val="16"/>
                <w:lang w:eastAsia="zh-CN"/>
              </w:rPr>
              <w:t>资金</w:t>
            </w:r>
            <w:r>
              <w:rPr>
                <w:rFonts w:ascii="宋体" w:hAnsi="宋体" w:eastAsia="宋体"/>
                <w:sz w:val="16"/>
              </w:rPr>
              <w:t>12.64万元，使用资金12.64万元，执行率100%。用于装修5间办公室、购买安装大屏及配套设备1套、购买28个办公设备、购买8个宣传物料。该项目的实施，有效提高单位工作人员的办公环境，保障单位的正常运转。</w:t>
            </w:r>
          </w:p>
        </w:tc>
      </w:tr>
      <w:tr w14:paraId="063B4E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39AA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74B9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0F52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3506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6072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BA62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732F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604F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93E2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0B39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3E5B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1BFA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F5033">
            <w:pPr>
              <w:jc w:val="center"/>
            </w:pPr>
            <w:r>
              <w:rPr>
                <w:rFonts w:ascii="宋体" w:hAnsi="宋体" w:eastAsia="宋体"/>
                <w:sz w:val="16"/>
              </w:rPr>
              <w:t>偏差原因分析及改进措施</w:t>
            </w:r>
          </w:p>
        </w:tc>
      </w:tr>
      <w:tr w14:paraId="72E741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69CEF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AD19C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0C321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24043">
            <w:pPr>
              <w:jc w:val="center"/>
            </w:pPr>
            <w:r>
              <w:rPr>
                <w:rFonts w:ascii="宋体" w:hAnsi="宋体" w:eastAsia="宋体"/>
                <w:sz w:val="16"/>
              </w:rPr>
              <w:t>办公室装修数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49840">
            <w:pPr>
              <w:jc w:val="center"/>
            </w:pPr>
            <w:r>
              <w:rPr>
                <w:rFonts w:ascii="宋体" w:hAnsi="宋体" w:eastAsia="宋体"/>
                <w:sz w:val="16"/>
              </w:rPr>
              <w:t>&gt;=5间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FD4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F87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1F84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9BB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8F7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BFD72">
            <w:pPr>
              <w:jc w:val="center"/>
            </w:pPr>
            <w:r>
              <w:rPr>
                <w:rFonts w:ascii="宋体" w:hAnsi="宋体" w:eastAsia="宋体"/>
                <w:sz w:val="16"/>
              </w:rPr>
              <w:t>=5间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D66C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DAE95">
            <w:pPr>
              <w:jc w:val="center"/>
            </w:pPr>
          </w:p>
        </w:tc>
      </w:tr>
      <w:tr w14:paraId="1A26AF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6BAF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A31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625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5D190">
            <w:pPr>
              <w:jc w:val="center"/>
            </w:pPr>
            <w:r>
              <w:rPr>
                <w:rFonts w:ascii="宋体" w:hAnsi="宋体" w:eastAsia="宋体"/>
                <w:sz w:val="16"/>
              </w:rPr>
              <w:t>购买安装大屏及配套设备数量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9B512">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684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A7A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EE5B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1EB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4BF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EEF5B">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B14E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AEDE6">
            <w:pPr>
              <w:jc w:val="center"/>
            </w:pPr>
          </w:p>
        </w:tc>
      </w:tr>
      <w:tr w14:paraId="3E9FF1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825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DFF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5B6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3C67E">
            <w:pPr>
              <w:jc w:val="center"/>
            </w:pPr>
            <w:r>
              <w:rPr>
                <w:rFonts w:ascii="宋体" w:hAnsi="宋体" w:eastAsia="宋体"/>
                <w:sz w:val="16"/>
              </w:rPr>
              <w:t>购买办公设备个数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ECC5D">
            <w:pPr>
              <w:jc w:val="center"/>
            </w:pPr>
            <w:r>
              <w:rPr>
                <w:rFonts w:ascii="宋体" w:hAnsi="宋体" w:eastAsia="宋体"/>
                <w:sz w:val="16"/>
              </w:rPr>
              <w:t>&gt;=28个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A48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061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D4B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88E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B62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F6523">
            <w:pPr>
              <w:jc w:val="center"/>
            </w:pPr>
            <w:r>
              <w:rPr>
                <w:rFonts w:ascii="宋体" w:hAnsi="宋体" w:eastAsia="宋体"/>
                <w:sz w:val="16"/>
              </w:rPr>
              <w:t>=28个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730D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07739">
            <w:pPr>
              <w:jc w:val="center"/>
            </w:pPr>
          </w:p>
        </w:tc>
      </w:tr>
      <w:tr w14:paraId="230DEF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249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4AD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3B1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8F490">
            <w:pPr>
              <w:jc w:val="center"/>
            </w:pPr>
            <w:r>
              <w:rPr>
                <w:rFonts w:ascii="宋体" w:hAnsi="宋体" w:eastAsia="宋体"/>
                <w:sz w:val="16"/>
              </w:rPr>
              <w:t>购买宣传物料个数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875B8">
            <w:pPr>
              <w:jc w:val="center"/>
            </w:pPr>
            <w:r>
              <w:rPr>
                <w:rFonts w:ascii="宋体" w:hAnsi="宋体" w:eastAsia="宋体"/>
                <w:sz w:val="16"/>
              </w:rPr>
              <w:t>&gt;=8个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32E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94F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D32A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A6B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7CD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0B268">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5643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80DD1">
            <w:pPr>
              <w:jc w:val="center"/>
            </w:pPr>
          </w:p>
        </w:tc>
      </w:tr>
      <w:tr w14:paraId="158D24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F2E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3EC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5D76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1C6B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087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20B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22E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6366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B801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58F7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9FE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1186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F0382">
            <w:pPr>
              <w:jc w:val="center"/>
            </w:pPr>
          </w:p>
        </w:tc>
      </w:tr>
      <w:tr w14:paraId="4ECF74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57C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72C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6C64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7C4E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C6950">
            <w:pPr>
              <w:jc w:val="center"/>
            </w:pPr>
            <w:r>
              <w:rPr>
                <w:rFonts w:ascii="宋体" w:hAnsi="宋体" w:eastAsia="宋体"/>
                <w:sz w:val="16"/>
              </w:rPr>
              <w:t>=2024年8月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878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E6B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44FC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7C00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C4E6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EBAAB">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3D84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91753">
            <w:pPr>
              <w:jc w:val="center"/>
            </w:pPr>
          </w:p>
        </w:tc>
      </w:tr>
      <w:tr w14:paraId="4C9EE4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46A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C899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2FDAF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D8E60">
            <w:pPr>
              <w:jc w:val="center"/>
            </w:pPr>
            <w:r>
              <w:rPr>
                <w:rFonts w:ascii="宋体" w:hAnsi="宋体" w:eastAsia="宋体"/>
                <w:sz w:val="16"/>
              </w:rPr>
              <w:t>办公室装修成本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1FFE4">
            <w:pPr>
              <w:jc w:val="center"/>
              <w:rPr>
                <w:rFonts w:hint="eastAsia" w:eastAsia="宋体"/>
                <w:lang w:eastAsia="zh-CN"/>
              </w:rPr>
            </w:pPr>
            <w:r>
              <w:rPr>
                <w:rFonts w:ascii="宋体" w:hAnsi="宋体" w:eastAsia="宋体"/>
                <w:sz w:val="16"/>
              </w:rPr>
              <w:t>&lt;=7620元</w:t>
            </w:r>
            <w:r>
              <w:rPr>
                <w:rFonts w:hint="eastAsia" w:ascii="宋体" w:hAnsi="宋体"/>
                <w:sz w:val="16"/>
                <w:lang w:val="en-US" w:eastAsia="zh-CN"/>
              </w:rPr>
              <w:t>/</w:t>
            </w:r>
            <w:r>
              <w:rPr>
                <w:rFonts w:ascii="宋体" w:hAnsi="宋体" w:eastAsia="宋体"/>
                <w:sz w:val="16"/>
              </w:rPr>
              <w:t>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1C39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06D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5108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92F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4E6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E43CD">
            <w:pPr>
              <w:jc w:val="center"/>
            </w:pPr>
            <w:r>
              <w:rPr>
                <w:rFonts w:ascii="宋体" w:hAnsi="宋体" w:eastAsia="宋体"/>
                <w:sz w:val="16"/>
              </w:rPr>
              <w:t>=7620元</w:t>
            </w:r>
            <w:r>
              <w:rPr>
                <w:rFonts w:hint="eastAsia" w:ascii="宋体" w:hAnsi="宋体"/>
                <w:sz w:val="16"/>
                <w:lang w:val="en-US" w:eastAsia="zh-CN"/>
              </w:rPr>
              <w:t>/</w:t>
            </w:r>
            <w:r>
              <w:rPr>
                <w:rFonts w:ascii="宋体" w:hAnsi="宋体" w:eastAsia="宋体"/>
                <w:sz w:val="16"/>
              </w:rPr>
              <w:t>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0FB2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561A0">
            <w:pPr>
              <w:jc w:val="center"/>
            </w:pPr>
          </w:p>
        </w:tc>
      </w:tr>
      <w:tr w14:paraId="73EED8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D02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D97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D8A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57077">
            <w:pPr>
              <w:jc w:val="center"/>
            </w:pPr>
            <w:r>
              <w:rPr>
                <w:rFonts w:ascii="宋体" w:hAnsi="宋体" w:eastAsia="宋体"/>
                <w:sz w:val="16"/>
              </w:rPr>
              <w:t>购买安装大屏及配套设备成本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E4164">
            <w:pPr>
              <w:jc w:val="center"/>
            </w:pPr>
            <w:r>
              <w:rPr>
                <w:rFonts w:ascii="宋体" w:hAnsi="宋体" w:eastAsia="宋体"/>
                <w:sz w:val="16"/>
              </w:rPr>
              <w:t>&lt;=54300元/套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809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8A7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3290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76E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D41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5CF49">
            <w:pPr>
              <w:jc w:val="center"/>
            </w:pPr>
            <w:r>
              <w:rPr>
                <w:rFonts w:ascii="宋体" w:hAnsi="宋体" w:eastAsia="宋体"/>
                <w:sz w:val="16"/>
              </w:rPr>
              <w:t>=54300元/套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B54C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D880C">
            <w:pPr>
              <w:jc w:val="center"/>
            </w:pPr>
          </w:p>
        </w:tc>
      </w:tr>
      <w:tr w14:paraId="422F11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89E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0C8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ED6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A3B8D">
            <w:pPr>
              <w:jc w:val="center"/>
            </w:pPr>
            <w:r>
              <w:rPr>
                <w:rFonts w:ascii="宋体" w:hAnsi="宋体" w:eastAsia="宋体"/>
                <w:sz w:val="16"/>
              </w:rPr>
              <w:t>购买办公设备成本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BE34A">
            <w:pPr>
              <w:jc w:val="center"/>
            </w:pPr>
            <w:r>
              <w:rPr>
                <w:rFonts w:ascii="宋体" w:hAnsi="宋体" w:eastAsia="宋体"/>
                <w:sz w:val="16"/>
              </w:rPr>
              <w:t>&lt;=1083.57元/个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395F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BF2E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CD3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DC6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F06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C4AF7">
            <w:pPr>
              <w:jc w:val="center"/>
            </w:pPr>
            <w:r>
              <w:rPr>
                <w:rFonts w:ascii="宋体" w:hAnsi="宋体" w:eastAsia="宋体"/>
                <w:sz w:val="16"/>
              </w:rPr>
              <w:t>=1083.57元/个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4D6F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95DB9">
            <w:pPr>
              <w:jc w:val="center"/>
            </w:pPr>
          </w:p>
        </w:tc>
      </w:tr>
      <w:tr w14:paraId="0A9696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8E7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AAF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286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F3A58">
            <w:pPr>
              <w:jc w:val="center"/>
            </w:pPr>
            <w:r>
              <w:rPr>
                <w:rFonts w:ascii="宋体" w:hAnsi="宋体" w:eastAsia="宋体"/>
                <w:sz w:val="16"/>
              </w:rPr>
              <w:t>购买宣传物料成本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8B5B0">
            <w:pPr>
              <w:jc w:val="center"/>
            </w:pPr>
            <w:r>
              <w:rPr>
                <w:rFonts w:ascii="宋体" w:hAnsi="宋体" w:eastAsia="宋体"/>
                <w:sz w:val="16"/>
              </w:rPr>
              <w:t>&lt;=4573.57元/个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BCF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A03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6FC5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4F2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66F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4E2AD">
            <w:pPr>
              <w:jc w:val="center"/>
            </w:pPr>
            <w:r>
              <w:rPr>
                <w:rFonts w:ascii="宋体" w:hAnsi="宋体" w:eastAsia="宋体"/>
                <w:sz w:val="16"/>
              </w:rPr>
              <w:t>=4573.57元/个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88B9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D67F4">
            <w:pPr>
              <w:jc w:val="center"/>
            </w:pPr>
          </w:p>
        </w:tc>
      </w:tr>
      <w:tr w14:paraId="3C9204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FA2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A4B9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3070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D37FD">
            <w:pPr>
              <w:jc w:val="center"/>
            </w:pPr>
            <w:r>
              <w:rPr>
                <w:rFonts w:ascii="宋体" w:hAnsi="宋体" w:eastAsia="宋体"/>
                <w:sz w:val="16"/>
              </w:rPr>
              <w:t>提高单位工作人员的办公环境，保障单位的正常运转。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DF76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69F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44F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FFA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2EF3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CE3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4ACB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45C0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A27AC">
            <w:pPr>
              <w:jc w:val="center"/>
            </w:pPr>
          </w:p>
        </w:tc>
      </w:tr>
      <w:tr w14:paraId="5FA759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A61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954B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81B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0AF3F">
            <w:pPr>
              <w:jc w:val="center"/>
            </w:pPr>
            <w:r>
              <w:rPr>
                <w:rFonts w:ascii="宋体" w:hAnsi="宋体" w:eastAsia="宋体"/>
                <w:sz w:val="16"/>
              </w:rPr>
              <w:t>受益行政单位人员满意度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1C2C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74F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05E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E8B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5382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827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B9D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1AE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B3D91">
            <w:pPr>
              <w:jc w:val="center"/>
            </w:pPr>
            <w:r>
              <w:rPr>
                <w:rFonts w:ascii="宋体" w:hAnsi="宋体" w:eastAsia="宋体"/>
                <w:sz w:val="16"/>
              </w:rPr>
              <w:t>偏差原因：该项目实施效果较好，满意度较高。</w:t>
            </w:r>
          </w:p>
        </w:tc>
      </w:tr>
      <w:tr w14:paraId="5FF83BF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3FFC8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2EC5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DB32E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F185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7C293DB"/>
        </w:tc>
      </w:tr>
    </w:tbl>
    <w:p w14:paraId="237CEDDF">
      <w:r>
        <w:br w:type="page"/>
      </w:r>
    </w:p>
    <w:p w14:paraId="1E77CE65">
      <w:pPr>
        <w:spacing w:line="640" w:lineRule="exact"/>
        <w:ind w:firstLine="640"/>
        <w:jc w:val="both"/>
        <w:outlineLvl w:val="2"/>
      </w:pPr>
      <w:r>
        <w:rPr>
          <w:rFonts w:ascii="黑体" w:hAnsi="黑体" w:eastAsia="黑体"/>
          <w:sz w:val="32"/>
        </w:rPr>
        <w:t>十二、其他需说明的事项</w:t>
      </w:r>
    </w:p>
    <w:p w14:paraId="43920304">
      <w:pPr>
        <w:spacing w:line="580" w:lineRule="exact"/>
        <w:ind w:firstLine="640"/>
        <w:jc w:val="both"/>
      </w:pPr>
      <w:r>
        <w:rPr>
          <w:rFonts w:ascii="仿宋_GB2312" w:hAnsi="仿宋_GB2312" w:eastAsia="仿宋_GB2312"/>
          <w:b w:val="0"/>
          <w:sz w:val="32"/>
        </w:rPr>
        <w:t>本年度本单位整体绩效自评表不予公开。</w:t>
      </w:r>
    </w:p>
    <w:p w14:paraId="6FBE0D5B">
      <w:r>
        <w:br w:type="page"/>
      </w:r>
    </w:p>
    <w:p w14:paraId="7AC25A6E">
      <w:pPr>
        <w:spacing w:line="240" w:lineRule="auto"/>
        <w:jc w:val="center"/>
        <w:outlineLvl w:val="1"/>
      </w:pPr>
      <w:r>
        <w:rPr>
          <w:rFonts w:ascii="黑体" w:hAnsi="黑体" w:eastAsia="黑体"/>
          <w:sz w:val="32"/>
        </w:rPr>
        <w:t>第三部分 专业名词解释</w:t>
      </w:r>
    </w:p>
    <w:p w14:paraId="7B8692C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233C96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9CD314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2C2C734">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F5D24A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5A7E6C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1B1830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F3FD58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028EAF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C0D43B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F426C6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1C226D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0E32F9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523853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F403BED">
      <w:r>
        <w:br w:type="page"/>
      </w:r>
    </w:p>
    <w:p w14:paraId="36D43244">
      <w:pPr>
        <w:spacing w:line="240" w:lineRule="auto"/>
        <w:jc w:val="center"/>
        <w:outlineLvl w:val="1"/>
      </w:pPr>
      <w:r>
        <w:rPr>
          <w:rFonts w:ascii="黑体" w:hAnsi="黑体" w:eastAsia="黑体"/>
          <w:sz w:val="32"/>
        </w:rPr>
        <w:t>第四部分 部门决算报表（见附表）</w:t>
      </w:r>
    </w:p>
    <w:p w14:paraId="6EBBBFC1">
      <w:pPr>
        <w:spacing w:line="240" w:lineRule="auto"/>
        <w:ind w:firstLine="640"/>
        <w:jc w:val="both"/>
      </w:pPr>
      <w:r>
        <w:rPr>
          <w:rFonts w:ascii="仿宋_GB2312" w:hAnsi="仿宋_GB2312" w:eastAsia="仿宋_GB2312"/>
          <w:b w:val="0"/>
          <w:sz w:val="32"/>
        </w:rPr>
        <w:t>一、《收入支出决算总表》</w:t>
      </w:r>
    </w:p>
    <w:p w14:paraId="43394FEC">
      <w:pPr>
        <w:spacing w:line="240" w:lineRule="auto"/>
        <w:ind w:firstLine="640"/>
        <w:jc w:val="both"/>
      </w:pPr>
      <w:r>
        <w:rPr>
          <w:rFonts w:ascii="仿宋_GB2312" w:hAnsi="仿宋_GB2312" w:eastAsia="仿宋_GB2312"/>
          <w:b w:val="0"/>
          <w:sz w:val="32"/>
        </w:rPr>
        <w:t>二、《收入决算表》</w:t>
      </w:r>
    </w:p>
    <w:p w14:paraId="6CC42F08">
      <w:pPr>
        <w:spacing w:line="240" w:lineRule="auto"/>
        <w:ind w:firstLine="640"/>
        <w:jc w:val="both"/>
      </w:pPr>
      <w:r>
        <w:rPr>
          <w:rFonts w:ascii="仿宋_GB2312" w:hAnsi="仿宋_GB2312" w:eastAsia="仿宋_GB2312"/>
          <w:b w:val="0"/>
          <w:sz w:val="32"/>
        </w:rPr>
        <w:t>三、《支出决算表》</w:t>
      </w:r>
    </w:p>
    <w:p w14:paraId="47968658">
      <w:pPr>
        <w:spacing w:line="240" w:lineRule="auto"/>
        <w:ind w:firstLine="640"/>
        <w:jc w:val="both"/>
      </w:pPr>
      <w:r>
        <w:rPr>
          <w:rFonts w:ascii="仿宋_GB2312" w:hAnsi="仿宋_GB2312" w:eastAsia="仿宋_GB2312"/>
          <w:b w:val="0"/>
          <w:sz w:val="32"/>
        </w:rPr>
        <w:t>四、《财政拨款收入支出决算总表》</w:t>
      </w:r>
    </w:p>
    <w:p w14:paraId="4B86799B">
      <w:pPr>
        <w:spacing w:line="240" w:lineRule="auto"/>
        <w:ind w:firstLine="640"/>
        <w:jc w:val="both"/>
      </w:pPr>
      <w:r>
        <w:rPr>
          <w:rFonts w:ascii="仿宋_GB2312" w:hAnsi="仿宋_GB2312" w:eastAsia="仿宋_GB2312"/>
          <w:b w:val="0"/>
          <w:sz w:val="32"/>
        </w:rPr>
        <w:t>五、《一般公共预算财政拨款支出决算表》</w:t>
      </w:r>
    </w:p>
    <w:p w14:paraId="55ED69CE">
      <w:pPr>
        <w:spacing w:line="240" w:lineRule="auto"/>
        <w:ind w:firstLine="640"/>
        <w:jc w:val="both"/>
      </w:pPr>
      <w:r>
        <w:rPr>
          <w:rFonts w:ascii="仿宋_GB2312" w:hAnsi="仿宋_GB2312" w:eastAsia="仿宋_GB2312"/>
          <w:b w:val="0"/>
          <w:sz w:val="32"/>
        </w:rPr>
        <w:t>六、《一般公共预算财政拨款基本支出决算表》</w:t>
      </w:r>
    </w:p>
    <w:p w14:paraId="12631821">
      <w:pPr>
        <w:spacing w:line="240" w:lineRule="auto"/>
        <w:ind w:firstLine="640"/>
        <w:jc w:val="both"/>
      </w:pPr>
      <w:r>
        <w:rPr>
          <w:rFonts w:ascii="仿宋_GB2312" w:hAnsi="仿宋_GB2312" w:eastAsia="仿宋_GB2312"/>
          <w:b w:val="0"/>
          <w:sz w:val="32"/>
        </w:rPr>
        <w:t>七、《政府性基金预算财政拨款收入支出决算表》</w:t>
      </w:r>
    </w:p>
    <w:p w14:paraId="0799EC4D">
      <w:pPr>
        <w:spacing w:line="240" w:lineRule="auto"/>
        <w:ind w:firstLine="640"/>
        <w:jc w:val="both"/>
      </w:pPr>
      <w:r>
        <w:rPr>
          <w:rFonts w:ascii="仿宋_GB2312" w:hAnsi="仿宋_GB2312" w:eastAsia="仿宋_GB2312"/>
          <w:b w:val="0"/>
          <w:sz w:val="32"/>
        </w:rPr>
        <w:t>八、《国有资本经营预算财政拨款收入支出决算表》</w:t>
      </w:r>
    </w:p>
    <w:p w14:paraId="7FB5B98B">
      <w:pPr>
        <w:spacing w:line="240" w:lineRule="auto"/>
        <w:ind w:firstLine="640"/>
        <w:jc w:val="both"/>
      </w:pPr>
      <w:r>
        <w:rPr>
          <w:rFonts w:ascii="仿宋_GB2312" w:hAnsi="仿宋_GB2312" w:eastAsia="仿宋_GB2312"/>
          <w:b w:val="0"/>
          <w:sz w:val="32"/>
        </w:rPr>
        <w:t>九、《财政拨款“三公”经费支出决算表》</w:t>
      </w:r>
    </w:p>
    <w:p w14:paraId="03743A3F">
      <w:pPr>
        <w:spacing w:line="240" w:lineRule="auto"/>
        <w:ind w:firstLine="640"/>
        <w:jc w:val="both"/>
      </w:pPr>
    </w:p>
    <w:p w14:paraId="468AD4B4">
      <w:pPr>
        <w:spacing w:line="240" w:lineRule="auto"/>
        <w:ind w:firstLine="640"/>
        <w:jc w:val="both"/>
      </w:pPr>
    </w:p>
    <w:p w14:paraId="22C95AFF">
      <w:pPr>
        <w:spacing w:line="240" w:lineRule="auto"/>
        <w:ind w:firstLine="640"/>
        <w:jc w:val="both"/>
      </w:pPr>
    </w:p>
    <w:p w14:paraId="70174B23">
      <w:pPr>
        <w:spacing w:line="240" w:lineRule="auto"/>
        <w:ind w:firstLine="640"/>
        <w:jc w:val="both"/>
      </w:pPr>
    </w:p>
    <w:p w14:paraId="32613B3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WPSEMBED4">
    <w:panose1 w:val="02000000000000000000"/>
    <w:charset w:val="86"/>
    <w:family w:val="auto"/>
    <w:pitch w:val="default"/>
    <w:sig w:usb0="A00002BF" w:usb1="38CF7CFA" w:usb2="00082016" w:usb3="00000000" w:csb0="00040001" w:csb1="00000000"/>
  </w:font>
  <w:font w:name="WPSEMBED5">
    <w:panose1 w:val="02010609030101010101"/>
    <w:charset w:val="86"/>
    <w:family w:val="auto"/>
    <w:pitch w:val="default"/>
    <w:sig w:usb0="00000001" w:usb1="080E0000" w:usb2="00000000" w:usb3="00000000" w:csb0="00040000" w:csb1="00000000"/>
  </w:font>
  <w:font w:name="WPSEMBED6">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6F128E"/>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D760BDA"/>
    <w:rsid w:val="3EA7725F"/>
    <w:rsid w:val="3EC014A1"/>
    <w:rsid w:val="40834692"/>
    <w:rsid w:val="423A32B2"/>
    <w:rsid w:val="423C0CB4"/>
    <w:rsid w:val="427B5743"/>
    <w:rsid w:val="42E64542"/>
    <w:rsid w:val="441C682E"/>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090F8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4829</Words>
  <Characters>5592</Characters>
  <Lines>0</Lines>
  <Paragraphs>0</Paragraphs>
  <TotalTime>0</TotalTime>
  <ScaleCrop>false</ScaleCrop>
  <LinksUpToDate>false</LinksUpToDate>
  <CharactersWithSpaces>5603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2025-12-26T03:45:28Z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eyJoZGlkIjoiNTU2MjViZmJjYjVhNzQ5YTFkM2E1YjkwZTE1NzBlMDgiLCJ1c2VySWQiOiIyMDM3MTI1NTkifQ==</vt:lpwstr>
  </property>
</Properties>
</file>