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中共英吉沙县纪律检查委员会2024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9AD4970">
      <w:r>
        <w:br w:type="page"/>
      </w:r>
    </w:p>
    <w:p w14:paraId="05D489DA">
      <w:pPr>
        <w:spacing w:line="640" w:lineRule="exact"/>
        <w:jc w:val="center"/>
        <w:outlineLvl w:val="1"/>
      </w:pPr>
      <w:r>
        <w:rPr>
          <w:rFonts w:ascii="黑体" w:hAnsi="黑体" w:eastAsia="黑体"/>
          <w:sz w:val="32"/>
        </w:rPr>
        <w:t>第一部分 单位概况</w:t>
      </w:r>
    </w:p>
    <w:p w14:paraId="5710C4F6">
      <w:pPr>
        <w:spacing w:line="640" w:lineRule="exact"/>
        <w:ind w:firstLine="640"/>
        <w:jc w:val="both"/>
        <w:outlineLvl w:val="2"/>
      </w:pPr>
      <w:r>
        <w:rPr>
          <w:rFonts w:ascii="黑体" w:hAnsi="黑体" w:eastAsia="黑体"/>
          <w:sz w:val="32"/>
        </w:rPr>
        <w:t>一、主要职能</w:t>
      </w:r>
    </w:p>
    <w:p w14:paraId="0625DE17">
      <w:pPr>
        <w:spacing w:line="580" w:lineRule="exact"/>
        <w:ind w:firstLine="640"/>
        <w:jc w:val="both"/>
      </w:pPr>
      <w:r>
        <w:rPr>
          <w:rFonts w:ascii="仿宋_GB2312" w:hAnsi="仿宋_GB2312" w:eastAsia="仿宋_GB2312"/>
          <w:sz w:val="32"/>
        </w:rPr>
        <w:t>1.负责处理党的纪律检查工作。</w:t>
      </w:r>
    </w:p>
    <w:p w14:paraId="3A6CD1D4">
      <w:pPr>
        <w:spacing w:line="580" w:lineRule="exact"/>
        <w:ind w:firstLine="640"/>
        <w:jc w:val="both"/>
      </w:pPr>
      <w:r>
        <w:rPr>
          <w:rFonts w:ascii="仿宋_GB2312" w:hAnsi="仿宋_GB2312" w:eastAsia="仿宋_GB2312"/>
          <w:sz w:val="32"/>
        </w:rPr>
        <w:t>2.依照党章和其他党内法规履行监督、执纪、问责职责。</w:t>
      </w:r>
    </w:p>
    <w:p w14:paraId="77027994">
      <w:pPr>
        <w:spacing w:line="580" w:lineRule="exact"/>
        <w:ind w:firstLine="640"/>
        <w:jc w:val="both"/>
      </w:pPr>
      <w:r>
        <w:rPr>
          <w:rFonts w:ascii="仿宋_GB2312" w:hAnsi="仿宋_GB2312" w:eastAsia="仿宋_GB2312"/>
          <w:sz w:val="32"/>
        </w:rPr>
        <w:t>3.负责全县监察工作。</w:t>
      </w:r>
    </w:p>
    <w:p w14:paraId="057A8068">
      <w:pPr>
        <w:spacing w:line="580" w:lineRule="exact"/>
        <w:ind w:firstLine="640"/>
        <w:jc w:val="both"/>
      </w:pPr>
      <w:r>
        <w:rPr>
          <w:rFonts w:ascii="仿宋_GB2312" w:hAnsi="仿宋_GB2312" w:eastAsia="仿宋_GB2312"/>
          <w:sz w:val="32"/>
        </w:rPr>
        <w:t>4.依照法律规定履行监督、调查、处置职责。</w:t>
      </w:r>
    </w:p>
    <w:p w14:paraId="06F07209">
      <w:pPr>
        <w:spacing w:line="580" w:lineRule="exact"/>
        <w:ind w:firstLine="640"/>
        <w:jc w:val="both"/>
      </w:pPr>
      <w:r>
        <w:rPr>
          <w:rFonts w:ascii="仿宋_GB2312" w:hAnsi="仿宋_GB2312" w:eastAsia="仿宋_GB2312"/>
          <w:sz w:val="32"/>
        </w:rPr>
        <w:t>5.负责组织协调县全面从严治党、党风廉政建设和反腐败宣传教育工作。</w:t>
      </w:r>
    </w:p>
    <w:p w14:paraId="78F15FDF">
      <w:pPr>
        <w:spacing w:line="580" w:lineRule="exact"/>
        <w:ind w:firstLine="640"/>
        <w:jc w:val="both"/>
      </w:pPr>
      <w:r>
        <w:rPr>
          <w:rFonts w:ascii="仿宋_GB2312" w:hAnsi="仿宋_GB2312" w:eastAsia="仿宋_GB2312"/>
          <w:sz w:val="32"/>
        </w:rPr>
        <w:t>6.负责综合分析县全面从严治党、党风廉政建设和反腐败工作情况，对纪检监察工作重要理论及实践问题进行调查研究。</w:t>
      </w:r>
    </w:p>
    <w:p w14:paraId="4EB489A4">
      <w:pPr>
        <w:spacing w:line="580" w:lineRule="exact"/>
        <w:ind w:firstLine="640"/>
        <w:jc w:val="both"/>
      </w:pPr>
      <w:r>
        <w:rPr>
          <w:rFonts w:ascii="仿宋_GB2312" w:hAnsi="仿宋_GB2312" w:eastAsia="仿宋_GB2312"/>
          <w:sz w:val="32"/>
        </w:rPr>
        <w:t>7.提出全县纪检监察法规制度建设规划、计划和立法立规建议。</w:t>
      </w:r>
    </w:p>
    <w:p w14:paraId="38773049">
      <w:pPr>
        <w:spacing w:line="580" w:lineRule="exact"/>
        <w:ind w:firstLine="640"/>
        <w:jc w:val="both"/>
      </w:pPr>
      <w:r>
        <w:rPr>
          <w:rFonts w:ascii="仿宋_GB2312" w:hAnsi="仿宋_GB2312" w:eastAsia="仿宋_GB2312"/>
          <w:sz w:val="32"/>
        </w:rPr>
        <w:t>8.完成地区纪委监委和</w:t>
      </w:r>
      <w:r>
        <w:rPr>
          <w:rFonts w:hint="eastAsia" w:ascii="仿宋_GB2312" w:hAnsi="仿宋_GB2312" w:eastAsia="仿宋_GB2312"/>
          <w:sz w:val="32"/>
          <w:lang w:eastAsia="zh-CN"/>
        </w:rPr>
        <w:t>县委、县政府</w:t>
      </w:r>
      <w:r>
        <w:rPr>
          <w:rFonts w:ascii="仿宋_GB2312" w:hAnsi="仿宋_GB2312" w:eastAsia="仿宋_GB2312"/>
          <w:sz w:val="32"/>
        </w:rPr>
        <w:t>交办的其他工作。</w:t>
      </w:r>
    </w:p>
    <w:p w14:paraId="2C13628C">
      <w:pPr>
        <w:spacing w:line="640" w:lineRule="exact"/>
        <w:ind w:firstLine="640"/>
        <w:jc w:val="both"/>
        <w:outlineLvl w:val="2"/>
      </w:pPr>
      <w:r>
        <w:rPr>
          <w:rFonts w:ascii="黑体" w:hAnsi="黑体" w:eastAsia="黑体"/>
          <w:sz w:val="32"/>
        </w:rPr>
        <w:t>二、机构设置及人员情况</w:t>
      </w:r>
    </w:p>
    <w:p w14:paraId="00CA8093">
      <w:pPr>
        <w:spacing w:line="580" w:lineRule="exact"/>
        <w:ind w:firstLine="640"/>
        <w:jc w:val="both"/>
      </w:pPr>
      <w:r>
        <w:rPr>
          <w:rFonts w:ascii="仿宋_GB2312" w:hAnsi="仿宋_GB2312" w:eastAsia="仿宋_GB2312"/>
          <w:sz w:val="32"/>
        </w:rPr>
        <w:t>中共英吉沙县纪律检查委员会2024年度，实有人数129人，其中：在职人员109人，增加6人；离休人员0人，增加0人；退休人员20人,增加5人。</w:t>
      </w:r>
    </w:p>
    <w:p w14:paraId="3B43C527">
      <w:pPr>
        <w:spacing w:line="580" w:lineRule="exact"/>
        <w:ind w:firstLine="640"/>
        <w:jc w:val="both"/>
      </w:pPr>
      <w:r>
        <w:rPr>
          <w:rFonts w:ascii="仿宋_GB2312" w:hAnsi="仿宋_GB2312" w:eastAsia="仿宋_GB2312"/>
          <w:sz w:val="32"/>
        </w:rPr>
        <w:t>中共英吉沙县纪律检查委员会无下属预算单位，下设9个科室，分别是：县纪委监委、县委巡察办、监察委员会信息保障中心、第一纪检监察组（党群）、第二纪检监察组（行政综合）、第三纪检监察组（科教文卫）、第四纪检监察组（工交财贸）、</w:t>
      </w:r>
      <w:r>
        <w:rPr>
          <w:rFonts w:hint="eastAsia" w:ascii="仿宋_GB2312" w:hAnsi="仿宋_GB2312" w:eastAsia="仿宋_GB2312"/>
          <w:sz w:val="32"/>
          <w:lang w:eastAsia="zh-CN"/>
        </w:rPr>
        <w:t>第五纪检监察组</w:t>
      </w:r>
      <w:r>
        <w:rPr>
          <w:rFonts w:ascii="仿宋_GB2312" w:hAnsi="仿宋_GB2312" w:eastAsia="仿宋_GB2312"/>
          <w:sz w:val="32"/>
        </w:rPr>
        <w:t>（农林水牧）、第六纪检监察组（公检法司）。</w:t>
      </w:r>
    </w:p>
    <w:p w14:paraId="38DE5ABF">
      <w:r>
        <w:br w:type="page"/>
      </w:r>
    </w:p>
    <w:p w14:paraId="5A234D6C">
      <w:pPr>
        <w:spacing w:line="240" w:lineRule="auto"/>
        <w:jc w:val="center"/>
        <w:outlineLvl w:val="1"/>
      </w:pPr>
      <w:r>
        <w:rPr>
          <w:rFonts w:ascii="黑体" w:hAnsi="黑体" w:eastAsia="黑体"/>
          <w:sz w:val="32"/>
        </w:rPr>
        <w:t>第二部分 部门决算情况说明</w:t>
      </w:r>
    </w:p>
    <w:p w14:paraId="113F6C1E">
      <w:pPr>
        <w:spacing w:line="640" w:lineRule="exact"/>
        <w:ind w:firstLine="640"/>
        <w:jc w:val="both"/>
        <w:outlineLvl w:val="2"/>
      </w:pPr>
      <w:r>
        <w:rPr>
          <w:rFonts w:ascii="黑体" w:hAnsi="黑体" w:eastAsia="黑体"/>
          <w:sz w:val="32"/>
        </w:rPr>
        <w:t>一、收入支出决算总体情况说明</w:t>
      </w:r>
    </w:p>
    <w:p w14:paraId="5F841676">
      <w:pPr>
        <w:spacing w:line="580" w:lineRule="exact"/>
        <w:ind w:firstLine="640"/>
        <w:jc w:val="both"/>
      </w:pPr>
      <w:r>
        <w:rPr>
          <w:rFonts w:ascii="仿宋_GB2312" w:hAnsi="仿宋_GB2312" w:eastAsia="仿宋_GB2312"/>
          <w:b/>
          <w:sz w:val="32"/>
        </w:rPr>
        <w:t>2024年度收入总计2,657.75万元，</w:t>
      </w:r>
      <w:r>
        <w:rPr>
          <w:rFonts w:ascii="仿宋_GB2312" w:hAnsi="仿宋_GB2312" w:eastAsia="仿宋_GB2312"/>
          <w:b w:val="0"/>
          <w:sz w:val="32"/>
        </w:rPr>
        <w:t>其中：本年收入合计2,657.75万元，使用非财政拨款结余（含专用结余）0.00万元，年初结转和结余0.00万元。</w:t>
      </w:r>
    </w:p>
    <w:p w14:paraId="2573E6B5">
      <w:pPr>
        <w:spacing w:line="580" w:lineRule="exact"/>
        <w:ind w:firstLine="640"/>
        <w:jc w:val="both"/>
      </w:pPr>
      <w:r>
        <w:rPr>
          <w:rFonts w:ascii="仿宋_GB2312" w:hAnsi="仿宋_GB2312" w:eastAsia="仿宋_GB2312"/>
          <w:b/>
          <w:sz w:val="32"/>
        </w:rPr>
        <w:t>2024年度支出总计2,657.75万元，</w:t>
      </w:r>
      <w:r>
        <w:rPr>
          <w:rFonts w:ascii="仿宋_GB2312" w:hAnsi="仿宋_GB2312" w:eastAsia="仿宋_GB2312"/>
          <w:b w:val="0"/>
          <w:sz w:val="32"/>
        </w:rPr>
        <w:t>其中：本年支出合计2,657.75万元，结余分配0.00万元，年末结转和结余0.00万元。</w:t>
      </w:r>
    </w:p>
    <w:p w14:paraId="44C5324A">
      <w:pPr>
        <w:spacing w:line="580" w:lineRule="exact"/>
        <w:ind w:firstLine="640"/>
        <w:jc w:val="both"/>
      </w:pPr>
      <w:r>
        <w:rPr>
          <w:rFonts w:ascii="仿宋_GB2312" w:hAnsi="仿宋_GB2312" w:eastAsia="仿宋_GB2312"/>
          <w:b w:val="0"/>
          <w:sz w:val="32"/>
        </w:rPr>
        <w:t>收入支出总体与上年相比，增加603.98万元，增长29.41%，主要原因是：本年在职人员增加，在职人员工资调增、社保、公积金基数调增，人员经费增加；本年监察活动保障费、纪委监委工作经费项目资金较上年增加。</w:t>
      </w:r>
    </w:p>
    <w:p w14:paraId="2251F743">
      <w:pPr>
        <w:spacing w:line="640" w:lineRule="exact"/>
        <w:ind w:firstLine="640"/>
        <w:jc w:val="both"/>
        <w:outlineLvl w:val="2"/>
      </w:pPr>
      <w:r>
        <w:rPr>
          <w:rFonts w:ascii="黑体" w:hAnsi="黑体" w:eastAsia="黑体"/>
          <w:sz w:val="32"/>
        </w:rPr>
        <w:t>二、收入决算情况说明</w:t>
      </w:r>
    </w:p>
    <w:p w14:paraId="01807990">
      <w:pPr>
        <w:spacing w:line="580" w:lineRule="exact"/>
        <w:ind w:firstLine="640"/>
        <w:jc w:val="both"/>
      </w:pPr>
      <w:r>
        <w:rPr>
          <w:rFonts w:ascii="仿宋_GB2312" w:hAnsi="仿宋_GB2312" w:eastAsia="仿宋_GB2312"/>
          <w:b/>
          <w:sz w:val="32"/>
        </w:rPr>
        <w:t>本年收入2,657.75万元，</w:t>
      </w:r>
      <w:r>
        <w:rPr>
          <w:rFonts w:ascii="仿宋_GB2312" w:hAnsi="仿宋_GB2312" w:eastAsia="仿宋_GB2312"/>
          <w:b w:val="0"/>
          <w:sz w:val="32"/>
        </w:rPr>
        <w:t>其中：财政拨款收入2,368.63万元，占89.12%；上级补助收入0.00万元，占0.00%；事业收入0.00万元，占0.00%；经营收入0.00万元，占0.00%；附属单位上缴收入0.00万元，占0.00%；其他收入289.12万元，占10.88%。</w:t>
      </w:r>
    </w:p>
    <w:p w14:paraId="08CA4943">
      <w:pPr>
        <w:spacing w:line="640" w:lineRule="exact"/>
        <w:ind w:firstLine="640"/>
        <w:jc w:val="both"/>
        <w:outlineLvl w:val="2"/>
      </w:pPr>
      <w:r>
        <w:rPr>
          <w:rFonts w:ascii="黑体" w:hAnsi="黑体" w:eastAsia="黑体"/>
          <w:sz w:val="32"/>
        </w:rPr>
        <w:t>三、支出决算情况说明</w:t>
      </w:r>
    </w:p>
    <w:p w14:paraId="70FD1EB5">
      <w:pPr>
        <w:spacing w:line="580" w:lineRule="exact"/>
        <w:ind w:firstLine="640"/>
        <w:jc w:val="both"/>
      </w:pPr>
      <w:r>
        <w:rPr>
          <w:rFonts w:ascii="仿宋_GB2312" w:hAnsi="仿宋_GB2312" w:eastAsia="仿宋_GB2312"/>
          <w:b/>
          <w:sz w:val="32"/>
        </w:rPr>
        <w:t>本年支出2,657.75万元，</w:t>
      </w:r>
      <w:r>
        <w:rPr>
          <w:rFonts w:ascii="仿宋_GB2312" w:hAnsi="仿宋_GB2312" w:eastAsia="仿宋_GB2312"/>
          <w:b w:val="0"/>
          <w:sz w:val="32"/>
        </w:rPr>
        <w:t>其中：基本支出2,068.63万元，占77.83%；项目支出589.12万元，占22.17%；上缴上级支出0.00万元，占0.00%；经营支出0.00万元，占0.00%；对附属单位补助支出0.00万元，占0.00%。</w:t>
      </w:r>
    </w:p>
    <w:p w14:paraId="7C325E1E">
      <w:pPr>
        <w:spacing w:line="640" w:lineRule="exact"/>
        <w:ind w:firstLine="640"/>
        <w:jc w:val="both"/>
        <w:outlineLvl w:val="2"/>
      </w:pPr>
      <w:r>
        <w:rPr>
          <w:rFonts w:ascii="黑体" w:hAnsi="黑体" w:eastAsia="黑体"/>
          <w:sz w:val="32"/>
        </w:rPr>
        <w:t>四、财政拨款收入支出决算总体情况说明</w:t>
      </w:r>
    </w:p>
    <w:p w14:paraId="26D2D0AB">
      <w:pPr>
        <w:spacing w:line="580" w:lineRule="exact"/>
        <w:ind w:firstLine="640"/>
        <w:jc w:val="both"/>
      </w:pPr>
      <w:r>
        <w:rPr>
          <w:rFonts w:ascii="仿宋_GB2312" w:hAnsi="仿宋_GB2312" w:eastAsia="仿宋_GB2312"/>
          <w:b/>
          <w:sz w:val="32"/>
        </w:rPr>
        <w:t>2024年度财政拨款收入总计2,368.63万元，</w:t>
      </w:r>
      <w:r>
        <w:rPr>
          <w:rFonts w:ascii="仿宋_GB2312" w:hAnsi="仿宋_GB2312" w:eastAsia="仿宋_GB2312"/>
          <w:b w:val="0"/>
          <w:sz w:val="32"/>
        </w:rPr>
        <w:t>其中：年初财政拨款结转和结余0.00万元，本年财政拨款收入2,368.63万元。</w:t>
      </w:r>
      <w:r>
        <w:rPr>
          <w:rFonts w:ascii="仿宋_GB2312" w:hAnsi="仿宋_GB2312" w:eastAsia="仿宋_GB2312"/>
          <w:b/>
          <w:sz w:val="32"/>
        </w:rPr>
        <w:t>财政拨款支出总计2,368.63万元，</w:t>
      </w:r>
      <w:r>
        <w:rPr>
          <w:rFonts w:ascii="仿宋_GB2312" w:hAnsi="仿宋_GB2312" w:eastAsia="仿宋_GB2312"/>
          <w:b w:val="0"/>
          <w:sz w:val="32"/>
        </w:rPr>
        <w:t>其中：年末财政拨款结转和结余0.00万元，本年财政拨款支出2,368.63万元。</w:t>
      </w:r>
    </w:p>
    <w:p w14:paraId="6CEDBD0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增加386.86万元，增长19.52%，主要原因是：本年在职人员增加，在职人员工资调增、社保、公积金基数调增，人员经费增加；本年监察活动保障费、纪委监委工作经费项目资金较上年增加。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1,892.18万元，决算数2,368.63万元，预决算差异率25.18%，主要原因是：本年在职人员增加，年中追加人员工资、社保、公积金基数调增部分资金，同时年中追加监察活动保障费、纪委监委工作经费项目，导致预决算存在差异。</w:t>
      </w:r>
    </w:p>
    <w:p w14:paraId="2B92F4D3">
      <w:pPr>
        <w:spacing w:line="640" w:lineRule="exact"/>
        <w:ind w:firstLine="640"/>
        <w:jc w:val="both"/>
        <w:outlineLvl w:val="2"/>
      </w:pPr>
      <w:r>
        <w:rPr>
          <w:rFonts w:ascii="黑体" w:hAnsi="黑体" w:eastAsia="黑体"/>
          <w:sz w:val="32"/>
        </w:rPr>
        <w:t>五、一般公共预算财政拨款支出决算情况说明</w:t>
      </w:r>
    </w:p>
    <w:p w14:paraId="441DAC02">
      <w:pPr>
        <w:spacing w:line="640" w:lineRule="exact"/>
        <w:ind w:firstLine="640"/>
        <w:jc w:val="both"/>
        <w:outlineLvl w:val="3"/>
      </w:pPr>
      <w:r>
        <w:rPr>
          <w:rFonts w:ascii="楷体_GB2312" w:hAnsi="楷体_GB2312" w:eastAsia="楷体_GB2312"/>
          <w:b/>
          <w:sz w:val="32"/>
        </w:rPr>
        <w:t>（一）一般公共预算财政拨款支出决算总体情况</w:t>
      </w:r>
    </w:p>
    <w:p w14:paraId="7135F112">
      <w:pPr>
        <w:spacing w:line="580" w:lineRule="exact"/>
        <w:ind w:firstLine="640"/>
        <w:jc w:val="both"/>
      </w:pPr>
      <w:r>
        <w:rPr>
          <w:rFonts w:ascii="仿宋_GB2312" w:hAnsi="仿宋_GB2312" w:eastAsia="仿宋_GB2312"/>
          <w:b/>
          <w:sz w:val="32"/>
        </w:rPr>
        <w:t>2024年度一般公共预算财政拨款支出2,368.63万元，</w:t>
      </w:r>
      <w:r>
        <w:rPr>
          <w:rFonts w:ascii="仿宋_GB2312" w:hAnsi="仿宋_GB2312" w:eastAsia="仿宋_GB2312"/>
          <w:b w:val="0"/>
          <w:sz w:val="32"/>
        </w:rPr>
        <w:t>占本年支出合计的89.12%。</w:t>
      </w:r>
      <w:r>
        <w:rPr>
          <w:rFonts w:ascii="仿宋_GB2312" w:hAnsi="仿宋_GB2312" w:eastAsia="仿宋_GB2312"/>
          <w:b/>
          <w:sz w:val="32"/>
        </w:rPr>
        <w:t>与上年相比，</w:t>
      </w:r>
      <w:r>
        <w:rPr>
          <w:rFonts w:ascii="仿宋_GB2312" w:hAnsi="仿宋_GB2312" w:eastAsia="仿宋_GB2312"/>
          <w:b w:val="0"/>
          <w:sz w:val="32"/>
        </w:rPr>
        <w:t>增加386.86万元，增长19.52%，主要原因是：本年在职人员增加，在职人员工资调增、社保、公积金基数调增，人员经费增加；本年监察活动保障费、纪委监委工作经费项目资金较上年增加。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1,892.18万元，决算数2,368.63万元，预决算差异率25.18%，主要原因是：本年在职人员增加，年中追加人员工资、社保、公积金基数调增部分资金，同时年中追加监察活动保障费、纪委监委工作经费项目，导致预决算存在差异。</w:t>
      </w:r>
    </w:p>
    <w:p w14:paraId="4F2B044F">
      <w:pPr>
        <w:spacing w:line="640" w:lineRule="exact"/>
        <w:ind w:firstLine="640"/>
        <w:jc w:val="both"/>
        <w:outlineLvl w:val="3"/>
      </w:pPr>
      <w:r>
        <w:rPr>
          <w:rFonts w:ascii="楷体_GB2312" w:hAnsi="楷体_GB2312" w:eastAsia="楷体_GB2312"/>
          <w:b/>
          <w:sz w:val="32"/>
        </w:rPr>
        <w:t>（二）一般公共预算财政拨款支出决算结构情况</w:t>
      </w:r>
    </w:p>
    <w:p w14:paraId="4C8080F7">
      <w:pPr>
        <w:spacing w:line="580" w:lineRule="exact"/>
        <w:ind w:firstLine="640"/>
        <w:jc w:val="both"/>
      </w:pPr>
      <w:r>
        <w:rPr>
          <w:rFonts w:ascii="仿宋_GB2312" w:hAnsi="仿宋_GB2312" w:eastAsia="仿宋_GB2312"/>
          <w:b w:val="0"/>
          <w:sz w:val="32"/>
        </w:rPr>
        <w:t>1.一般公共服务支出(类)1,745.05万元,占73.67%。</w:t>
      </w:r>
    </w:p>
    <w:p w14:paraId="5591A69B">
      <w:pPr>
        <w:spacing w:line="580" w:lineRule="exact"/>
        <w:ind w:firstLine="640"/>
        <w:jc w:val="both"/>
      </w:pPr>
      <w:r>
        <w:rPr>
          <w:rFonts w:ascii="仿宋_GB2312" w:hAnsi="仿宋_GB2312" w:eastAsia="仿宋_GB2312"/>
          <w:b w:val="0"/>
          <w:sz w:val="32"/>
        </w:rPr>
        <w:t>2.社会保障和就业支出(类)382.54万元,占16.15%。</w:t>
      </w:r>
    </w:p>
    <w:p w14:paraId="4225BD9A">
      <w:pPr>
        <w:spacing w:line="580" w:lineRule="exact"/>
        <w:ind w:firstLine="640"/>
        <w:jc w:val="both"/>
      </w:pPr>
      <w:r>
        <w:rPr>
          <w:rFonts w:ascii="仿宋_GB2312" w:hAnsi="仿宋_GB2312" w:eastAsia="仿宋_GB2312"/>
          <w:b w:val="0"/>
          <w:sz w:val="32"/>
        </w:rPr>
        <w:t>3.卫生健康支出(类)96.70万元,占4.08%。</w:t>
      </w:r>
    </w:p>
    <w:p w14:paraId="40C22759">
      <w:pPr>
        <w:spacing w:line="580" w:lineRule="exact"/>
        <w:ind w:firstLine="640"/>
        <w:jc w:val="both"/>
      </w:pPr>
      <w:r>
        <w:rPr>
          <w:rFonts w:ascii="仿宋_GB2312" w:hAnsi="仿宋_GB2312" w:eastAsia="仿宋_GB2312"/>
          <w:b w:val="0"/>
          <w:sz w:val="32"/>
        </w:rPr>
        <w:t>4.住房保障支出(类)144.35万元,占6.09%。</w:t>
      </w:r>
    </w:p>
    <w:p w14:paraId="1CD85EDE">
      <w:pPr>
        <w:spacing w:line="640" w:lineRule="exact"/>
        <w:ind w:firstLine="640"/>
        <w:jc w:val="both"/>
        <w:outlineLvl w:val="3"/>
      </w:pPr>
      <w:r>
        <w:rPr>
          <w:rFonts w:ascii="楷体_GB2312" w:hAnsi="楷体_GB2312" w:eastAsia="楷体_GB2312"/>
          <w:b/>
          <w:sz w:val="32"/>
        </w:rPr>
        <w:t>（三）一般公共预算财政拨款支出决算具体情况</w:t>
      </w:r>
    </w:p>
    <w:p w14:paraId="373F5BA4">
      <w:pPr>
        <w:spacing w:line="580" w:lineRule="exact"/>
        <w:ind w:firstLine="640"/>
        <w:jc w:val="both"/>
      </w:pPr>
      <w:r>
        <w:rPr>
          <w:rFonts w:ascii="仿宋_GB2312" w:hAnsi="仿宋_GB2312" w:eastAsia="仿宋_GB2312"/>
          <w:b w:val="0"/>
          <w:sz w:val="32"/>
        </w:rPr>
        <w:t>1.一般公共服务支出(类)纪检监察事务(款)行政运行(项):支出决算数为1,280.71万元，比上年决算增加76.73万元，增长6.37%,主要原因是：本年新增行政在职人员，在职人员工资调增，人员经费增加，导致经费较上年有所增加。</w:t>
      </w:r>
    </w:p>
    <w:p w14:paraId="5040F84A">
      <w:pPr>
        <w:spacing w:line="580" w:lineRule="exact"/>
        <w:ind w:firstLine="640"/>
        <w:jc w:val="both"/>
      </w:pPr>
      <w:r>
        <w:rPr>
          <w:rFonts w:ascii="仿宋_GB2312" w:hAnsi="仿宋_GB2312" w:eastAsia="仿宋_GB2312"/>
          <w:b w:val="0"/>
          <w:sz w:val="32"/>
        </w:rPr>
        <w:t>2.一般公共服务支出(类)纪检监察事务(款)一般行政管理事务(项):支出决算数为170.00万元，比上年决算增加170.00万元，增长100.00%,主要原因是：本年功能科目调整，</w:t>
      </w:r>
      <w:r>
        <w:rPr>
          <w:rFonts w:hint="eastAsia" w:ascii="仿宋_GB2312" w:hAnsi="仿宋_GB2312" w:eastAsia="仿宋_GB2312"/>
          <w:b w:val="0"/>
          <w:sz w:val="32"/>
          <w:lang w:val="en-US" w:eastAsia="zh-CN"/>
        </w:rPr>
        <w:t>部分</w:t>
      </w:r>
      <w:r>
        <w:rPr>
          <w:rFonts w:ascii="仿宋_GB2312" w:hAnsi="仿宋_GB2312" w:eastAsia="仿宋_GB2312"/>
          <w:b w:val="0"/>
          <w:sz w:val="32"/>
        </w:rPr>
        <w:t>纪委监委工作经费项目</w:t>
      </w:r>
      <w:r>
        <w:rPr>
          <w:rFonts w:hint="eastAsia" w:ascii="仿宋_GB2312" w:hAnsi="仿宋_GB2312" w:eastAsia="仿宋_GB2312"/>
          <w:b w:val="0"/>
          <w:sz w:val="32"/>
          <w:lang w:val="en-US" w:eastAsia="zh-CN"/>
        </w:rPr>
        <w:t>由</w:t>
      </w:r>
      <w:r>
        <w:rPr>
          <w:rFonts w:ascii="仿宋_GB2312" w:hAnsi="仿宋_GB2312" w:eastAsia="仿宋_GB2312"/>
          <w:b w:val="0"/>
          <w:sz w:val="32"/>
        </w:rPr>
        <w:t>其他纪检监察事务支出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调整至本科目列支，</w:t>
      </w:r>
      <w:r>
        <w:rPr>
          <w:rFonts w:hint="eastAsia" w:ascii="仿宋_GB2312" w:hAnsi="仿宋_GB2312" w:eastAsia="仿宋_GB2312"/>
          <w:b w:val="0"/>
          <w:sz w:val="32"/>
          <w:lang w:val="en-US" w:eastAsia="zh-CN"/>
        </w:rPr>
        <w:t>同时</w:t>
      </w:r>
      <w:bookmarkStart w:id="0" w:name="_GoBack"/>
      <w:bookmarkEnd w:id="0"/>
      <w:r>
        <w:rPr>
          <w:rFonts w:hint="eastAsia" w:ascii="仿宋_GB2312" w:hAnsi="仿宋_GB2312" w:eastAsia="仿宋_GB2312"/>
          <w:b w:val="0"/>
          <w:sz w:val="32"/>
          <w:lang w:val="en-US" w:eastAsia="zh-CN"/>
        </w:rPr>
        <w:t>增加</w:t>
      </w:r>
      <w:r>
        <w:rPr>
          <w:rFonts w:ascii="仿宋_GB2312" w:hAnsi="仿宋_GB2312" w:eastAsia="仿宋_GB2312"/>
          <w:b w:val="0"/>
          <w:sz w:val="32"/>
        </w:rPr>
        <w:t>监察活动保障费</w:t>
      </w:r>
      <w:r>
        <w:rPr>
          <w:rFonts w:hint="eastAsia" w:ascii="仿宋_GB2312" w:hAnsi="仿宋_GB2312" w:eastAsia="仿宋_GB2312"/>
          <w:b w:val="0"/>
          <w:sz w:val="32"/>
          <w:lang w:val="en-US" w:eastAsia="zh-CN"/>
        </w:rPr>
        <w:t>项目，</w:t>
      </w:r>
      <w:r>
        <w:rPr>
          <w:rFonts w:ascii="仿宋_GB2312" w:hAnsi="仿宋_GB2312" w:eastAsia="仿宋_GB2312"/>
          <w:b w:val="0"/>
          <w:sz w:val="32"/>
        </w:rPr>
        <w:t>相应支出增加。</w:t>
      </w:r>
    </w:p>
    <w:p w14:paraId="6F1B396E">
      <w:pPr>
        <w:spacing w:line="580" w:lineRule="exact"/>
        <w:ind w:firstLine="640"/>
        <w:jc w:val="both"/>
      </w:pPr>
      <w:r>
        <w:rPr>
          <w:rFonts w:ascii="仿宋_GB2312" w:hAnsi="仿宋_GB2312" w:eastAsia="仿宋_GB2312"/>
          <w:b w:val="0"/>
          <w:sz w:val="32"/>
        </w:rPr>
        <w:t>3.一般公共服务支出(类)纪检监察事务(款)事业运行(项):支出决算数为164.34万元，比上年决算增加14.19万元，增长9.45%,主要原因是：本年事业在职人员工资调增，导致相关人员经费较上年有所增加。</w:t>
      </w:r>
    </w:p>
    <w:p w14:paraId="459BC363">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130.00万元，比上年决算增加8.21万元，增长6.74%,主要原因是：本年新增中央纪检监察转移支付资金项目，导致经费较上年有所增加。</w:t>
      </w:r>
    </w:p>
    <w:p w14:paraId="4AE79988">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23.08万元，比上年决算增加6.38万元，增长38.20%,主要原因是：本年退休人员增加，退休人员基础绩效奖增加，退休费支出增加。</w:t>
      </w:r>
    </w:p>
    <w:p w14:paraId="07D2F4CB">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180.69万元，比上年决算减少2.20万元，下降1.20%,主要原因是：本年在职人员调入调出，人员职级不同，缴费基数不同，导致养老保险缴费较上年减少。</w:t>
      </w:r>
    </w:p>
    <w:p w14:paraId="7E98B129">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7.社会保障和就业支出(类)行政事业单位养老支出(款)机关事业单位职业年金缴费支出(项):支出决算数为67.15万元，比上年决算增加9.69万元，增长16.86%,主要原因是：本年新增退休人员，职业年金缴费支出增加。</w:t>
      </w:r>
    </w:p>
    <w:p w14:paraId="5A6718D5">
      <w:pPr>
        <w:spacing w:line="580" w:lineRule="exact"/>
        <w:ind w:firstLine="640"/>
        <w:jc w:val="both"/>
      </w:pPr>
      <w:r>
        <w:rPr>
          <w:rFonts w:ascii="仿宋_GB2312" w:hAnsi="仿宋_GB2312" w:eastAsia="仿宋_GB2312"/>
          <w:b w:val="0"/>
          <w:sz w:val="32"/>
        </w:rPr>
        <w:t>8.社会保障和就业支出(类)抚恤(款)死亡抚恤(项):支出决算数为111.62万元，比上年决算增加111.62万元，增长100.00%,主要原因是：本年新增死亡人员，死亡抚恤支出增加。</w:t>
      </w:r>
    </w:p>
    <w:p w14:paraId="75E61BCE">
      <w:pPr>
        <w:spacing w:line="580" w:lineRule="exact"/>
        <w:ind w:firstLine="640"/>
        <w:jc w:val="both"/>
      </w:pPr>
      <w:r>
        <w:rPr>
          <w:rFonts w:ascii="仿宋_GB2312" w:hAnsi="仿宋_GB2312" w:eastAsia="仿宋_GB2312"/>
          <w:b w:val="0"/>
          <w:sz w:val="32"/>
        </w:rPr>
        <w:t>9.卫生健康支出(类)行政事业单位医疗(款)行政单位医疗(项):支出决算数为76.79万元，比上年决算增加4.78万元，增长6.64%,主要原因是：本年在职人员增加且人员工资基数调增，医疗缴费基数上涨，行政单位医疗支出较上年增加。</w:t>
      </w:r>
    </w:p>
    <w:p w14:paraId="3A1BB936">
      <w:pPr>
        <w:spacing w:line="580" w:lineRule="exact"/>
        <w:ind w:firstLine="640"/>
        <w:jc w:val="both"/>
      </w:pPr>
      <w:r>
        <w:rPr>
          <w:rFonts w:ascii="仿宋_GB2312" w:hAnsi="仿宋_GB2312" w:eastAsia="仿宋_GB2312"/>
          <w:b w:val="0"/>
          <w:sz w:val="32"/>
        </w:rPr>
        <w:t>10.卫生健康支出(类)行政事业单位医疗(款)公务员医疗补助(项):支出决算数为19.90万元，比上年决算减少0.76万元，下降3.68%,主要原因是：本年在职人员调入调出，人员职级不同，缴费基数不同，导致公务员医疗补助较上年减少。</w:t>
      </w:r>
    </w:p>
    <w:p w14:paraId="1AD4125A">
      <w:pPr>
        <w:spacing w:line="580" w:lineRule="exact"/>
        <w:ind w:firstLine="640"/>
        <w:jc w:val="both"/>
      </w:pPr>
      <w:r>
        <w:rPr>
          <w:rFonts w:ascii="仿宋_GB2312" w:hAnsi="仿宋_GB2312" w:eastAsia="仿宋_GB2312"/>
          <w:b w:val="0"/>
          <w:sz w:val="32"/>
        </w:rPr>
        <w:t>11.住房保障支出(类)住房改革支出(款)住房公积金(项):支出决算数为144.35万元，比上年决算减少11.77万元，下降7.54%,主要原因是：本年在职人员调入调出，人员职级不同，缴费基数不同，导致住房公积金较上年减少。</w:t>
      </w:r>
    </w:p>
    <w:p w14:paraId="18E129DD">
      <w:pPr>
        <w:spacing w:line="640" w:lineRule="exact"/>
        <w:ind w:firstLine="640"/>
        <w:jc w:val="both"/>
        <w:outlineLvl w:val="2"/>
      </w:pPr>
      <w:r>
        <w:rPr>
          <w:rFonts w:ascii="黑体" w:hAnsi="黑体" w:eastAsia="黑体"/>
          <w:sz w:val="32"/>
        </w:rPr>
        <w:t>六、一般公共预算财政拨款基本支出决算情况说明</w:t>
      </w:r>
    </w:p>
    <w:p w14:paraId="23900DB5">
      <w:pPr>
        <w:spacing w:line="580" w:lineRule="exact"/>
        <w:ind w:firstLine="640"/>
        <w:jc w:val="both"/>
      </w:pPr>
      <w:r>
        <w:rPr>
          <w:rFonts w:ascii="仿宋_GB2312" w:hAnsi="仿宋_GB2312" w:eastAsia="仿宋_GB2312"/>
          <w:b w:val="0"/>
          <w:sz w:val="32"/>
        </w:rPr>
        <w:t>2024年度一般公共预算财政拨款基本支出2,068.63万元，其中：</w:t>
      </w:r>
      <w:r>
        <w:rPr>
          <w:rFonts w:ascii="仿宋_GB2312" w:hAnsi="仿宋_GB2312" w:eastAsia="仿宋_GB2312"/>
          <w:b/>
          <w:sz w:val="32"/>
        </w:rPr>
        <w:t>人员经费2,013.42万元，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499A0DB2">
      <w:pPr>
        <w:spacing w:line="580" w:lineRule="exact"/>
        <w:ind w:firstLine="640"/>
        <w:jc w:val="both"/>
      </w:pPr>
      <w:r>
        <w:rPr>
          <w:rFonts w:ascii="仿宋_GB2312" w:hAnsi="仿宋_GB2312" w:eastAsia="仿宋_GB2312"/>
          <w:b/>
          <w:sz w:val="32"/>
        </w:rPr>
        <w:t>公用经费55.21万元，</w:t>
      </w:r>
      <w:r>
        <w:rPr>
          <w:rFonts w:ascii="仿宋_GB2312" w:hAnsi="仿宋_GB2312" w:eastAsia="仿宋_GB2312"/>
          <w:b w:val="0"/>
          <w:sz w:val="32"/>
        </w:rPr>
        <w:t>包括：办公费、水费、电费、邮电费、取暖费、差旅费、维修（护）费、租赁费、专用材料费、公务用车运行维护费。</w:t>
      </w:r>
    </w:p>
    <w:p w14:paraId="210D129B">
      <w:pPr>
        <w:spacing w:line="640" w:lineRule="exact"/>
        <w:ind w:firstLine="640"/>
        <w:jc w:val="both"/>
        <w:outlineLvl w:val="2"/>
      </w:pPr>
      <w:r>
        <w:rPr>
          <w:rFonts w:ascii="黑体" w:hAnsi="黑体" w:eastAsia="黑体"/>
          <w:sz w:val="32"/>
        </w:rPr>
        <w:t>七、政府性基金预算财政拨款收入支出决算情况说明</w:t>
      </w:r>
    </w:p>
    <w:p w14:paraId="0913A48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CAFBFB5">
      <w:pPr>
        <w:spacing w:line="640" w:lineRule="exact"/>
        <w:ind w:firstLine="640"/>
        <w:jc w:val="both"/>
        <w:outlineLvl w:val="2"/>
      </w:pPr>
      <w:r>
        <w:rPr>
          <w:rFonts w:ascii="黑体" w:hAnsi="黑体" w:eastAsia="黑体"/>
          <w:sz w:val="32"/>
        </w:rPr>
        <w:t>八、国有资本经营预算财政拨款收入支出决算情况说明</w:t>
      </w:r>
    </w:p>
    <w:p w14:paraId="377585C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5171C85">
      <w:pPr>
        <w:spacing w:line="640" w:lineRule="exact"/>
        <w:ind w:firstLine="640"/>
        <w:jc w:val="both"/>
        <w:outlineLvl w:val="2"/>
      </w:pPr>
      <w:r>
        <w:rPr>
          <w:rFonts w:ascii="黑体" w:hAnsi="黑体" w:eastAsia="黑体"/>
          <w:sz w:val="32"/>
        </w:rPr>
        <w:t>九、财政拨款“三公”经费支出决算情况说明</w:t>
      </w:r>
    </w:p>
    <w:p w14:paraId="168C5732">
      <w:pPr>
        <w:spacing w:line="580" w:lineRule="exact"/>
        <w:ind w:firstLine="640"/>
        <w:jc w:val="both"/>
      </w:pPr>
      <w:r>
        <w:rPr>
          <w:rFonts w:ascii="仿宋_GB2312" w:hAnsi="仿宋_GB2312" w:eastAsia="仿宋_GB2312"/>
          <w:b/>
          <w:sz w:val="32"/>
        </w:rPr>
        <w:t>2024年度财政拨款“三公”经费支出72.08万元，</w:t>
      </w:r>
      <w:r>
        <w:rPr>
          <w:rFonts w:ascii="仿宋_GB2312" w:hAnsi="仿宋_GB2312" w:eastAsia="仿宋_GB2312"/>
          <w:b w:val="0"/>
          <w:sz w:val="32"/>
        </w:rPr>
        <w:t>比上年增加62.91万元，增长686.04%，主要原因是：本年新购入公务用车，公务用车购置费较上年增加。其中：因公出国（境）费支出0.00万元，占0.00%，比上年增加0.00万元，增长0.00%，主要原因是：2023年与2024年均未安排因公出国（境）费支出。公务用车购置及运行维护费支出72.08万元，占100.00%，比上年增加62.91万元，增长686.04%，主要原因是：本年新购入公务用车，公务用车购置费较上年增加。公务接待费支出0.00万元，占0.00%，比上年增加0.00万元，增长0.00%，主要原因是：2023年与2024年均未安排公务接待费支出。</w:t>
      </w:r>
    </w:p>
    <w:p w14:paraId="0B12887C">
      <w:pPr>
        <w:spacing w:line="580" w:lineRule="exact"/>
        <w:ind w:firstLine="640"/>
        <w:jc w:val="both"/>
      </w:pPr>
      <w:r>
        <w:rPr>
          <w:rFonts w:ascii="仿宋_GB2312" w:hAnsi="仿宋_GB2312" w:eastAsia="仿宋_GB2312"/>
          <w:b/>
          <w:sz w:val="32"/>
        </w:rPr>
        <w:t>具体情况如下：</w:t>
      </w:r>
    </w:p>
    <w:p w14:paraId="7F97EDC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1AF9BA7">
      <w:pPr>
        <w:spacing w:line="580" w:lineRule="exact"/>
        <w:ind w:firstLine="640"/>
        <w:jc w:val="both"/>
      </w:pPr>
      <w:r>
        <w:rPr>
          <w:rFonts w:ascii="仿宋_GB2312" w:hAnsi="仿宋_GB2312" w:eastAsia="仿宋_GB2312"/>
          <w:b w:val="0"/>
          <w:sz w:val="32"/>
        </w:rPr>
        <w:t>公务用车购置及运行维护费72.08万元，其中：公务用车购置费67.88万元，公务用车运行维护费4.20万元。公务用车运行维护费开支内容包括车辆加油费、维修保养费、保险费、审车费、过路费。公务用车购置数6辆，公务用车保有量10辆。国有资产占用情况中固定资产车辆10辆，与公务用车保有量差异原因是：本单位固定资产车辆与公务用车保有量一致无差异。</w:t>
      </w:r>
    </w:p>
    <w:p w14:paraId="2607061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5A9FEC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72.08万元，决算数72.08万元，预决算差异率0.00%，主要原因是：严格按照预算执行，预决算无差异。其中：因公出国（境）费全年预算数0.00万元，决算数0.00万元，预决算差异率0.00%，主要原因是：本单位无因公出国（境）费。公务用车购置费全年预算数67.88万元，决算数67.88万元，预决算差异率0.00%，主要原因是：严格按照预算执行，预决算无差异。公务用车运行维护费全年预算数4.20万元，决算数4.20万元，预决算差异率0.00%，主要原因是：严格按照预算执行，预决算无差异。公务接待费全年预算数0.00万元，决算数0.00万元，预决算差异率0.00%，主要原因是：本单位无公务接待费。</w:t>
      </w:r>
    </w:p>
    <w:p w14:paraId="7547A0B9">
      <w:pPr>
        <w:spacing w:line="640" w:lineRule="exact"/>
        <w:ind w:firstLine="640"/>
        <w:jc w:val="both"/>
        <w:outlineLvl w:val="2"/>
      </w:pPr>
      <w:r>
        <w:rPr>
          <w:rFonts w:ascii="黑体" w:hAnsi="黑体" w:eastAsia="黑体"/>
          <w:sz w:val="32"/>
        </w:rPr>
        <w:t>十、其他重要事项的情况说明</w:t>
      </w:r>
    </w:p>
    <w:p w14:paraId="00373F6E">
      <w:pPr>
        <w:spacing w:line="640" w:lineRule="exact"/>
        <w:ind w:firstLine="640"/>
        <w:jc w:val="both"/>
        <w:outlineLvl w:val="3"/>
      </w:pPr>
      <w:r>
        <w:rPr>
          <w:rFonts w:ascii="楷体_GB2312" w:hAnsi="楷体_GB2312" w:eastAsia="楷体_GB2312"/>
          <w:b/>
          <w:sz w:val="32"/>
        </w:rPr>
        <w:t>（一）机关运行经费及公用经费支出情况</w:t>
      </w:r>
    </w:p>
    <w:p w14:paraId="1E397155">
      <w:pPr>
        <w:spacing w:line="580" w:lineRule="exact"/>
        <w:ind w:firstLine="640"/>
        <w:jc w:val="both"/>
      </w:pPr>
      <w:r>
        <w:rPr>
          <w:rFonts w:ascii="仿宋_GB2312" w:hAnsi="仿宋_GB2312" w:eastAsia="仿宋_GB2312"/>
          <w:b w:val="0"/>
          <w:sz w:val="32"/>
        </w:rPr>
        <w:t>2024年度中共英吉沙县纪律检查委员会（行政单位和参照公务员法管理事业单位）机关运行经费支出55.21万元，比上年增加13.88万元，增长33.58%，主要原因是：本年在职人员增加，办公费用增加，导致机关运行经费增加。</w:t>
      </w:r>
    </w:p>
    <w:p w14:paraId="0052B761">
      <w:pPr>
        <w:spacing w:line="640" w:lineRule="exact"/>
        <w:ind w:firstLine="640"/>
        <w:jc w:val="both"/>
        <w:outlineLvl w:val="3"/>
      </w:pPr>
      <w:r>
        <w:rPr>
          <w:rFonts w:ascii="楷体_GB2312" w:hAnsi="楷体_GB2312" w:eastAsia="楷体_GB2312"/>
          <w:b/>
          <w:sz w:val="32"/>
        </w:rPr>
        <w:t>（二）政府采购情况</w:t>
      </w:r>
    </w:p>
    <w:p w14:paraId="1F2D5607">
      <w:pPr>
        <w:spacing w:line="580" w:lineRule="exact"/>
        <w:ind w:firstLine="640"/>
        <w:jc w:val="both"/>
      </w:pPr>
      <w:r>
        <w:rPr>
          <w:rFonts w:ascii="仿宋_GB2312" w:hAnsi="仿宋_GB2312" w:eastAsia="仿宋_GB2312"/>
          <w:b w:val="0"/>
          <w:sz w:val="32"/>
        </w:rPr>
        <w:t>2024年度政府采购支出总额85.51万元，其中：政府采购货物支出69.96万元、政府采购工程支出8.34万元、政府采购服务支出7.21万元。</w:t>
      </w:r>
    </w:p>
    <w:p w14:paraId="19E726BB">
      <w:pPr>
        <w:spacing w:line="580" w:lineRule="exact"/>
        <w:ind w:firstLine="640"/>
        <w:jc w:val="both"/>
      </w:pPr>
      <w:r>
        <w:rPr>
          <w:rFonts w:ascii="仿宋_GB2312" w:hAnsi="仿宋_GB2312" w:eastAsia="仿宋_GB2312"/>
          <w:b w:val="0"/>
          <w:sz w:val="32"/>
        </w:rPr>
        <w:t>授予中小企业合同金额69.06万元，占政府采购支出总额的80.76%，其中：授予小微企业合同金额69.06万元，占政府采购支出总额的80.76%。</w:t>
      </w:r>
    </w:p>
    <w:p w14:paraId="014C61FF">
      <w:pPr>
        <w:spacing w:line="640" w:lineRule="exact"/>
        <w:ind w:firstLine="640"/>
        <w:jc w:val="both"/>
        <w:outlineLvl w:val="3"/>
      </w:pPr>
      <w:r>
        <w:rPr>
          <w:rFonts w:ascii="楷体_GB2312" w:hAnsi="楷体_GB2312" w:eastAsia="楷体_GB2312"/>
          <w:b/>
          <w:sz w:val="32"/>
        </w:rPr>
        <w:t>（三）国有资产占用情况说明</w:t>
      </w:r>
    </w:p>
    <w:p w14:paraId="4D390AB6">
      <w:pPr>
        <w:spacing w:line="580" w:lineRule="exact"/>
        <w:ind w:firstLine="640"/>
        <w:jc w:val="both"/>
      </w:pPr>
      <w:r>
        <w:rPr>
          <w:rFonts w:ascii="仿宋_GB2312" w:hAnsi="仿宋_GB2312" w:eastAsia="仿宋_GB2312"/>
          <w:b w:val="0"/>
          <w:sz w:val="32"/>
        </w:rPr>
        <w:t>截至2024年12月31日，房屋7,218.96平方米，价值363.25万元。车辆10辆，价值133.35万元，其中：副部（省）级及以上领导用车0辆、主要负责人用车0辆、机要通信用车0辆、应急保障用车0辆、执法执勤用车8辆、特种专业技术用车0辆、离退休干部服务用车0辆、其他用车2辆，其他用车主要是：一般公务用车。单价100万元（含）以上设备（不含车辆）0台（套）。</w:t>
      </w:r>
    </w:p>
    <w:p w14:paraId="4DFF22A7">
      <w:pPr>
        <w:spacing w:line="640" w:lineRule="exact"/>
        <w:ind w:firstLine="640"/>
        <w:jc w:val="both"/>
        <w:outlineLvl w:val="2"/>
      </w:pPr>
      <w:r>
        <w:rPr>
          <w:rFonts w:ascii="黑体" w:hAnsi="黑体" w:eastAsia="黑体"/>
          <w:sz w:val="32"/>
        </w:rPr>
        <w:t>十一、预算绩效的情况说明</w:t>
      </w:r>
    </w:p>
    <w:p w14:paraId="60B0B83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根据预算绩效管理要求，本单位2024年度预算绩效管理形成整体支出绩效自评表1个，全年预算总额2,657.75万元，实际执行总额2,657.75万元；预算绩效评价项目</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w:t>
      </w:r>
      <w:r>
        <w:rPr>
          <w:rFonts w:hint="eastAsia" w:ascii="仿宋_GB2312" w:hAnsi="仿宋_GB2312" w:eastAsia="仿宋_GB2312"/>
          <w:b w:val="0"/>
          <w:sz w:val="32"/>
        </w:rPr>
        <w:t>579.63</w:t>
      </w:r>
      <w:r>
        <w:rPr>
          <w:rFonts w:ascii="仿宋_GB2312" w:hAnsi="仿宋_GB2312" w:eastAsia="仿宋_GB2312"/>
          <w:b w:val="0"/>
          <w:sz w:val="32"/>
        </w:rPr>
        <w:t>万元，全年执行数</w:t>
      </w:r>
      <w:r>
        <w:rPr>
          <w:rFonts w:hint="eastAsia" w:ascii="仿宋_GB2312" w:hAnsi="仿宋_GB2312" w:eastAsia="仿宋_GB2312"/>
          <w:b w:val="0"/>
          <w:sz w:val="32"/>
        </w:rPr>
        <w:t>579.47</w:t>
      </w:r>
      <w:r>
        <w:rPr>
          <w:rFonts w:ascii="仿宋_GB2312" w:hAnsi="仿宋_GB2312" w:eastAsia="仿宋_GB2312"/>
          <w:b w:val="0"/>
          <w:sz w:val="32"/>
        </w:rPr>
        <w:t>万元。预算绩效管理取得的成效：一是健全了单位组织体系，安排专人管理绩效工作，提供了有力的人力保障；二是细化制度建设，根据财政绩效工作的要求，明确绩效工作的管理职责、对象内容、绩效目标、绩效指标、评价标准和方法等有关要求；三是完善预算绩效过程管理，严格推进事前绩效评估和绩效目标编审，强化实施运行。发现的问题及原因：一是部分业务人员绩效管理意识有待增强，未能全面深入认识理解绩效管理工作的意义；二是绩效管理经验不足，预算绩效管理工作有待进一步落实；三是绩效指标的明确性、可衡量性、相关性还需进一步提升；四是预算精细化管理还需完善，预算编制管理水平仍有进一步提升的空间；五是个别项目绩效考核工作的认识没有完全到位，对考核工作的重视程度、责任分工、工作经费安排、协调配合等诸多方面还存在较大差距，转移支付资金使用情况不够明晰。下一步改进措施：一是加大绩效工作宣传力度，强化绩效理念；二是完善绩效指标，提高整体绩效目标质量。提升预算精细化管理水平。加大预算绩效管理的学习，吸取成功单位的绩效管理经验，从申报项目的规范要求到过程管理直至最后项目的绩效评价，形成整套的系统流程；三是加强对专项资金的检查力度。成立专项资金检查小组，定期抽查各项目资金的使用情况；重大项目要求必须选取第三方对项目资金使用进行审核；四是加强项目实施进度督查。加速推进项目建设，对目前项目实施没有达到预定进度、资金管理、档案管理欠佳的项目，予以重点督查；五是继续完善预算绩效管理相关工作制度，建立全过程预算绩效管理链条，有效贯彻落实全面实施绩效管理的精神。具体附整体支出绩效自评表，项目支出绩效自评表和评价报告。</w:t>
      </w:r>
    </w:p>
    <w:p w14:paraId="589D050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2EB2A93">
        <w:tblPrEx>
          <w:tblCellMar>
            <w:top w:w="0" w:type="dxa"/>
            <w:left w:w="108" w:type="dxa"/>
            <w:bottom w:w="0" w:type="dxa"/>
            <w:right w:w="108" w:type="dxa"/>
          </w:tblCellMar>
        </w:tblPrEx>
        <w:tc>
          <w:tcPr>
            <w:tcW w:w="8847" w:type="dxa"/>
            <w:gridSpan w:val="9"/>
            <w:vAlign w:val="center"/>
          </w:tcPr>
          <w:p w14:paraId="3FE82EBD">
            <w:pPr>
              <w:jc w:val="center"/>
            </w:pPr>
            <w:r>
              <w:rPr>
                <w:rFonts w:ascii="宋体" w:hAnsi="宋体" w:eastAsia="宋体"/>
                <w:sz w:val="24"/>
              </w:rPr>
              <w:t>单位整体支出绩效自评表</w:t>
            </w:r>
          </w:p>
        </w:tc>
      </w:tr>
      <w:tr w14:paraId="67464E3C">
        <w:tblPrEx>
          <w:tblCellMar>
            <w:top w:w="0" w:type="dxa"/>
            <w:left w:w="108" w:type="dxa"/>
            <w:bottom w:w="0" w:type="dxa"/>
            <w:right w:w="108" w:type="dxa"/>
          </w:tblCellMar>
        </w:tblPrEx>
        <w:tc>
          <w:tcPr>
            <w:tcW w:w="8847" w:type="dxa"/>
            <w:gridSpan w:val="9"/>
            <w:vAlign w:val="center"/>
          </w:tcPr>
          <w:p w14:paraId="3B1299E8">
            <w:pPr>
              <w:jc w:val="center"/>
            </w:pPr>
            <w:r>
              <w:rPr>
                <w:rFonts w:ascii="宋体" w:hAnsi="宋体" w:eastAsia="宋体"/>
                <w:sz w:val="24"/>
              </w:rPr>
              <w:t>（2024年度）</w:t>
            </w:r>
          </w:p>
        </w:tc>
      </w:tr>
      <w:tr w14:paraId="295735E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F212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E0394E8">
            <w:pPr>
              <w:jc w:val="center"/>
            </w:pPr>
            <w:r>
              <w:rPr>
                <w:rFonts w:ascii="宋体" w:hAnsi="宋体" w:eastAsia="宋体"/>
                <w:sz w:val="16"/>
              </w:rPr>
              <w:t>中共英吉沙县纪律检查委员会</w:t>
            </w:r>
          </w:p>
        </w:tc>
      </w:tr>
      <w:tr w14:paraId="17DE35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78EB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8546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4EFF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24C4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E3FE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5C36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7D60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C25C8">
            <w:pPr>
              <w:jc w:val="center"/>
            </w:pPr>
            <w:r>
              <w:rPr>
                <w:rFonts w:ascii="宋体" w:hAnsi="宋体" w:eastAsia="宋体"/>
                <w:sz w:val="16"/>
              </w:rPr>
              <w:t>得分</w:t>
            </w:r>
          </w:p>
        </w:tc>
      </w:tr>
      <w:tr w14:paraId="2D35C3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73AC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727E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998E1">
            <w:pPr>
              <w:jc w:val="center"/>
            </w:pPr>
            <w:r>
              <w:rPr>
                <w:rFonts w:ascii="宋体" w:hAnsi="宋体" w:eastAsia="宋体"/>
                <w:sz w:val="16"/>
              </w:rPr>
              <w:t>1,892.18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3261D">
            <w:pPr>
              <w:jc w:val="center"/>
            </w:pPr>
            <w:r>
              <w:rPr>
                <w:rFonts w:ascii="宋体" w:hAnsi="宋体" w:eastAsia="宋体"/>
                <w:sz w:val="16"/>
              </w:rPr>
              <w:t>2,657.75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C0AAA">
            <w:pPr>
              <w:jc w:val="center"/>
            </w:pPr>
            <w:r>
              <w:rPr>
                <w:rFonts w:ascii="宋体" w:hAnsi="宋体" w:eastAsia="宋体"/>
                <w:sz w:val="16"/>
              </w:rPr>
              <w:t>2,657.75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AC7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EBB15">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B009D">
            <w:pPr>
              <w:jc w:val="center"/>
            </w:pPr>
            <w:r>
              <w:rPr>
                <w:rFonts w:ascii="宋体" w:hAnsi="宋体" w:eastAsia="宋体"/>
                <w:sz w:val="16"/>
              </w:rPr>
              <w:t>10</w:t>
            </w:r>
          </w:p>
        </w:tc>
      </w:tr>
      <w:tr w14:paraId="0F50B7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02B1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CFA2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C76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ADED0">
            <w:pPr>
              <w:jc w:val="center"/>
            </w:pPr>
            <w:r>
              <w:rPr>
                <w:rFonts w:ascii="宋体" w:hAnsi="宋体" w:eastAsia="宋体"/>
                <w:sz w:val="16"/>
              </w:rPr>
              <w:t>115.00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04FE7">
            <w:pPr>
              <w:jc w:val="center"/>
            </w:pPr>
            <w:r>
              <w:rPr>
                <w:rFonts w:ascii="宋体" w:hAnsi="宋体" w:eastAsia="宋体"/>
                <w:sz w:val="16"/>
              </w:rPr>
              <w:t>115.00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183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F070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FAC49">
            <w:pPr>
              <w:jc w:val="center"/>
            </w:pPr>
            <w:r>
              <w:rPr>
                <w:rFonts w:ascii="宋体" w:hAnsi="宋体" w:eastAsia="宋体"/>
                <w:sz w:val="16"/>
              </w:rPr>
              <w:t>—</w:t>
            </w:r>
          </w:p>
        </w:tc>
      </w:tr>
      <w:tr w14:paraId="0AA4D1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D1BA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16D5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CD24D">
            <w:pPr>
              <w:jc w:val="center"/>
            </w:pPr>
            <w:r>
              <w:rPr>
                <w:rFonts w:ascii="宋体" w:hAnsi="宋体" w:eastAsia="宋体"/>
                <w:sz w:val="16"/>
              </w:rPr>
              <w:t>1,892.18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95D7B">
            <w:pPr>
              <w:jc w:val="center"/>
            </w:pPr>
            <w:r>
              <w:rPr>
                <w:rFonts w:ascii="宋体" w:hAnsi="宋体" w:eastAsia="宋体"/>
                <w:sz w:val="16"/>
              </w:rPr>
              <w:t>2,505.11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2C623">
            <w:pPr>
              <w:jc w:val="center"/>
            </w:pPr>
            <w:r>
              <w:rPr>
                <w:rFonts w:ascii="宋体" w:hAnsi="宋体" w:eastAsia="宋体"/>
                <w:sz w:val="16"/>
              </w:rPr>
              <w:t>2,505.11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235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A18F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06B08">
            <w:pPr>
              <w:jc w:val="center"/>
            </w:pPr>
            <w:r>
              <w:rPr>
                <w:rFonts w:ascii="宋体" w:hAnsi="宋体" w:eastAsia="宋体"/>
                <w:sz w:val="16"/>
              </w:rPr>
              <w:t>—</w:t>
            </w:r>
          </w:p>
        </w:tc>
      </w:tr>
      <w:tr w14:paraId="063546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69EB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AF14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259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3CCFB">
            <w:pPr>
              <w:jc w:val="center"/>
            </w:pPr>
            <w:r>
              <w:rPr>
                <w:rFonts w:ascii="宋体" w:hAnsi="宋体" w:eastAsia="宋体"/>
                <w:sz w:val="16"/>
              </w:rPr>
              <w:t>37.64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5A8E3">
            <w:pPr>
              <w:jc w:val="center"/>
            </w:pPr>
            <w:r>
              <w:rPr>
                <w:rFonts w:ascii="宋体" w:hAnsi="宋体" w:eastAsia="宋体"/>
                <w:sz w:val="16"/>
              </w:rPr>
              <w:t>37.64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4D9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A3E9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91CB1">
            <w:pPr>
              <w:jc w:val="center"/>
            </w:pPr>
            <w:r>
              <w:rPr>
                <w:rFonts w:ascii="宋体" w:hAnsi="宋体" w:eastAsia="宋体"/>
                <w:sz w:val="16"/>
              </w:rPr>
              <w:t>—</w:t>
            </w:r>
          </w:p>
        </w:tc>
      </w:tr>
      <w:tr w14:paraId="20D5E46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AE56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A739F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3B28DD">
            <w:pPr>
              <w:jc w:val="center"/>
            </w:pPr>
            <w:r>
              <w:rPr>
                <w:rFonts w:ascii="宋体" w:hAnsi="宋体" w:eastAsia="宋体"/>
                <w:sz w:val="16"/>
              </w:rPr>
              <w:t>实际完成情况</w:t>
            </w:r>
          </w:p>
        </w:tc>
      </w:tr>
      <w:tr w14:paraId="2462E6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A1B4B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2E97AE">
            <w:pPr>
              <w:jc w:val="both"/>
            </w:pPr>
            <w:r>
              <w:rPr>
                <w:rFonts w:ascii="宋体" w:hAnsi="宋体" w:eastAsia="宋体"/>
                <w:sz w:val="16"/>
              </w:rPr>
              <w:t>坚持用习近平新时代中国特色社会主义思想凝心铸魂，忠诚履行党章赋予的职责，主动担当作为，强化政治监督，坚持纠“四风”树新风并举，抓住普遍发生、反复出现的问题深化整治，分层级开展宣传教育、分行业完善制度机制、分领域推动移风易俗。全面贯彻落实全面从严治党相关要求，督促各级党组织和党员领导干部切实担起全面从严治党主体责任，督促各级党组织召开本单位、本部门党风廉政会议，认真分析研判本行业、本领域政治生态、安排党风廉政工作。保障单位全年正常运行。保障</w:t>
            </w:r>
            <w:r>
              <w:rPr>
                <w:rFonts w:hint="eastAsia" w:ascii="宋体" w:hAnsi="宋体"/>
                <w:sz w:val="16"/>
                <w:lang w:eastAsia="zh-CN"/>
              </w:rPr>
              <w:t>巡察</w:t>
            </w:r>
            <w:r>
              <w:rPr>
                <w:rFonts w:ascii="宋体" w:hAnsi="宋体" w:eastAsia="宋体"/>
                <w:sz w:val="16"/>
              </w:rPr>
              <w:t>工作、全面从严治党、党风廉政建设和反腐败宣传教育工作正常开展。廉政建设和反腐败宣传教育工作次数12次，组织开展巡查次数3次，加强宣传教育力度100%。加大督办力度100%，加强业务培训100%，保障单位正常高效运转效率100%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B8E99F">
            <w:pPr>
              <w:jc w:val="both"/>
            </w:pPr>
            <w:r>
              <w:rPr>
                <w:rFonts w:hint="eastAsia" w:ascii="宋体" w:hAnsi="宋体"/>
                <w:sz w:val="16"/>
                <w:lang w:eastAsia="zh-CN"/>
              </w:rPr>
              <w:t>截至</w:t>
            </w:r>
            <w:r>
              <w:rPr>
                <w:rFonts w:ascii="宋体" w:hAnsi="宋体" w:eastAsia="宋体"/>
                <w:sz w:val="16"/>
              </w:rPr>
              <w:t>2024年12月，在地区纪委监委和</w:t>
            </w:r>
            <w:r>
              <w:rPr>
                <w:rFonts w:hint="eastAsia" w:ascii="宋体" w:hAnsi="宋体"/>
                <w:sz w:val="16"/>
                <w:lang w:eastAsia="zh-CN"/>
              </w:rPr>
              <w:t>县委、县政府</w:t>
            </w:r>
            <w:r>
              <w:rPr>
                <w:rFonts w:ascii="宋体" w:hAnsi="宋体" w:eastAsia="宋体"/>
                <w:sz w:val="16"/>
              </w:rPr>
              <w:t>的正确领导和大力支持下，英吉沙县纪委监委</w:t>
            </w:r>
            <w:r>
              <w:rPr>
                <w:rFonts w:hint="eastAsia" w:ascii="宋体" w:hAnsi="宋体"/>
                <w:sz w:val="16"/>
                <w:lang w:eastAsia="zh-CN"/>
              </w:rPr>
              <w:t>坚持以习近平新时代中国特色社会</w:t>
            </w:r>
            <w:r>
              <w:rPr>
                <w:rFonts w:ascii="宋体" w:hAnsi="宋体" w:eastAsia="宋体"/>
                <w:sz w:val="16"/>
              </w:rPr>
              <w:t>主义思想为指导，全面贯彻党的二十大精神和二十届中央纪委三次全会、自治区纪委十届四次全会、地委推进全面从严治党加强党风廉政建设和反腐败斗争会议精神，不断增强“四个意识”、坚定“四个自信”、做到“两个维护”，坚持稳中求进工作总基调，深入开展党纪</w:t>
            </w:r>
            <w:r>
              <w:rPr>
                <w:rFonts w:hint="eastAsia" w:ascii="宋体" w:hAnsi="宋体"/>
                <w:sz w:val="16"/>
                <w:lang w:val="en-US" w:eastAsia="zh-CN"/>
              </w:rPr>
              <w:t>学习</w:t>
            </w:r>
            <w:r>
              <w:rPr>
                <w:rFonts w:hint="eastAsia" w:ascii="宋体" w:hAnsi="宋体"/>
                <w:sz w:val="16"/>
                <w:lang w:eastAsia="zh-CN"/>
              </w:rPr>
              <w:t>教育</w:t>
            </w:r>
            <w:r>
              <w:rPr>
                <w:rFonts w:ascii="宋体" w:hAnsi="宋体" w:eastAsia="宋体"/>
                <w:sz w:val="16"/>
              </w:rPr>
              <w:t>，廉政建设和反腐败宣传教育工作12次，组织开展巡查次数3次，扎实推进群众身边不正之风和腐败问题集中整治，稳步推动纪检监察工作高质量发展。</w:t>
            </w:r>
          </w:p>
        </w:tc>
      </w:tr>
      <w:tr w14:paraId="20ACC0D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86F5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8812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60BA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E331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41D1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383C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BBCF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8150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545EC">
            <w:pPr>
              <w:jc w:val="center"/>
            </w:pPr>
            <w:r>
              <w:rPr>
                <w:rFonts w:ascii="宋体" w:hAnsi="宋体" w:eastAsia="宋体"/>
                <w:sz w:val="16"/>
              </w:rPr>
              <w:t>得分</w:t>
            </w:r>
          </w:p>
        </w:tc>
      </w:tr>
      <w:tr w14:paraId="0AA81EB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BE88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C1C4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2F75B">
            <w:pPr>
              <w:jc w:val="center"/>
            </w:pPr>
            <w:r>
              <w:rPr>
                <w:rFonts w:ascii="宋体" w:hAnsi="宋体" w:eastAsia="宋体"/>
                <w:sz w:val="16"/>
              </w:rPr>
              <w:t>廉政建设和反腐败宣传教育工作次数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C8C0E">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994F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2BFD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C2748">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627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DB6AC">
            <w:pPr>
              <w:jc w:val="center"/>
            </w:pPr>
            <w:r>
              <w:rPr>
                <w:rFonts w:ascii="宋体" w:hAnsi="宋体" w:eastAsia="宋体"/>
                <w:sz w:val="16"/>
              </w:rPr>
              <w:t>15</w:t>
            </w:r>
          </w:p>
        </w:tc>
      </w:tr>
      <w:tr w14:paraId="51EBE6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7464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A6E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7EFF4">
            <w:pPr>
              <w:jc w:val="center"/>
            </w:pPr>
            <w:r>
              <w:rPr>
                <w:rFonts w:ascii="宋体" w:hAnsi="宋体" w:eastAsia="宋体"/>
                <w:sz w:val="16"/>
              </w:rPr>
              <w:t>组织开展巡查次数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07B8E">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78A1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25C5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2C82C">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2CA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114CD">
            <w:pPr>
              <w:jc w:val="center"/>
            </w:pPr>
            <w:r>
              <w:rPr>
                <w:rFonts w:ascii="宋体" w:hAnsi="宋体" w:eastAsia="宋体"/>
                <w:sz w:val="16"/>
              </w:rPr>
              <w:t>15</w:t>
            </w:r>
          </w:p>
        </w:tc>
      </w:tr>
      <w:tr w14:paraId="50A00F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7E8C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CF6C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C105A">
            <w:pPr>
              <w:jc w:val="center"/>
            </w:pPr>
            <w:r>
              <w:rPr>
                <w:rFonts w:ascii="宋体" w:hAnsi="宋体" w:eastAsia="宋体"/>
                <w:sz w:val="16"/>
              </w:rPr>
              <w:t>宣传教育覆盖率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7C9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0D92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390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AEF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6D5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E5DB8">
            <w:pPr>
              <w:jc w:val="center"/>
            </w:pPr>
            <w:r>
              <w:rPr>
                <w:rFonts w:ascii="宋体" w:hAnsi="宋体" w:eastAsia="宋体"/>
                <w:sz w:val="16"/>
              </w:rPr>
              <w:t>20</w:t>
            </w:r>
          </w:p>
        </w:tc>
      </w:tr>
      <w:tr w14:paraId="2CD26E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EB2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07C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CD1C2">
            <w:pPr>
              <w:jc w:val="center"/>
            </w:pPr>
            <w:r>
              <w:rPr>
                <w:rFonts w:ascii="宋体" w:hAnsi="宋体" w:eastAsia="宋体"/>
                <w:sz w:val="16"/>
              </w:rPr>
              <w:t>督办检查覆盖率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580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55BE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8C84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DEA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DCE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770AC">
            <w:pPr>
              <w:jc w:val="center"/>
            </w:pPr>
            <w:r>
              <w:rPr>
                <w:rFonts w:ascii="宋体" w:hAnsi="宋体" w:eastAsia="宋体"/>
                <w:sz w:val="16"/>
              </w:rPr>
              <w:t>20</w:t>
            </w:r>
          </w:p>
        </w:tc>
      </w:tr>
      <w:tr w14:paraId="5A0444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202E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80C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4BDAA">
            <w:pPr>
              <w:jc w:val="center"/>
            </w:pPr>
            <w:r>
              <w:rPr>
                <w:rFonts w:ascii="宋体" w:hAnsi="宋体" w:eastAsia="宋体"/>
                <w:sz w:val="16"/>
              </w:rPr>
              <w:t>干部培训参与率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1A1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2CAD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F5C7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EE3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473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D527B">
            <w:pPr>
              <w:jc w:val="center"/>
            </w:pPr>
            <w:r>
              <w:rPr>
                <w:rFonts w:ascii="宋体" w:hAnsi="宋体" w:eastAsia="宋体"/>
                <w:sz w:val="16"/>
              </w:rPr>
              <w:t>20</w:t>
            </w:r>
          </w:p>
        </w:tc>
      </w:tr>
    </w:tbl>
    <w:p w14:paraId="4BCFB16F">
      <w:r>
        <w:br w:type="page"/>
      </w:r>
    </w:p>
    <w:tbl>
      <w:tblPr>
        <w:tblStyle w:val="9"/>
        <w:tblW w:w="0" w:type="auto"/>
        <w:tblInd w:w="0" w:type="dxa"/>
        <w:tblLayout w:type="autofit"/>
        <w:tblCellMar>
          <w:top w:w="0" w:type="dxa"/>
          <w:left w:w="108" w:type="dxa"/>
          <w:bottom w:w="0" w:type="dxa"/>
          <w:right w:w="108" w:type="dxa"/>
        </w:tblCellMar>
      </w:tblPr>
      <w:tblGrid>
        <w:gridCol w:w="614"/>
        <w:gridCol w:w="583"/>
        <w:gridCol w:w="583"/>
        <w:gridCol w:w="614"/>
        <w:gridCol w:w="1016"/>
        <w:gridCol w:w="583"/>
        <w:gridCol w:w="583"/>
        <w:gridCol w:w="598"/>
        <w:gridCol w:w="583"/>
        <w:gridCol w:w="583"/>
        <w:gridCol w:w="936"/>
        <w:gridCol w:w="632"/>
        <w:gridCol w:w="523"/>
        <w:gridCol w:w="629"/>
      </w:tblGrid>
      <w:tr w14:paraId="574BEDA5">
        <w:tblPrEx>
          <w:tblCellMar>
            <w:top w:w="0" w:type="dxa"/>
            <w:left w:w="108" w:type="dxa"/>
            <w:bottom w:w="0" w:type="dxa"/>
            <w:right w:w="108" w:type="dxa"/>
          </w:tblCellMar>
        </w:tblPrEx>
        <w:tc>
          <w:tcPr>
            <w:tcW w:w="8848" w:type="dxa"/>
            <w:gridSpan w:val="14"/>
            <w:vAlign w:val="center"/>
          </w:tcPr>
          <w:p w14:paraId="39E8C055">
            <w:pPr>
              <w:jc w:val="center"/>
            </w:pPr>
            <w:r>
              <w:rPr>
                <w:rFonts w:ascii="宋体" w:hAnsi="宋体" w:eastAsia="宋体"/>
                <w:sz w:val="24"/>
              </w:rPr>
              <w:t>项目支出绩效自评表</w:t>
            </w:r>
          </w:p>
        </w:tc>
      </w:tr>
      <w:tr w14:paraId="6062C131">
        <w:tblPrEx>
          <w:tblCellMar>
            <w:top w:w="0" w:type="dxa"/>
            <w:left w:w="108" w:type="dxa"/>
            <w:bottom w:w="0" w:type="dxa"/>
            <w:right w:w="108" w:type="dxa"/>
          </w:tblCellMar>
        </w:tblPrEx>
        <w:tc>
          <w:tcPr>
            <w:tcW w:w="8848" w:type="dxa"/>
            <w:gridSpan w:val="14"/>
            <w:vAlign w:val="center"/>
          </w:tcPr>
          <w:p w14:paraId="761A781F">
            <w:pPr>
              <w:jc w:val="center"/>
            </w:pPr>
            <w:r>
              <w:rPr>
                <w:rFonts w:ascii="宋体" w:hAnsi="宋体" w:eastAsia="宋体"/>
                <w:sz w:val="24"/>
              </w:rPr>
              <w:t>(2024年度)</w:t>
            </w:r>
          </w:p>
        </w:tc>
      </w:tr>
      <w:tr w14:paraId="0CCB7D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6C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D6BD6F">
            <w:pPr>
              <w:jc w:val="center"/>
            </w:pPr>
            <w:r>
              <w:rPr>
                <w:rFonts w:ascii="宋体" w:hAnsi="宋体" w:eastAsia="宋体"/>
                <w:sz w:val="16"/>
              </w:rPr>
              <w:t>监察活动保障费项目</w:t>
            </w:r>
          </w:p>
        </w:tc>
      </w:tr>
      <w:tr w14:paraId="7F628A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E31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065EC6">
            <w:pPr>
              <w:jc w:val="center"/>
            </w:pPr>
            <w:r>
              <w:rPr>
                <w:rFonts w:ascii="宋体" w:hAnsi="宋体" w:eastAsia="宋体"/>
                <w:sz w:val="16"/>
              </w:rPr>
              <w:t>中共英吉沙县纪律检查委员会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D1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92C356">
            <w:pPr>
              <w:jc w:val="center"/>
            </w:pPr>
            <w:r>
              <w:rPr>
                <w:rFonts w:ascii="宋体" w:hAnsi="宋体" w:eastAsia="宋体"/>
                <w:sz w:val="16"/>
              </w:rPr>
              <w:t>中共英吉沙县纪律检查委员会</w:t>
            </w:r>
          </w:p>
        </w:tc>
      </w:tr>
      <w:tr w14:paraId="6E7DAD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E25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856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5DB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6FC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849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425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85A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054F4">
            <w:pPr>
              <w:jc w:val="center"/>
            </w:pPr>
            <w:r>
              <w:rPr>
                <w:rFonts w:ascii="宋体" w:hAnsi="宋体" w:eastAsia="宋体"/>
                <w:sz w:val="16"/>
              </w:rPr>
              <w:t>得分</w:t>
            </w:r>
          </w:p>
        </w:tc>
      </w:tr>
      <w:tr w14:paraId="7D046D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FCF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4B8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8833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A314A">
            <w:pPr>
              <w:jc w:val="center"/>
            </w:pPr>
            <w:r>
              <w:rPr>
                <w:rFonts w:ascii="宋体" w:hAnsi="宋体" w:eastAsia="宋体"/>
                <w:sz w:val="16"/>
              </w:rPr>
              <w:t>151.63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BF2D8">
            <w:pPr>
              <w:jc w:val="center"/>
            </w:pPr>
            <w:r>
              <w:rPr>
                <w:rFonts w:ascii="宋体" w:hAnsi="宋体" w:eastAsia="宋体"/>
                <w:sz w:val="16"/>
              </w:rPr>
              <w:t>151.63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0A5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EF2F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B441">
            <w:pPr>
              <w:jc w:val="center"/>
            </w:pPr>
            <w:r>
              <w:rPr>
                <w:rFonts w:ascii="宋体" w:hAnsi="宋体" w:eastAsia="宋体"/>
                <w:sz w:val="16"/>
              </w:rPr>
              <w:t>10.00分</w:t>
            </w:r>
          </w:p>
        </w:tc>
      </w:tr>
      <w:tr w14:paraId="7ECFB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83F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EA7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0D72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6C302">
            <w:pPr>
              <w:jc w:val="center"/>
            </w:pPr>
            <w:r>
              <w:rPr>
                <w:rFonts w:ascii="宋体" w:hAnsi="宋体" w:eastAsia="宋体"/>
                <w:sz w:val="16"/>
              </w:rPr>
              <w:t>151.63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FC513">
            <w:pPr>
              <w:jc w:val="center"/>
            </w:pPr>
            <w:r>
              <w:rPr>
                <w:rFonts w:ascii="宋体" w:hAnsi="宋体" w:eastAsia="宋体"/>
                <w:sz w:val="16"/>
              </w:rPr>
              <w:t>151.63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165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526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4E1EE">
            <w:pPr>
              <w:jc w:val="center"/>
            </w:pPr>
            <w:r>
              <w:rPr>
                <w:rFonts w:ascii="宋体" w:hAnsi="宋体" w:eastAsia="宋体"/>
                <w:sz w:val="16"/>
              </w:rPr>
              <w:t>—</w:t>
            </w:r>
          </w:p>
        </w:tc>
      </w:tr>
      <w:tr w14:paraId="3C050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9FA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D6CB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713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A91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313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DC3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BCE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3668">
            <w:pPr>
              <w:jc w:val="center"/>
            </w:pPr>
            <w:r>
              <w:rPr>
                <w:rFonts w:ascii="宋体" w:hAnsi="宋体" w:eastAsia="宋体"/>
                <w:sz w:val="16"/>
              </w:rPr>
              <w:t>—</w:t>
            </w:r>
          </w:p>
        </w:tc>
      </w:tr>
      <w:tr w14:paraId="70088A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83A2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63A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C5852F">
            <w:pPr>
              <w:jc w:val="center"/>
            </w:pPr>
            <w:r>
              <w:rPr>
                <w:rFonts w:ascii="宋体" w:hAnsi="宋体" w:eastAsia="宋体"/>
                <w:sz w:val="16"/>
              </w:rPr>
              <w:t>实际完成情况</w:t>
            </w:r>
          </w:p>
        </w:tc>
      </w:tr>
      <w:tr w14:paraId="3B4DEB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069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0DA216">
            <w:pPr>
              <w:jc w:val="both"/>
            </w:pPr>
            <w:r>
              <w:rPr>
                <w:rFonts w:ascii="宋体" w:hAnsi="宋体" w:eastAsia="宋体"/>
                <w:sz w:val="16"/>
              </w:rPr>
              <w:t>此项目总投入151.6368万元，用于解决2023年</w:t>
            </w:r>
            <w:r>
              <w:rPr>
                <w:rFonts w:hint="eastAsia" w:ascii="宋体" w:hAnsi="宋体"/>
                <w:sz w:val="16"/>
                <w:lang w:eastAsia="zh-CN"/>
              </w:rPr>
              <w:t>—</w:t>
            </w:r>
            <w:r>
              <w:rPr>
                <w:rFonts w:ascii="宋体" w:hAnsi="宋体" w:eastAsia="宋体"/>
                <w:sz w:val="16"/>
              </w:rPr>
              <w:t>2024年单位监察活动正常开展的用餐费及2022年</w:t>
            </w:r>
            <w:r>
              <w:rPr>
                <w:rFonts w:hint="eastAsia" w:ascii="宋体" w:hAnsi="宋体"/>
                <w:sz w:val="16"/>
                <w:lang w:eastAsia="zh-CN"/>
              </w:rPr>
              <w:t>—</w:t>
            </w:r>
            <w:r>
              <w:rPr>
                <w:rFonts w:ascii="宋体" w:hAnsi="宋体" w:eastAsia="宋体"/>
                <w:sz w:val="16"/>
              </w:rPr>
              <w:t>2024年办公费等，其中：116.1096万元用于保障谈话对象及相关人员的用餐费；35.5272万元用于支付电脑打印机维修及办公用品保障等办公费。通过项目的实施，保障单位监察活动正常开展，保障谈话对象和相关保障人员的用餐费用、日常办公费用等，加快推进英吉沙县纪检监察工作高质量发展。受益谈话对象及保障人员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A892E3">
            <w:pPr>
              <w:jc w:val="both"/>
            </w:pPr>
            <w:r>
              <w:rPr>
                <w:rFonts w:hint="eastAsia" w:ascii="宋体" w:hAnsi="宋体"/>
                <w:sz w:val="16"/>
                <w:lang w:eastAsia="zh-CN"/>
              </w:rPr>
              <w:t>截至</w:t>
            </w:r>
            <w:r>
              <w:rPr>
                <w:rFonts w:ascii="宋体" w:hAnsi="宋体" w:eastAsia="宋体"/>
                <w:sz w:val="16"/>
              </w:rPr>
              <w:t>2024年12月31日，支付保障谈话对象及相关保障人员的用餐费116.1096万元、电脑打印机维修及办公用品保障等办公费35.5272万元，合计支付151.6368万元（壹佰伍拾壹万陆仟叁佰陆拾捌元整）。通过项目的实施，保障了英吉沙县14个乡镇纪委监委和县纪委监委本级监察活动正常开展，谈话对象和相关保障人员的用餐费用、日常办公费用等，加快推进英吉沙县纪检监察工作高质量发展。</w:t>
            </w:r>
          </w:p>
        </w:tc>
      </w:tr>
      <w:tr w14:paraId="782965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6D59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86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229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C0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273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3A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3A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03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25C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B28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E6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6FD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BD155">
            <w:pPr>
              <w:jc w:val="center"/>
            </w:pPr>
            <w:r>
              <w:rPr>
                <w:rFonts w:ascii="宋体" w:hAnsi="宋体" w:eastAsia="宋体"/>
                <w:sz w:val="16"/>
              </w:rPr>
              <w:t>偏差原因分析及改进措施</w:t>
            </w:r>
          </w:p>
        </w:tc>
      </w:tr>
      <w:tr w14:paraId="0BF20A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03C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5561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52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F268">
            <w:pPr>
              <w:jc w:val="center"/>
            </w:pPr>
            <w:r>
              <w:rPr>
                <w:rFonts w:ascii="宋体" w:hAnsi="宋体" w:eastAsia="宋体"/>
                <w:sz w:val="16"/>
              </w:rPr>
              <w:t>保障纪检监察机关数量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D6D5">
            <w:pPr>
              <w:jc w:val="center"/>
            </w:pPr>
            <w:r>
              <w:rPr>
                <w:rFonts w:ascii="宋体" w:hAnsi="宋体" w:eastAsia="宋体"/>
                <w:sz w:val="16"/>
              </w:rPr>
              <w:t>&lt;=15个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3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58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1D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5C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5C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F2D4">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38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3ACAB">
            <w:pPr>
              <w:jc w:val="center"/>
            </w:pPr>
          </w:p>
        </w:tc>
      </w:tr>
      <w:tr w14:paraId="471E7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85D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09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2CA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F3FB">
            <w:pPr>
              <w:jc w:val="center"/>
            </w:pPr>
            <w:r>
              <w:rPr>
                <w:rFonts w:ascii="宋体" w:hAnsi="宋体" w:eastAsia="宋体"/>
                <w:sz w:val="16"/>
              </w:rPr>
              <w:t>纪委监委办案保障率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2C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AC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54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39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F22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79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0E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3D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5D96D">
            <w:pPr>
              <w:jc w:val="center"/>
            </w:pPr>
          </w:p>
        </w:tc>
      </w:tr>
      <w:tr w14:paraId="0A75B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41E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5FE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80B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AF0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A9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1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B4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38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CBF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06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A3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F6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66167">
            <w:pPr>
              <w:jc w:val="center"/>
            </w:pPr>
          </w:p>
        </w:tc>
      </w:tr>
      <w:tr w14:paraId="63D10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39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DEF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4E1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F47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84F8">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B7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5E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96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9B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1C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F8A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5E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61B8E">
            <w:pPr>
              <w:jc w:val="center"/>
            </w:pPr>
          </w:p>
        </w:tc>
      </w:tr>
      <w:tr w14:paraId="558F2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42A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D767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ABB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A876">
            <w:pPr>
              <w:jc w:val="center"/>
            </w:pPr>
            <w:r>
              <w:rPr>
                <w:rFonts w:ascii="宋体" w:hAnsi="宋体" w:eastAsia="宋体"/>
                <w:sz w:val="16"/>
              </w:rPr>
              <w:t>监察活动保障费成本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BE6F">
            <w:pPr>
              <w:jc w:val="center"/>
            </w:pPr>
            <w:r>
              <w:rPr>
                <w:rFonts w:ascii="宋体" w:hAnsi="宋体" w:eastAsia="宋体"/>
                <w:sz w:val="16"/>
              </w:rPr>
              <w:t>&lt;=116.1096万元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D1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6F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1C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9F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F0F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EE3B7">
            <w:pPr>
              <w:jc w:val="center"/>
            </w:pPr>
            <w:r>
              <w:rPr>
                <w:rFonts w:ascii="宋体" w:hAnsi="宋体" w:eastAsia="宋体"/>
                <w:sz w:val="16"/>
              </w:rPr>
              <w:t>=116.1096万元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F3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CE122">
            <w:pPr>
              <w:jc w:val="center"/>
            </w:pPr>
          </w:p>
        </w:tc>
      </w:tr>
      <w:tr w14:paraId="75949A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6F4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61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D3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5801">
            <w:pPr>
              <w:jc w:val="center"/>
            </w:pPr>
            <w:r>
              <w:rPr>
                <w:rFonts w:ascii="宋体" w:hAnsi="宋体" w:eastAsia="宋体"/>
                <w:sz w:val="16"/>
              </w:rPr>
              <w:t>监察活动办公费成本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E4FE">
            <w:pPr>
              <w:jc w:val="center"/>
            </w:pPr>
            <w:r>
              <w:rPr>
                <w:rFonts w:ascii="宋体" w:hAnsi="宋体" w:eastAsia="宋体"/>
                <w:sz w:val="16"/>
              </w:rPr>
              <w:t>&lt;=35.5272万元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F8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CB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41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58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28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E0C4">
            <w:pPr>
              <w:jc w:val="center"/>
            </w:pPr>
            <w:r>
              <w:rPr>
                <w:rFonts w:ascii="宋体" w:hAnsi="宋体" w:eastAsia="宋体"/>
                <w:sz w:val="16"/>
              </w:rPr>
              <w:t>=35.5272万元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A0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B79E5">
            <w:pPr>
              <w:jc w:val="center"/>
            </w:pPr>
          </w:p>
        </w:tc>
      </w:tr>
      <w:tr w14:paraId="393E82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DAE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C3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7C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2E0D7">
            <w:pPr>
              <w:jc w:val="center"/>
            </w:pPr>
            <w:r>
              <w:rPr>
                <w:rFonts w:ascii="宋体" w:hAnsi="宋体" w:eastAsia="宋体"/>
                <w:sz w:val="16"/>
              </w:rPr>
              <w:t>保障2024年单位监察活动正常开展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86B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C1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5B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D3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48B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8D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9E2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66A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8A379">
            <w:pPr>
              <w:jc w:val="center"/>
            </w:pPr>
          </w:p>
        </w:tc>
      </w:tr>
      <w:tr w14:paraId="497015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72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0E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6B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A055">
            <w:pPr>
              <w:jc w:val="center"/>
            </w:pPr>
            <w:r>
              <w:rPr>
                <w:rFonts w:ascii="宋体" w:hAnsi="宋体" w:eastAsia="宋体"/>
                <w:sz w:val="16"/>
              </w:rPr>
              <w:t>受益谈话对象及保障人员满意度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C9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A1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00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2F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C5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57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E0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8D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0CD38">
            <w:pPr>
              <w:jc w:val="center"/>
            </w:pPr>
            <w:r>
              <w:rPr>
                <w:rFonts w:ascii="宋体" w:hAnsi="宋体" w:eastAsia="宋体"/>
                <w:sz w:val="16"/>
              </w:rPr>
              <w:t>偏差原因：年初目标设置偏低，导致指标实际完成值与预期目标值之间存在合理偏差。改进措施：以后年度根据项目实际情况设置指标预期目标值。</w:t>
            </w:r>
          </w:p>
        </w:tc>
      </w:tr>
      <w:tr w14:paraId="24680BE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E7FB4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951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DE17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7B9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F004B8"/>
        </w:tc>
      </w:tr>
    </w:tbl>
    <w:p w14:paraId="3D65A0AE">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776"/>
        <w:gridCol w:w="632"/>
        <w:gridCol w:w="614"/>
        <w:gridCol w:w="633"/>
      </w:tblGrid>
      <w:tr w14:paraId="7B105557">
        <w:tc>
          <w:tcPr>
            <w:tcW w:w="8848" w:type="dxa"/>
            <w:gridSpan w:val="14"/>
            <w:vAlign w:val="center"/>
          </w:tcPr>
          <w:p w14:paraId="32598581">
            <w:pPr>
              <w:jc w:val="center"/>
            </w:pPr>
            <w:r>
              <w:rPr>
                <w:rFonts w:ascii="宋体" w:hAnsi="宋体" w:eastAsia="宋体"/>
                <w:sz w:val="24"/>
              </w:rPr>
              <w:t>项目支出绩效自评表</w:t>
            </w:r>
          </w:p>
        </w:tc>
      </w:tr>
      <w:tr w14:paraId="21FC914C">
        <w:tblPrEx>
          <w:tblCellMar>
            <w:top w:w="0" w:type="dxa"/>
            <w:left w:w="108" w:type="dxa"/>
            <w:bottom w:w="0" w:type="dxa"/>
            <w:right w:w="108" w:type="dxa"/>
          </w:tblCellMar>
        </w:tblPrEx>
        <w:tc>
          <w:tcPr>
            <w:tcW w:w="8848" w:type="dxa"/>
            <w:gridSpan w:val="14"/>
            <w:vAlign w:val="center"/>
          </w:tcPr>
          <w:p w14:paraId="12264FE4">
            <w:pPr>
              <w:jc w:val="center"/>
            </w:pPr>
            <w:r>
              <w:rPr>
                <w:rFonts w:ascii="宋体" w:hAnsi="宋体" w:eastAsia="宋体"/>
                <w:sz w:val="24"/>
              </w:rPr>
              <w:t>(2024年度)</w:t>
            </w:r>
          </w:p>
        </w:tc>
      </w:tr>
      <w:tr w14:paraId="19076D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0B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C34F09">
            <w:pPr>
              <w:jc w:val="center"/>
            </w:pPr>
            <w:r>
              <w:rPr>
                <w:rFonts w:ascii="宋体" w:hAnsi="宋体" w:eastAsia="宋体"/>
                <w:sz w:val="16"/>
              </w:rPr>
              <w:t>纪委监委工作经费项目</w:t>
            </w:r>
          </w:p>
        </w:tc>
      </w:tr>
      <w:tr w14:paraId="70544E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CE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483BA7">
            <w:pPr>
              <w:jc w:val="center"/>
            </w:pPr>
            <w:r>
              <w:rPr>
                <w:rFonts w:ascii="宋体" w:hAnsi="宋体" w:eastAsia="宋体"/>
                <w:sz w:val="16"/>
              </w:rPr>
              <w:t>中共英吉沙县纪律检查委员会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B1F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F6B105">
            <w:pPr>
              <w:jc w:val="center"/>
            </w:pPr>
            <w:r>
              <w:rPr>
                <w:rFonts w:ascii="宋体" w:hAnsi="宋体" w:eastAsia="宋体"/>
                <w:sz w:val="16"/>
              </w:rPr>
              <w:t>中共英吉沙县纪律检查委员会</w:t>
            </w:r>
          </w:p>
        </w:tc>
      </w:tr>
      <w:tr w14:paraId="726AF3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3FE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A2A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63D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329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6B2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6F99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AAE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8682">
            <w:pPr>
              <w:jc w:val="center"/>
            </w:pPr>
            <w:r>
              <w:rPr>
                <w:rFonts w:ascii="宋体" w:hAnsi="宋体" w:eastAsia="宋体"/>
                <w:sz w:val="16"/>
              </w:rPr>
              <w:t>得分</w:t>
            </w:r>
          </w:p>
        </w:tc>
      </w:tr>
      <w:tr w14:paraId="0DA6E4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1C0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88E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68175">
            <w:pPr>
              <w:jc w:val="center"/>
            </w:pPr>
            <w:r>
              <w:rPr>
                <w:rFonts w:ascii="宋体" w:hAnsi="宋体" w:eastAsia="宋体"/>
                <w:sz w:val="16"/>
              </w:rPr>
              <w:t>135.00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DC913">
            <w:pPr>
              <w:jc w:val="center"/>
            </w:pPr>
            <w:r>
              <w:rPr>
                <w:rFonts w:ascii="宋体" w:hAnsi="宋体" w:eastAsia="宋体"/>
                <w:sz w:val="16"/>
              </w:rPr>
              <w:t>285.00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9B34F">
            <w:pPr>
              <w:jc w:val="center"/>
            </w:pPr>
            <w:r>
              <w:rPr>
                <w:rFonts w:ascii="宋体" w:hAnsi="宋体" w:eastAsia="宋体"/>
                <w:sz w:val="16"/>
              </w:rPr>
              <w:t>284.84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524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1B0C4">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A66E">
            <w:pPr>
              <w:jc w:val="center"/>
            </w:pPr>
            <w:r>
              <w:rPr>
                <w:rFonts w:ascii="宋体" w:hAnsi="宋体" w:eastAsia="宋体"/>
                <w:sz w:val="16"/>
              </w:rPr>
              <w:t>10.00分</w:t>
            </w:r>
          </w:p>
        </w:tc>
      </w:tr>
      <w:tr w14:paraId="0580A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2E4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192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3C664">
            <w:pPr>
              <w:jc w:val="center"/>
            </w:pPr>
            <w:r>
              <w:rPr>
                <w:rFonts w:ascii="宋体" w:hAnsi="宋体" w:eastAsia="宋体"/>
                <w:sz w:val="16"/>
              </w:rPr>
              <w:t>135.00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21909">
            <w:pPr>
              <w:jc w:val="center"/>
            </w:pPr>
            <w:r>
              <w:rPr>
                <w:rFonts w:ascii="宋体" w:hAnsi="宋体" w:eastAsia="宋体"/>
                <w:sz w:val="16"/>
              </w:rPr>
              <w:t>285.00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80970">
            <w:pPr>
              <w:jc w:val="center"/>
            </w:pPr>
            <w:r>
              <w:rPr>
                <w:rFonts w:ascii="宋体" w:hAnsi="宋体" w:eastAsia="宋体"/>
                <w:sz w:val="16"/>
              </w:rPr>
              <w:t>284.84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1C0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679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472D">
            <w:pPr>
              <w:jc w:val="center"/>
            </w:pPr>
            <w:r>
              <w:rPr>
                <w:rFonts w:ascii="宋体" w:hAnsi="宋体" w:eastAsia="宋体"/>
                <w:sz w:val="16"/>
              </w:rPr>
              <w:t>—</w:t>
            </w:r>
          </w:p>
        </w:tc>
      </w:tr>
      <w:tr w14:paraId="1B05A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505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BF7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3C2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716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A98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459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E04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6B005">
            <w:pPr>
              <w:jc w:val="center"/>
            </w:pPr>
            <w:r>
              <w:rPr>
                <w:rFonts w:ascii="宋体" w:hAnsi="宋体" w:eastAsia="宋体"/>
                <w:sz w:val="16"/>
              </w:rPr>
              <w:t>—</w:t>
            </w:r>
          </w:p>
        </w:tc>
      </w:tr>
      <w:tr w14:paraId="65A8E4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ED60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8B89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78113E">
            <w:pPr>
              <w:jc w:val="center"/>
            </w:pPr>
            <w:r>
              <w:rPr>
                <w:rFonts w:ascii="宋体" w:hAnsi="宋体" w:eastAsia="宋体"/>
                <w:sz w:val="16"/>
              </w:rPr>
              <w:t>实际完成情况</w:t>
            </w:r>
          </w:p>
        </w:tc>
      </w:tr>
      <w:tr w14:paraId="691D89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934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A5BB63">
            <w:pPr>
              <w:jc w:val="both"/>
            </w:pPr>
            <w:r>
              <w:rPr>
                <w:rFonts w:ascii="宋体" w:hAnsi="宋体" w:eastAsia="宋体"/>
                <w:sz w:val="16"/>
              </w:rPr>
              <w:t>该项目计划投入资金285万元，用于支付四笔费用，其中，1、支付2023年</w:t>
            </w:r>
            <w:r>
              <w:rPr>
                <w:rFonts w:hint="eastAsia" w:ascii="宋体" w:hAnsi="宋体"/>
                <w:sz w:val="16"/>
                <w:lang w:eastAsia="zh-CN"/>
              </w:rPr>
              <w:t>本单位</w:t>
            </w:r>
            <w:r>
              <w:rPr>
                <w:rFonts w:ascii="宋体" w:hAnsi="宋体" w:eastAsia="宋体"/>
                <w:sz w:val="16"/>
              </w:rPr>
              <w:t>对院内进行维修改造的工程尾款及公用经费92.46万元；2、保障县纪委监委及派出机构办案、办公等工作正常开展，做好后勤保障工作，弥补预算公用经费不足97.12万元；3、支付4月初开展2024年“趣味廉运动，共创廉洁风”春季趣味运动会购买相关物品的15.94万元；4、新增购置6辆</w:t>
            </w:r>
            <w:r>
              <w:rPr>
                <w:rFonts w:hint="eastAsia" w:ascii="宋体" w:hAnsi="宋体"/>
                <w:sz w:val="16"/>
                <w:lang w:val="en-US" w:eastAsia="zh-CN"/>
              </w:rPr>
              <w:t>车</w:t>
            </w:r>
            <w:r>
              <w:rPr>
                <w:rFonts w:ascii="宋体" w:hAnsi="宋体" w:eastAsia="宋体"/>
                <w:sz w:val="16"/>
              </w:rPr>
              <w:t>（1辆传祺E8悦享版插电式混动新能源车，18.48万元/辆，1辆红旗EQM5续航620km，18.48万元/辆，4辆比亚迪驱逐舰05DM-i-荣耀版120km豪华型插电式混动新能源车，10.63万元/辆），预算价共为79.48万元。该项目的实施，进一步提升纪检监察机关监督执纪能力水平，促进纪委监委各项工作正常、有效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2FD842">
            <w:pPr>
              <w:jc w:val="both"/>
            </w:pPr>
            <w:r>
              <w:rPr>
                <w:rFonts w:hint="eastAsia" w:ascii="宋体" w:hAnsi="宋体"/>
                <w:sz w:val="16"/>
                <w:lang w:eastAsia="zh-CN"/>
              </w:rPr>
              <w:t>截至</w:t>
            </w:r>
            <w:r>
              <w:rPr>
                <w:rFonts w:ascii="宋体" w:hAnsi="宋体" w:eastAsia="宋体"/>
                <w:sz w:val="16"/>
              </w:rPr>
              <w:t>2024年12月31日，该项目共计完成4笔费用，支付284.84万元，主要落实前后院绿地漫灌方式改成</w:t>
            </w:r>
            <w:r>
              <w:rPr>
                <w:rFonts w:hint="eastAsia" w:ascii="宋体" w:hAnsi="宋体"/>
                <w:sz w:val="16"/>
                <w:lang w:eastAsia="zh-CN"/>
              </w:rPr>
              <w:t>滴灌</w:t>
            </w:r>
            <w:r>
              <w:rPr>
                <w:rFonts w:ascii="宋体" w:hAnsi="宋体" w:eastAsia="宋体"/>
                <w:sz w:val="16"/>
              </w:rPr>
              <w:t>，新增购置6辆车，为“走读式”谈话场所保障人员提供的宿舍存在安全隐患的、破损情况严重的房屋进行改造装修及保障县纪委监委及派驻派出机构办案办公等工作正常开展，做好后勤保障工作，营造了良好的工作环境，单位各项工作正常高效运转得到有效保障、单位干部工作积极性显著提高。</w:t>
            </w:r>
          </w:p>
        </w:tc>
      </w:tr>
      <w:tr w14:paraId="4FBBCF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2DBB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616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82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C4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39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8D9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25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93B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D3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22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77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8B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57FE9">
            <w:pPr>
              <w:jc w:val="center"/>
            </w:pPr>
            <w:r>
              <w:rPr>
                <w:rFonts w:ascii="宋体" w:hAnsi="宋体" w:eastAsia="宋体"/>
                <w:sz w:val="16"/>
              </w:rPr>
              <w:t>偏差原因分析及改进措施</w:t>
            </w:r>
          </w:p>
        </w:tc>
      </w:tr>
      <w:tr w14:paraId="6EF339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5A2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AA97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81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9810">
            <w:pPr>
              <w:jc w:val="center"/>
            </w:pPr>
            <w:r>
              <w:rPr>
                <w:rFonts w:ascii="宋体" w:hAnsi="宋体" w:eastAsia="宋体"/>
                <w:sz w:val="16"/>
              </w:rPr>
              <w:t>支付费用笔数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C2EE">
            <w:pPr>
              <w:jc w:val="center"/>
            </w:pPr>
            <w:r>
              <w:rPr>
                <w:rFonts w:ascii="宋体" w:hAnsi="宋体" w:eastAsia="宋体"/>
                <w:sz w:val="16"/>
              </w:rPr>
              <w:t>=3笔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BF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46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36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66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92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7AFC">
            <w:pPr>
              <w:jc w:val="center"/>
            </w:pPr>
            <w:r>
              <w:rPr>
                <w:rFonts w:ascii="宋体" w:hAnsi="宋体" w:eastAsia="宋体"/>
                <w:sz w:val="16"/>
              </w:rPr>
              <w:t>=4笔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34C3">
            <w:pPr>
              <w:jc w:val="center"/>
            </w:pPr>
            <w:r>
              <w:rPr>
                <w:rFonts w:ascii="宋体" w:hAnsi="宋体" w:eastAsia="宋体"/>
                <w:sz w:val="16"/>
              </w:rPr>
              <w:t>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D527B">
            <w:pPr>
              <w:jc w:val="center"/>
            </w:pPr>
            <w:r>
              <w:rPr>
                <w:rFonts w:ascii="宋体" w:hAnsi="宋体" w:eastAsia="宋体"/>
                <w:sz w:val="16"/>
              </w:rPr>
              <w:t>偏差原因：年初设置目标时预估错误</w:t>
            </w:r>
          </w:p>
        </w:tc>
      </w:tr>
      <w:tr w14:paraId="1860B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1F6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913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25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8E4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D8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A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77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60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75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5B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8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45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DF0B4">
            <w:pPr>
              <w:jc w:val="center"/>
            </w:pPr>
          </w:p>
        </w:tc>
      </w:tr>
      <w:tr w14:paraId="32E7C8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5EC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FFA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076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A84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74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78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48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D7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42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EAE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58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53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5FE46">
            <w:pPr>
              <w:jc w:val="center"/>
            </w:pPr>
          </w:p>
        </w:tc>
      </w:tr>
      <w:tr w14:paraId="3FBD7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C76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72B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FD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D8D4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AF2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3E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67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6C1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705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BC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19E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51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85431">
            <w:pPr>
              <w:jc w:val="center"/>
            </w:pPr>
          </w:p>
        </w:tc>
      </w:tr>
      <w:tr w14:paraId="56C24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2A4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143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FB6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D1F0">
            <w:pPr>
              <w:jc w:val="center"/>
            </w:pPr>
            <w:r>
              <w:rPr>
                <w:rFonts w:ascii="宋体" w:hAnsi="宋体" w:eastAsia="宋体"/>
                <w:sz w:val="16"/>
              </w:rPr>
              <w:t>支付2023年</w:t>
            </w:r>
            <w:r>
              <w:rPr>
                <w:rFonts w:hint="eastAsia" w:ascii="宋体" w:hAnsi="宋体"/>
                <w:sz w:val="16"/>
                <w:lang w:eastAsia="zh-CN"/>
              </w:rPr>
              <w:t>本单位</w:t>
            </w:r>
            <w:r>
              <w:rPr>
                <w:rFonts w:ascii="宋体" w:hAnsi="宋体" w:eastAsia="宋体"/>
                <w:sz w:val="16"/>
              </w:rPr>
              <w:t>对院内进行维修改造的工程尾款成本及公用经费成本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8B13">
            <w:pPr>
              <w:jc w:val="center"/>
            </w:pPr>
            <w:r>
              <w:rPr>
                <w:rFonts w:ascii="宋体" w:hAnsi="宋体" w:eastAsia="宋体"/>
                <w:sz w:val="16"/>
              </w:rPr>
              <w:t>&lt;=92.46万元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5F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32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A3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2F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E6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4826">
            <w:pPr>
              <w:jc w:val="center"/>
            </w:pPr>
            <w:r>
              <w:rPr>
                <w:rFonts w:ascii="宋体" w:hAnsi="宋体" w:eastAsia="宋体"/>
                <w:sz w:val="16"/>
              </w:rPr>
              <w:t>=92.46万元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CC5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AE4E5">
            <w:pPr>
              <w:jc w:val="center"/>
            </w:pPr>
          </w:p>
        </w:tc>
      </w:tr>
      <w:tr w14:paraId="76A04C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A41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46F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F9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731C">
            <w:pPr>
              <w:jc w:val="center"/>
            </w:pPr>
            <w:r>
              <w:rPr>
                <w:rFonts w:ascii="宋体" w:hAnsi="宋体" w:eastAsia="宋体"/>
                <w:sz w:val="16"/>
              </w:rPr>
              <w:t>支付4月初开展2024年“趣味廉运动，共创廉洁风”春季趣味运动会购买相关物品成本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553B">
            <w:pPr>
              <w:jc w:val="center"/>
            </w:pPr>
            <w:r>
              <w:rPr>
                <w:rFonts w:ascii="宋体" w:hAnsi="宋体" w:eastAsia="宋体"/>
                <w:sz w:val="16"/>
              </w:rPr>
              <w:t>&lt;=15.94万元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F4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3D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FC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B1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58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0B67">
            <w:pPr>
              <w:jc w:val="center"/>
            </w:pPr>
            <w:r>
              <w:rPr>
                <w:rFonts w:ascii="宋体" w:hAnsi="宋体" w:eastAsia="宋体"/>
                <w:sz w:val="16"/>
              </w:rPr>
              <w:t>=15.94万元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153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E8BA1">
            <w:pPr>
              <w:jc w:val="center"/>
            </w:pPr>
          </w:p>
        </w:tc>
      </w:tr>
      <w:tr w14:paraId="6EAB59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77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4D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F72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5AED">
            <w:pPr>
              <w:jc w:val="center"/>
            </w:pPr>
            <w:r>
              <w:rPr>
                <w:rFonts w:ascii="宋体" w:hAnsi="宋体" w:eastAsia="宋体"/>
                <w:sz w:val="16"/>
              </w:rPr>
              <w:t>做好后勤保障工作，弥补预算公用经费不足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41C3">
            <w:pPr>
              <w:jc w:val="center"/>
            </w:pPr>
            <w:r>
              <w:rPr>
                <w:rFonts w:ascii="宋体" w:hAnsi="宋体" w:eastAsia="宋体"/>
                <w:sz w:val="16"/>
              </w:rPr>
              <w:t>&lt;=97.12万元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16B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D4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71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0F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16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40DA">
            <w:pPr>
              <w:jc w:val="center"/>
            </w:pPr>
            <w:r>
              <w:rPr>
                <w:rFonts w:ascii="宋体" w:hAnsi="宋体" w:eastAsia="宋体"/>
                <w:sz w:val="16"/>
              </w:rPr>
              <w:t>=96.96万元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D759">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BAB5D">
            <w:pPr>
              <w:jc w:val="center"/>
            </w:pPr>
            <w:r>
              <w:rPr>
                <w:rFonts w:ascii="宋体" w:hAnsi="宋体" w:eastAsia="宋体"/>
                <w:sz w:val="16"/>
              </w:rPr>
              <w:t>偏差原因：因沟通不及时、信息不畅通、没有认真核对相关数据，导致部分资金未能及时支付。改进措施：根据项目实际情况及时调整目标。</w:t>
            </w:r>
          </w:p>
        </w:tc>
      </w:tr>
      <w:tr w14:paraId="675E09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E5D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CA0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451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F16A">
            <w:pPr>
              <w:jc w:val="center"/>
              <w:rPr>
                <w:rFonts w:hint="eastAsia" w:eastAsia="宋体"/>
                <w:lang w:val="en-US" w:eastAsia="zh-CN"/>
              </w:rPr>
            </w:pPr>
            <w:r>
              <w:rPr>
                <w:rFonts w:ascii="宋体" w:hAnsi="宋体" w:eastAsia="宋体"/>
                <w:sz w:val="16"/>
              </w:rPr>
              <w:t>新增购置车</w:t>
            </w:r>
            <w:r>
              <w:rPr>
                <w:rFonts w:hint="eastAsia" w:ascii="宋体" w:hAnsi="宋体"/>
                <w:sz w:val="16"/>
                <w:lang w:val="en-US" w:eastAsia="zh-CN"/>
              </w:rPr>
              <w:t>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D895">
            <w:pPr>
              <w:jc w:val="center"/>
            </w:pPr>
            <w:r>
              <w:rPr>
                <w:rFonts w:ascii="宋体" w:hAnsi="宋体" w:eastAsia="宋体"/>
                <w:sz w:val="16"/>
              </w:rPr>
              <w:t>&lt;=79.48万元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AB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2C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BD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FD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3E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434B">
            <w:pPr>
              <w:jc w:val="center"/>
            </w:pPr>
            <w:r>
              <w:rPr>
                <w:rFonts w:ascii="宋体" w:hAnsi="宋体" w:eastAsia="宋体"/>
                <w:sz w:val="16"/>
              </w:rPr>
              <w:t>=79.48万元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7E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20B04">
            <w:pPr>
              <w:jc w:val="center"/>
            </w:pPr>
          </w:p>
        </w:tc>
      </w:tr>
      <w:tr w14:paraId="40A89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27D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7B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34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0668">
            <w:pPr>
              <w:jc w:val="center"/>
            </w:pPr>
            <w:r>
              <w:rPr>
                <w:rFonts w:ascii="宋体" w:hAnsi="宋体" w:eastAsia="宋体"/>
                <w:sz w:val="16"/>
              </w:rPr>
              <w:t>保障单位正常高效运转，提高干部积极性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063D">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8B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02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AEB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75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1A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F72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A7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B3D99">
            <w:pPr>
              <w:jc w:val="center"/>
            </w:pPr>
          </w:p>
        </w:tc>
      </w:tr>
      <w:tr w14:paraId="1EF66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6E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A8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AB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E3148">
            <w:pPr>
              <w:jc w:val="center"/>
            </w:pPr>
            <w:r>
              <w:rPr>
                <w:rFonts w:ascii="宋体" w:hAnsi="宋体" w:eastAsia="宋体"/>
                <w:sz w:val="16"/>
              </w:rPr>
              <w:t>受益单位人员满意度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63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8E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A1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5B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F1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CD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D3CD2">
            <w:pPr>
              <w:jc w:val="center"/>
            </w:pPr>
            <w:r>
              <w:rPr>
                <w:rFonts w:ascii="宋体" w:hAnsi="宋体" w:eastAsia="宋体"/>
                <w:sz w:val="16"/>
              </w:rPr>
              <w:t>=96.67%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65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F2ED0">
            <w:pPr>
              <w:jc w:val="center"/>
            </w:pPr>
            <w:r>
              <w:rPr>
                <w:rFonts w:ascii="宋体" w:hAnsi="宋体" w:eastAsia="宋体"/>
                <w:sz w:val="16"/>
              </w:rPr>
              <w:t>偏差原因：年初目标设置偏低，导致指标实际完成值与预期目标值之间存在合理偏差。改进措施：以后年度根据项目实际情况设置指标预期目标值。</w:t>
            </w:r>
          </w:p>
        </w:tc>
      </w:tr>
      <w:tr w14:paraId="67CC188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FAAB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01B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6E2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CD82">
            <w:pPr>
              <w:jc w:val="center"/>
            </w:pPr>
            <w:r>
              <w:rPr>
                <w:rFonts w:ascii="宋体" w:hAnsi="宋体" w:eastAsia="宋体"/>
                <w:sz w:val="16"/>
              </w:rPr>
              <w:t>96.65分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D61F44"/>
        </w:tc>
      </w:tr>
    </w:tbl>
    <w:p w14:paraId="0A9254E0">
      <w:r>
        <w:br w:type="page"/>
      </w:r>
    </w:p>
    <w:p w14:paraId="230FE5D7">
      <w:pPr>
        <w:spacing w:line="640" w:lineRule="exact"/>
        <w:ind w:firstLine="640"/>
        <w:jc w:val="both"/>
        <w:outlineLvl w:val="2"/>
      </w:pPr>
      <w:r>
        <w:rPr>
          <w:rFonts w:ascii="黑体" w:hAnsi="黑体" w:eastAsia="黑体"/>
          <w:sz w:val="32"/>
        </w:rPr>
        <w:t>十二、其他需说明的事项</w:t>
      </w:r>
    </w:p>
    <w:p w14:paraId="435BF34C">
      <w:pPr>
        <w:spacing w:line="580" w:lineRule="exact"/>
        <w:ind w:firstLine="640"/>
        <w:jc w:val="both"/>
      </w:pPr>
      <w:r>
        <w:rPr>
          <w:rFonts w:ascii="仿宋_GB2312" w:hAnsi="仿宋_GB2312" w:eastAsia="仿宋_GB2312"/>
          <w:b w:val="0"/>
          <w:sz w:val="32"/>
        </w:rPr>
        <w:t>本年本单位SM项目1个，全年预算数143.00万元，全年执行数143.00万元。</w:t>
      </w:r>
    </w:p>
    <w:p w14:paraId="0BCE3410">
      <w:r>
        <w:br w:type="page"/>
      </w:r>
    </w:p>
    <w:p w14:paraId="3165E604">
      <w:pPr>
        <w:spacing w:line="240" w:lineRule="auto"/>
        <w:jc w:val="center"/>
        <w:outlineLvl w:val="1"/>
      </w:pPr>
      <w:r>
        <w:rPr>
          <w:rFonts w:ascii="黑体" w:hAnsi="黑体" w:eastAsia="黑体"/>
          <w:sz w:val="32"/>
        </w:rPr>
        <w:t>第三部分 专业名词解释</w:t>
      </w:r>
    </w:p>
    <w:p w14:paraId="597DE3D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B4965D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F2947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C225B2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792C4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F3528A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A58AD6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BC1BC5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C111B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51F694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A52EEB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BD0146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64B0D8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E6E75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3B300C1">
      <w:r>
        <w:br w:type="page"/>
      </w:r>
    </w:p>
    <w:p w14:paraId="32089A44">
      <w:pPr>
        <w:spacing w:line="240" w:lineRule="auto"/>
        <w:jc w:val="center"/>
        <w:outlineLvl w:val="1"/>
      </w:pPr>
      <w:r>
        <w:rPr>
          <w:rFonts w:ascii="黑体" w:hAnsi="黑体" w:eastAsia="黑体"/>
          <w:sz w:val="32"/>
        </w:rPr>
        <w:t>第四部分 部门决算报表（见附表）</w:t>
      </w:r>
    </w:p>
    <w:p w14:paraId="6CC40AC0">
      <w:pPr>
        <w:spacing w:line="240" w:lineRule="auto"/>
        <w:ind w:firstLine="640"/>
        <w:jc w:val="both"/>
      </w:pPr>
      <w:r>
        <w:rPr>
          <w:rFonts w:ascii="仿宋_GB2312" w:hAnsi="仿宋_GB2312" w:eastAsia="仿宋_GB2312"/>
          <w:b w:val="0"/>
          <w:sz w:val="32"/>
        </w:rPr>
        <w:t>一、《收入支出决算总表》</w:t>
      </w:r>
    </w:p>
    <w:p w14:paraId="4279D171">
      <w:pPr>
        <w:spacing w:line="240" w:lineRule="auto"/>
        <w:ind w:firstLine="640"/>
        <w:jc w:val="both"/>
      </w:pPr>
      <w:r>
        <w:rPr>
          <w:rFonts w:ascii="仿宋_GB2312" w:hAnsi="仿宋_GB2312" w:eastAsia="仿宋_GB2312"/>
          <w:b w:val="0"/>
          <w:sz w:val="32"/>
        </w:rPr>
        <w:t>二、《收入决算表》</w:t>
      </w:r>
    </w:p>
    <w:p w14:paraId="33A6D57F">
      <w:pPr>
        <w:spacing w:line="240" w:lineRule="auto"/>
        <w:ind w:firstLine="640"/>
        <w:jc w:val="both"/>
      </w:pPr>
      <w:r>
        <w:rPr>
          <w:rFonts w:ascii="仿宋_GB2312" w:hAnsi="仿宋_GB2312" w:eastAsia="仿宋_GB2312"/>
          <w:b w:val="0"/>
          <w:sz w:val="32"/>
        </w:rPr>
        <w:t>三、《支出决算表》</w:t>
      </w:r>
    </w:p>
    <w:p w14:paraId="54BA2980">
      <w:pPr>
        <w:spacing w:line="240" w:lineRule="auto"/>
        <w:ind w:firstLine="640"/>
        <w:jc w:val="both"/>
      </w:pPr>
      <w:r>
        <w:rPr>
          <w:rFonts w:ascii="仿宋_GB2312" w:hAnsi="仿宋_GB2312" w:eastAsia="仿宋_GB2312"/>
          <w:b w:val="0"/>
          <w:sz w:val="32"/>
        </w:rPr>
        <w:t>四、《财政拨款收入支出决算总表》</w:t>
      </w:r>
    </w:p>
    <w:p w14:paraId="352BB2D2">
      <w:pPr>
        <w:spacing w:line="240" w:lineRule="auto"/>
        <w:ind w:firstLine="640"/>
        <w:jc w:val="both"/>
      </w:pPr>
      <w:r>
        <w:rPr>
          <w:rFonts w:ascii="仿宋_GB2312" w:hAnsi="仿宋_GB2312" w:eastAsia="仿宋_GB2312"/>
          <w:b w:val="0"/>
          <w:sz w:val="32"/>
        </w:rPr>
        <w:t>五、《一般公共预算财政拨款支出决算表》</w:t>
      </w:r>
    </w:p>
    <w:p w14:paraId="385BB751">
      <w:pPr>
        <w:spacing w:line="240" w:lineRule="auto"/>
        <w:ind w:firstLine="640"/>
        <w:jc w:val="both"/>
      </w:pPr>
      <w:r>
        <w:rPr>
          <w:rFonts w:ascii="仿宋_GB2312" w:hAnsi="仿宋_GB2312" w:eastAsia="仿宋_GB2312"/>
          <w:b w:val="0"/>
          <w:sz w:val="32"/>
        </w:rPr>
        <w:t>六、《一般公共预算财政拨款基本支出决算表》</w:t>
      </w:r>
    </w:p>
    <w:p w14:paraId="4F6E0548">
      <w:pPr>
        <w:spacing w:line="240" w:lineRule="auto"/>
        <w:ind w:firstLine="640"/>
        <w:jc w:val="both"/>
      </w:pPr>
      <w:r>
        <w:rPr>
          <w:rFonts w:ascii="仿宋_GB2312" w:hAnsi="仿宋_GB2312" w:eastAsia="仿宋_GB2312"/>
          <w:b w:val="0"/>
          <w:sz w:val="32"/>
        </w:rPr>
        <w:t>七、《政府性基金预算财政拨款收入支出决算表》</w:t>
      </w:r>
    </w:p>
    <w:p w14:paraId="337D6BBC">
      <w:pPr>
        <w:spacing w:line="240" w:lineRule="auto"/>
        <w:ind w:firstLine="640"/>
        <w:jc w:val="both"/>
      </w:pPr>
      <w:r>
        <w:rPr>
          <w:rFonts w:ascii="仿宋_GB2312" w:hAnsi="仿宋_GB2312" w:eastAsia="仿宋_GB2312"/>
          <w:b w:val="0"/>
          <w:sz w:val="32"/>
        </w:rPr>
        <w:t>八、《国有资本经营预算财政拨款收入支出决算表》</w:t>
      </w:r>
    </w:p>
    <w:p w14:paraId="7B51CB6D">
      <w:pPr>
        <w:spacing w:line="240" w:lineRule="auto"/>
        <w:ind w:firstLine="640"/>
        <w:jc w:val="both"/>
      </w:pPr>
      <w:r>
        <w:rPr>
          <w:rFonts w:ascii="仿宋_GB2312" w:hAnsi="仿宋_GB2312" w:eastAsia="仿宋_GB2312"/>
          <w:b w:val="0"/>
          <w:sz w:val="32"/>
        </w:rPr>
        <w:t>九、《财政拨款“三公”经费支出决算表》</w:t>
      </w:r>
    </w:p>
    <w:p w14:paraId="25FE46CC">
      <w:pPr>
        <w:spacing w:line="240" w:lineRule="auto"/>
        <w:ind w:firstLine="640"/>
        <w:jc w:val="both"/>
      </w:pPr>
    </w:p>
    <w:p w14:paraId="24F100AC">
      <w:pPr>
        <w:spacing w:line="240" w:lineRule="auto"/>
        <w:ind w:firstLine="640"/>
        <w:jc w:val="both"/>
      </w:pPr>
    </w:p>
    <w:p w14:paraId="61263795">
      <w:pPr>
        <w:spacing w:line="240" w:lineRule="auto"/>
        <w:ind w:firstLine="640"/>
        <w:jc w:val="both"/>
      </w:pPr>
    </w:p>
    <w:p w14:paraId="716DB0EB">
      <w:pPr>
        <w:spacing w:line="240" w:lineRule="auto"/>
        <w:ind w:firstLine="640"/>
        <w:jc w:val="both"/>
      </w:pPr>
    </w:p>
    <w:p w14:paraId="22B9D55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E450AA-0B9C-418F-8364-E37F9260E53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E673967-C486-4981-9CEE-78FF16FFDFE2}"/>
  </w:font>
  <w:font w:name="仿宋_GB2312">
    <w:panose1 w:val="02010609030101010101"/>
    <w:charset w:val="86"/>
    <w:family w:val="auto"/>
    <w:pitch w:val="default"/>
    <w:sig w:usb0="00000001" w:usb1="080E0000" w:usb2="00000000" w:usb3="00000000" w:csb0="00040000" w:csb1="00000000"/>
    <w:embedRegular r:id="rId3" w:fontKey="{56E076B4-CAE0-4313-AB77-2B56C9CC6901}"/>
  </w:font>
  <w:font w:name="楷体_GB2312">
    <w:panose1 w:val="02010609030101010101"/>
    <w:charset w:val="86"/>
    <w:family w:val="auto"/>
    <w:pitch w:val="default"/>
    <w:sig w:usb0="00000001" w:usb1="080E0000" w:usb2="00000000" w:usb3="00000000" w:csb0="00040000" w:csb1="00000000"/>
    <w:embedRegular r:id="rId4" w:fontKey="{AB76F32E-B111-4F1F-B0F4-110E02FC1B4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6F60F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1C08A4"/>
    <w:rsid w:val="2241392C"/>
    <w:rsid w:val="23BC04D2"/>
    <w:rsid w:val="25275618"/>
    <w:rsid w:val="2560231B"/>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6C330C"/>
    <w:rsid w:val="68DB0208"/>
    <w:rsid w:val="68DF36D5"/>
    <w:rsid w:val="69846A0E"/>
    <w:rsid w:val="69AD798C"/>
    <w:rsid w:val="69F16147"/>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5470</Words>
  <Characters>6264</Characters>
  <Lines>0</Lines>
  <Paragraphs>0</Paragraphs>
  <TotalTime>3</TotalTime>
  <ScaleCrop>false</ScaleCrop>
  <LinksUpToDate>false</LinksUpToDate>
  <CharactersWithSpaces>6272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2025-11-05T01:51:18Z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