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中国人民政治协商会议英吉沙县委员会办公室2024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6D56550">
      <w:r>
        <w:br w:type="page"/>
      </w:r>
    </w:p>
    <w:p w14:paraId="52560815">
      <w:pPr>
        <w:spacing w:line="640" w:lineRule="exact"/>
        <w:jc w:val="center"/>
        <w:outlineLvl w:val="1"/>
      </w:pPr>
      <w:r>
        <w:rPr>
          <w:rFonts w:ascii="黑体" w:hAnsi="黑体" w:eastAsia="黑体"/>
          <w:sz w:val="32"/>
        </w:rPr>
        <w:t>第一部分 单位概况</w:t>
      </w:r>
    </w:p>
    <w:p w14:paraId="50BB20B7">
      <w:pPr>
        <w:spacing w:line="640" w:lineRule="exact"/>
        <w:ind w:firstLine="640"/>
        <w:jc w:val="both"/>
        <w:outlineLvl w:val="2"/>
      </w:pPr>
      <w:r>
        <w:rPr>
          <w:rFonts w:ascii="黑体" w:hAnsi="黑体" w:eastAsia="黑体"/>
          <w:sz w:val="32"/>
        </w:rPr>
        <w:t>一、主要职能</w:t>
      </w:r>
    </w:p>
    <w:p w14:paraId="663FD2EF">
      <w:pPr>
        <w:spacing w:line="580" w:lineRule="exact"/>
        <w:ind w:firstLine="640"/>
        <w:jc w:val="both"/>
      </w:pPr>
      <w:r>
        <w:rPr>
          <w:rFonts w:ascii="仿宋_GB2312" w:hAnsi="仿宋_GB2312" w:eastAsia="仿宋_GB2312"/>
          <w:sz w:val="32"/>
        </w:rPr>
        <w:t>中国人民政治协商会议英吉沙县委员会办公室（简称：政协英吉沙县委员会办公室），行政单位，是中国人民爱国统一战线的组织，是中国共产党领导的多党合作和政治协商的重要机构，是中国政治生活中</w:t>
      </w:r>
      <w:r>
        <w:rPr>
          <w:rFonts w:hint="eastAsia" w:ascii="仿宋_GB2312" w:hAnsi="仿宋_GB2312" w:eastAsia="仿宋_GB2312"/>
          <w:sz w:val="32"/>
        </w:rPr>
        <w:t>弘扬</w:t>
      </w:r>
      <w:r>
        <w:rPr>
          <w:rFonts w:ascii="仿宋_GB2312" w:hAnsi="仿宋_GB2312" w:eastAsia="仿宋_GB2312"/>
          <w:sz w:val="32"/>
        </w:rPr>
        <w:t>社会主义民主的一种重要形式。</w:t>
      </w:r>
    </w:p>
    <w:p w14:paraId="4A9BF118">
      <w:pPr>
        <w:spacing w:line="580" w:lineRule="exact"/>
        <w:ind w:firstLine="640"/>
        <w:jc w:val="both"/>
      </w:pPr>
      <w:r>
        <w:rPr>
          <w:rFonts w:ascii="仿宋_GB2312" w:hAnsi="仿宋_GB2312" w:eastAsia="仿宋_GB2312"/>
          <w:sz w:val="32"/>
        </w:rPr>
        <w:t>（1）围绕政协中心工作，充分发挥</w:t>
      </w:r>
      <w:r>
        <w:rPr>
          <w:rFonts w:hint="eastAsia" w:ascii="仿宋_GB2312" w:hAnsi="仿宋_GB2312" w:eastAsia="仿宋_GB2312"/>
          <w:sz w:val="32"/>
          <w:lang w:eastAsia="zh-CN"/>
        </w:rPr>
        <w:t>政治协商、民主监督、参政议政</w:t>
      </w:r>
      <w:r>
        <w:rPr>
          <w:rFonts w:ascii="仿宋_GB2312" w:hAnsi="仿宋_GB2312" w:eastAsia="仿宋_GB2312"/>
          <w:sz w:val="32"/>
        </w:rPr>
        <w:t>职能作用，结合“四室两委”工作分工，聚焦“1+6”工作，根据工作需要统筹规范管理政协财务，并合理配置资源，做好年度财务正常运营。</w:t>
      </w:r>
    </w:p>
    <w:p w14:paraId="35F98635">
      <w:pPr>
        <w:spacing w:line="580" w:lineRule="exact"/>
        <w:ind w:firstLine="640"/>
        <w:jc w:val="both"/>
      </w:pPr>
      <w:r>
        <w:rPr>
          <w:rFonts w:ascii="仿宋_GB2312" w:hAnsi="仿宋_GB2312" w:eastAsia="仿宋_GB2312"/>
          <w:sz w:val="32"/>
        </w:rPr>
        <w:t>（2）围绕县委各个时期的中心工作和群众关注的重大问题，开展调查研究，做好反映社情民意的工作。</w:t>
      </w:r>
    </w:p>
    <w:p w14:paraId="57389C22">
      <w:pPr>
        <w:spacing w:line="580" w:lineRule="exact"/>
        <w:ind w:firstLine="640"/>
        <w:jc w:val="both"/>
      </w:pPr>
      <w:r>
        <w:rPr>
          <w:rFonts w:ascii="仿宋_GB2312" w:hAnsi="仿宋_GB2312" w:eastAsia="仿宋_GB2312"/>
          <w:sz w:val="32"/>
        </w:rPr>
        <w:t>（3）为各族各界政协委员服务，负责委员会和党组召开的各例会议的组织、筹备、文件起草及决定事项的落实工作。</w:t>
      </w:r>
    </w:p>
    <w:p w14:paraId="2373E640">
      <w:pPr>
        <w:spacing w:line="640" w:lineRule="exact"/>
        <w:ind w:firstLine="640"/>
        <w:jc w:val="both"/>
        <w:outlineLvl w:val="2"/>
      </w:pPr>
      <w:r>
        <w:rPr>
          <w:rFonts w:ascii="黑体" w:hAnsi="黑体" w:eastAsia="黑体"/>
          <w:sz w:val="32"/>
        </w:rPr>
        <w:t>二、机构设置及人员情况</w:t>
      </w:r>
    </w:p>
    <w:p w14:paraId="3BC65A92">
      <w:pPr>
        <w:spacing w:line="580" w:lineRule="exact"/>
        <w:ind w:firstLine="640"/>
        <w:jc w:val="both"/>
      </w:pPr>
      <w:r>
        <w:rPr>
          <w:rFonts w:ascii="仿宋_GB2312" w:hAnsi="仿宋_GB2312" w:eastAsia="仿宋_GB2312"/>
          <w:sz w:val="32"/>
        </w:rPr>
        <w:t>中国人民政治协商会议英吉沙县委员会办公室2024年度，实有人数36人，其中：在职人员17人，增加1人；离休人员0人，增加0人；退休人员19人,减少1人。</w:t>
      </w:r>
    </w:p>
    <w:p w14:paraId="5C1AD3D8">
      <w:pPr>
        <w:spacing w:line="580" w:lineRule="exact"/>
        <w:ind w:firstLine="640"/>
        <w:jc w:val="both"/>
      </w:pPr>
      <w:r>
        <w:rPr>
          <w:rFonts w:ascii="仿宋_GB2312" w:hAnsi="仿宋_GB2312" w:eastAsia="仿宋_GB2312"/>
          <w:sz w:val="32"/>
        </w:rPr>
        <w:t>中国人民政治协商会议英吉沙县委员会办公室无下属预算单位，下设4个科室，分别是：经科教文卫委员会办公室、提案委员会办公室、民族</w:t>
      </w:r>
      <w:r>
        <w:rPr>
          <w:rFonts w:hint="eastAsia" w:ascii="仿宋_GB2312" w:hAnsi="仿宋_GB2312" w:eastAsia="仿宋_GB2312"/>
          <w:sz w:val="32"/>
          <w:lang w:eastAsia="zh-CN"/>
        </w:rPr>
        <w:t>ZJ</w:t>
      </w:r>
      <w:r>
        <w:rPr>
          <w:rFonts w:ascii="仿宋_GB2312" w:hAnsi="仿宋_GB2312" w:eastAsia="仿宋_GB2312"/>
          <w:sz w:val="32"/>
        </w:rPr>
        <w:t>法制委员会办公室、宣传文史学习</w:t>
      </w:r>
      <w:r>
        <w:rPr>
          <w:rFonts w:hint="eastAsia" w:ascii="仿宋_GB2312" w:hAnsi="仿宋_GB2312" w:eastAsia="仿宋_GB2312"/>
          <w:sz w:val="32"/>
          <w:lang w:eastAsia="zh-CN"/>
        </w:rPr>
        <w:t>委员会</w:t>
      </w:r>
      <w:r>
        <w:rPr>
          <w:rFonts w:ascii="仿宋_GB2312" w:hAnsi="仿宋_GB2312" w:eastAsia="仿宋_GB2312"/>
          <w:sz w:val="32"/>
        </w:rPr>
        <w:t>办公室。</w:t>
      </w:r>
    </w:p>
    <w:p w14:paraId="7DD0AFE5">
      <w:r>
        <w:br w:type="page"/>
      </w:r>
    </w:p>
    <w:p w14:paraId="1D10B0EC">
      <w:pPr>
        <w:spacing w:line="240" w:lineRule="auto"/>
        <w:jc w:val="center"/>
        <w:outlineLvl w:val="1"/>
      </w:pPr>
      <w:r>
        <w:rPr>
          <w:rFonts w:ascii="黑体" w:hAnsi="黑体" w:eastAsia="黑体"/>
          <w:sz w:val="32"/>
        </w:rPr>
        <w:t>第二部分 部门决算情况说明</w:t>
      </w:r>
    </w:p>
    <w:p w14:paraId="75C9BC2D">
      <w:pPr>
        <w:spacing w:line="640" w:lineRule="exact"/>
        <w:ind w:firstLine="640"/>
        <w:jc w:val="both"/>
        <w:outlineLvl w:val="2"/>
      </w:pPr>
      <w:r>
        <w:rPr>
          <w:rFonts w:ascii="黑体" w:hAnsi="黑体" w:eastAsia="黑体"/>
          <w:sz w:val="32"/>
        </w:rPr>
        <w:t>一、收入支出决算总体情况说明</w:t>
      </w:r>
    </w:p>
    <w:p w14:paraId="216250E4">
      <w:pPr>
        <w:spacing w:line="580" w:lineRule="exact"/>
        <w:ind w:firstLine="640"/>
        <w:jc w:val="both"/>
      </w:pPr>
      <w:r>
        <w:rPr>
          <w:rFonts w:ascii="仿宋_GB2312" w:hAnsi="仿宋_GB2312" w:eastAsia="仿宋_GB2312"/>
          <w:b/>
          <w:sz w:val="32"/>
        </w:rPr>
        <w:t>2024年度收入总计483.73万元，</w:t>
      </w:r>
      <w:r>
        <w:rPr>
          <w:rFonts w:ascii="仿宋_GB2312" w:hAnsi="仿宋_GB2312" w:eastAsia="仿宋_GB2312"/>
          <w:b w:val="0"/>
          <w:sz w:val="32"/>
        </w:rPr>
        <w:t>其中：本年收入合计483.73万元，使用非财政拨款结余（含专用结余）0.00万元，年初结转和结余0.00万元。</w:t>
      </w:r>
    </w:p>
    <w:p w14:paraId="7849823F">
      <w:pPr>
        <w:spacing w:line="580" w:lineRule="exact"/>
        <w:ind w:firstLine="640"/>
        <w:jc w:val="both"/>
      </w:pPr>
      <w:r>
        <w:rPr>
          <w:rFonts w:ascii="仿宋_GB2312" w:hAnsi="仿宋_GB2312" w:eastAsia="仿宋_GB2312"/>
          <w:b/>
          <w:sz w:val="32"/>
        </w:rPr>
        <w:t>2024年度支出总计483.73万元，</w:t>
      </w:r>
      <w:r>
        <w:rPr>
          <w:rFonts w:ascii="仿宋_GB2312" w:hAnsi="仿宋_GB2312" w:eastAsia="仿宋_GB2312"/>
          <w:b w:val="0"/>
          <w:sz w:val="32"/>
        </w:rPr>
        <w:t>其中：本年支出合计483.73万元，结余分配0.00万元，年末结转和结余0.00万元。</w:t>
      </w:r>
    </w:p>
    <w:p w14:paraId="20ADA741">
      <w:pPr>
        <w:spacing w:line="580" w:lineRule="exact"/>
        <w:ind w:firstLine="640"/>
        <w:jc w:val="both"/>
      </w:pPr>
      <w:r>
        <w:rPr>
          <w:rFonts w:ascii="仿宋_GB2312" w:hAnsi="仿宋_GB2312" w:eastAsia="仿宋_GB2312"/>
          <w:b w:val="0"/>
          <w:sz w:val="32"/>
        </w:rPr>
        <w:t>收入支出总体与上年相比，增加76.99万元，增长18.93%，主要原因是：本年在职人员增加，相关人员经费增加，政协委员干部履职能力提升研修班项目资金较上年增加，导致经费较上年增加。</w:t>
      </w:r>
    </w:p>
    <w:p w14:paraId="18EF8B0B">
      <w:pPr>
        <w:spacing w:line="640" w:lineRule="exact"/>
        <w:ind w:firstLine="640"/>
        <w:jc w:val="both"/>
        <w:outlineLvl w:val="2"/>
      </w:pPr>
      <w:r>
        <w:rPr>
          <w:rFonts w:ascii="黑体" w:hAnsi="黑体" w:eastAsia="黑体"/>
          <w:sz w:val="32"/>
        </w:rPr>
        <w:t>二、收入决算情况说明</w:t>
      </w:r>
    </w:p>
    <w:p w14:paraId="1CCBA0FC">
      <w:pPr>
        <w:spacing w:line="580" w:lineRule="exact"/>
        <w:ind w:firstLine="640"/>
        <w:jc w:val="both"/>
      </w:pPr>
      <w:r>
        <w:rPr>
          <w:rFonts w:ascii="仿宋_GB2312" w:hAnsi="仿宋_GB2312" w:eastAsia="仿宋_GB2312"/>
          <w:b/>
          <w:sz w:val="32"/>
        </w:rPr>
        <w:t>本年收入483.73万元，</w:t>
      </w:r>
      <w:r>
        <w:rPr>
          <w:rFonts w:ascii="仿宋_GB2312" w:hAnsi="仿宋_GB2312" w:eastAsia="仿宋_GB2312"/>
          <w:b w:val="0"/>
          <w:sz w:val="32"/>
        </w:rPr>
        <w:t>其中：财政拨款收入440.56万元，占91.08%；上级补助收入0.00万元，占0.00%；事业收入0.00万元，占0.00%；经营收入0.00万元，占0.00%；附属单位上缴收入0.00万元，占0.00%；其他收入43.17万元，占8.92%。</w:t>
      </w:r>
    </w:p>
    <w:p w14:paraId="150C1D4C">
      <w:pPr>
        <w:spacing w:line="640" w:lineRule="exact"/>
        <w:ind w:firstLine="640"/>
        <w:jc w:val="both"/>
        <w:outlineLvl w:val="2"/>
      </w:pPr>
      <w:r>
        <w:rPr>
          <w:rFonts w:ascii="黑体" w:hAnsi="黑体" w:eastAsia="黑体"/>
          <w:sz w:val="32"/>
        </w:rPr>
        <w:t>三、支出决算情况说明</w:t>
      </w:r>
    </w:p>
    <w:p w14:paraId="2E889E3A">
      <w:pPr>
        <w:spacing w:line="580" w:lineRule="exact"/>
        <w:ind w:firstLine="640"/>
        <w:jc w:val="both"/>
      </w:pPr>
      <w:r>
        <w:rPr>
          <w:rFonts w:ascii="仿宋_GB2312" w:hAnsi="仿宋_GB2312" w:eastAsia="仿宋_GB2312"/>
          <w:b/>
          <w:sz w:val="32"/>
        </w:rPr>
        <w:t>本年支出483.73万元，</w:t>
      </w:r>
      <w:r>
        <w:rPr>
          <w:rFonts w:ascii="仿宋_GB2312" w:hAnsi="仿宋_GB2312" w:eastAsia="仿宋_GB2312"/>
          <w:b w:val="0"/>
          <w:sz w:val="32"/>
        </w:rPr>
        <w:t>其中：基本支出435.56万元，占90.04%；项目支出48.17万元，占9.96%；上缴上级支出0.00万元，占0.00%；经营支出0.00万元，占0.00%；对附属单位补助支出0.00万元，占0.00%。</w:t>
      </w:r>
    </w:p>
    <w:p w14:paraId="3FA61402">
      <w:pPr>
        <w:spacing w:line="640" w:lineRule="exact"/>
        <w:ind w:firstLine="640"/>
        <w:jc w:val="both"/>
        <w:outlineLvl w:val="2"/>
      </w:pPr>
      <w:r>
        <w:rPr>
          <w:rFonts w:ascii="黑体" w:hAnsi="黑体" w:eastAsia="黑体"/>
          <w:sz w:val="32"/>
        </w:rPr>
        <w:t>四、财政拨款收入支出决算总体情况说明</w:t>
      </w:r>
    </w:p>
    <w:p w14:paraId="1F8490FB">
      <w:pPr>
        <w:spacing w:line="580" w:lineRule="exact"/>
        <w:ind w:firstLine="640"/>
        <w:jc w:val="both"/>
      </w:pPr>
      <w:r>
        <w:rPr>
          <w:rFonts w:ascii="仿宋_GB2312" w:hAnsi="仿宋_GB2312" w:eastAsia="仿宋_GB2312"/>
          <w:b/>
          <w:sz w:val="32"/>
        </w:rPr>
        <w:t>2024年度财政拨款收入总计440.56万元，</w:t>
      </w:r>
      <w:r>
        <w:rPr>
          <w:rFonts w:ascii="仿宋_GB2312" w:hAnsi="仿宋_GB2312" w:eastAsia="仿宋_GB2312"/>
          <w:b w:val="0"/>
          <w:sz w:val="32"/>
        </w:rPr>
        <w:t>其中：年初财政拨款结转和结余0.00万元，本年财政拨款收入440.56万元。</w:t>
      </w:r>
      <w:r>
        <w:rPr>
          <w:rFonts w:ascii="仿宋_GB2312" w:hAnsi="仿宋_GB2312" w:eastAsia="仿宋_GB2312"/>
          <w:b/>
          <w:sz w:val="32"/>
        </w:rPr>
        <w:t>财政拨款支出总计440.56万元，</w:t>
      </w:r>
      <w:r>
        <w:rPr>
          <w:rFonts w:ascii="仿宋_GB2312" w:hAnsi="仿宋_GB2312" w:eastAsia="仿宋_GB2312"/>
          <w:b w:val="0"/>
          <w:sz w:val="32"/>
        </w:rPr>
        <w:t>其中：年末财政拨款结转和结余0.00万元，本年财政拨款支出440.56万元。</w:t>
      </w:r>
    </w:p>
    <w:p w14:paraId="3E38846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增加33.82万元，增长8.31%，主要原因是：本年在职人员工资调增，社保、公积金基数调增，人员经费增加。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年初预算数363.54万元，决算数440.56万元，预决算差异率21.19%，主要原因是：年中追加人员工资、社保、公积金基数调增部分资金，导致预决算存在差异。</w:t>
      </w:r>
    </w:p>
    <w:p w14:paraId="41C529CE">
      <w:pPr>
        <w:spacing w:line="640" w:lineRule="exact"/>
        <w:ind w:firstLine="640"/>
        <w:jc w:val="both"/>
        <w:outlineLvl w:val="2"/>
      </w:pPr>
      <w:r>
        <w:rPr>
          <w:rFonts w:ascii="黑体" w:hAnsi="黑体" w:eastAsia="黑体"/>
          <w:sz w:val="32"/>
        </w:rPr>
        <w:t>五、一般公共预算财政拨款支出决算情况说明</w:t>
      </w:r>
    </w:p>
    <w:p w14:paraId="4C188F49">
      <w:pPr>
        <w:spacing w:line="640" w:lineRule="exact"/>
        <w:ind w:firstLine="640"/>
        <w:jc w:val="both"/>
        <w:outlineLvl w:val="3"/>
      </w:pPr>
      <w:r>
        <w:rPr>
          <w:rFonts w:ascii="楷体_GB2312" w:hAnsi="楷体_GB2312" w:eastAsia="楷体_GB2312"/>
          <w:b/>
          <w:sz w:val="32"/>
        </w:rPr>
        <w:t>（一）一般公共预算财政拨款支出决算总体情况</w:t>
      </w:r>
    </w:p>
    <w:p w14:paraId="3275C4F4">
      <w:pPr>
        <w:spacing w:line="580" w:lineRule="exact"/>
        <w:ind w:firstLine="640"/>
        <w:jc w:val="both"/>
      </w:pPr>
      <w:r>
        <w:rPr>
          <w:rFonts w:ascii="仿宋_GB2312" w:hAnsi="仿宋_GB2312" w:eastAsia="仿宋_GB2312"/>
          <w:b/>
          <w:sz w:val="32"/>
        </w:rPr>
        <w:t>2024年度一般公共预算财政拨款支出440.56万元，</w:t>
      </w:r>
      <w:r>
        <w:rPr>
          <w:rFonts w:ascii="仿宋_GB2312" w:hAnsi="仿宋_GB2312" w:eastAsia="仿宋_GB2312"/>
          <w:b w:val="0"/>
          <w:sz w:val="32"/>
        </w:rPr>
        <w:t>占本年支出合计的91.08%。</w:t>
      </w:r>
      <w:r>
        <w:rPr>
          <w:rFonts w:ascii="仿宋_GB2312" w:hAnsi="仿宋_GB2312" w:eastAsia="仿宋_GB2312"/>
          <w:b/>
          <w:sz w:val="32"/>
        </w:rPr>
        <w:t>与上年相比，</w:t>
      </w:r>
      <w:r>
        <w:rPr>
          <w:rFonts w:ascii="仿宋_GB2312" w:hAnsi="仿宋_GB2312" w:eastAsia="仿宋_GB2312"/>
          <w:b w:val="0"/>
          <w:sz w:val="32"/>
        </w:rPr>
        <w:t>增加33.82万元，增长8.31%，主要原因是：本年在职人员工资调增，社保、公积金基数调增，人员经费增加。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年初预算数363.54万元，决算数440.56万元，预决算差异率21.19%，主要原因是：年中追加人员工资、社保、公积金基数调增部分资金，导致预决算存在差异。</w:t>
      </w:r>
    </w:p>
    <w:p w14:paraId="78D43FC1">
      <w:pPr>
        <w:spacing w:line="640" w:lineRule="exact"/>
        <w:ind w:firstLine="640"/>
        <w:jc w:val="both"/>
        <w:outlineLvl w:val="3"/>
      </w:pPr>
      <w:r>
        <w:rPr>
          <w:rFonts w:ascii="楷体_GB2312" w:hAnsi="楷体_GB2312" w:eastAsia="楷体_GB2312"/>
          <w:b/>
          <w:sz w:val="32"/>
        </w:rPr>
        <w:t>（二）一般公共预算财政拨款支出决算结构情况</w:t>
      </w:r>
    </w:p>
    <w:p w14:paraId="1B541343">
      <w:pPr>
        <w:spacing w:line="580" w:lineRule="exact"/>
        <w:ind w:firstLine="640"/>
        <w:jc w:val="both"/>
      </w:pPr>
      <w:r>
        <w:rPr>
          <w:rFonts w:ascii="仿宋_GB2312" w:hAnsi="仿宋_GB2312" w:eastAsia="仿宋_GB2312"/>
          <w:b w:val="0"/>
          <w:sz w:val="32"/>
        </w:rPr>
        <w:t>1.一般公共服务支出(类)311.90万元,占70.80%。</w:t>
      </w:r>
    </w:p>
    <w:p w14:paraId="6A20B3BB">
      <w:pPr>
        <w:spacing w:line="580" w:lineRule="exact"/>
        <w:ind w:firstLine="640"/>
        <w:jc w:val="both"/>
      </w:pPr>
      <w:r>
        <w:rPr>
          <w:rFonts w:ascii="仿宋_GB2312" w:hAnsi="仿宋_GB2312" w:eastAsia="仿宋_GB2312"/>
          <w:b w:val="0"/>
          <w:sz w:val="32"/>
        </w:rPr>
        <w:t>2.社会保障和就业支出(类)87.39万元,占19.84%。</w:t>
      </w:r>
    </w:p>
    <w:p w14:paraId="25602733">
      <w:pPr>
        <w:spacing w:line="580" w:lineRule="exact"/>
        <w:ind w:firstLine="640"/>
        <w:jc w:val="both"/>
      </w:pPr>
      <w:r>
        <w:rPr>
          <w:rFonts w:ascii="仿宋_GB2312" w:hAnsi="仿宋_GB2312" w:eastAsia="仿宋_GB2312"/>
          <w:b w:val="0"/>
          <w:sz w:val="32"/>
        </w:rPr>
        <w:t>3.卫生健康支出(类)16.26万元,占3.69%。</w:t>
      </w:r>
    </w:p>
    <w:p w14:paraId="4F10A543">
      <w:pPr>
        <w:spacing w:line="580" w:lineRule="exact"/>
        <w:ind w:firstLine="640"/>
        <w:jc w:val="both"/>
      </w:pPr>
      <w:r>
        <w:rPr>
          <w:rFonts w:ascii="仿宋_GB2312" w:hAnsi="仿宋_GB2312" w:eastAsia="仿宋_GB2312"/>
          <w:b w:val="0"/>
          <w:sz w:val="32"/>
        </w:rPr>
        <w:t>4.住房保障支出(类)25.00万元,占5.67%。</w:t>
      </w:r>
    </w:p>
    <w:p w14:paraId="47CA3E7B">
      <w:pPr>
        <w:spacing w:line="640" w:lineRule="exact"/>
        <w:ind w:firstLine="640"/>
        <w:jc w:val="both"/>
        <w:outlineLvl w:val="3"/>
      </w:pPr>
      <w:r>
        <w:rPr>
          <w:rFonts w:ascii="楷体_GB2312" w:hAnsi="楷体_GB2312" w:eastAsia="楷体_GB2312"/>
          <w:b/>
          <w:sz w:val="32"/>
        </w:rPr>
        <w:t>（三）一般公共预算财政拨款支出决算具体情况</w:t>
      </w:r>
    </w:p>
    <w:p w14:paraId="232502CB">
      <w:pPr>
        <w:spacing w:line="580" w:lineRule="exact"/>
        <w:ind w:firstLine="640"/>
        <w:jc w:val="both"/>
      </w:pPr>
      <w:r>
        <w:rPr>
          <w:rFonts w:ascii="仿宋_GB2312" w:hAnsi="仿宋_GB2312" w:eastAsia="仿宋_GB2312"/>
          <w:b w:val="0"/>
          <w:sz w:val="32"/>
        </w:rPr>
        <w:t>1.一般公共服务支出(类)人大事务(款)行政运行(项):支出决算数为0.34万元，比上年决算增加0.34万元，增长100.00%,主要原因是：科目调整，本年接待费从主科目调整至此科目。</w:t>
      </w:r>
    </w:p>
    <w:p w14:paraId="007F3F61">
      <w:pPr>
        <w:spacing w:line="580" w:lineRule="exact"/>
        <w:ind w:firstLine="640"/>
        <w:jc w:val="both"/>
        <w:rPr>
          <w:rFonts w:hint="default" w:eastAsia="仿宋_GB2312"/>
          <w:lang w:val="en-US" w:eastAsia="zh-CN"/>
        </w:rPr>
      </w:pPr>
      <w:r>
        <w:rPr>
          <w:rFonts w:ascii="仿宋_GB2312" w:hAnsi="仿宋_GB2312" w:eastAsia="仿宋_GB2312"/>
          <w:b w:val="0"/>
          <w:sz w:val="32"/>
        </w:rPr>
        <w:t>2.一般公共服务支出(类)政协事务(款)行政运行(项):支出决算数为306.57万元，比上年决算增加45.54万元，增长17.45%,主要原因是：本年新增在职人员，人员经费增加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新增</w:t>
      </w:r>
      <w:r>
        <w:rPr>
          <w:rFonts w:ascii="仿宋_GB2312" w:hAnsi="仿宋_GB2312" w:eastAsia="仿宋_GB2312"/>
          <w:b w:val="0"/>
          <w:sz w:val="32"/>
        </w:rPr>
        <w:t>退休人员去世</w:t>
      </w:r>
      <w:r>
        <w:rPr>
          <w:rFonts w:hint="eastAsia" w:ascii="仿宋_GB2312" w:hAnsi="仿宋_GB2312" w:eastAsia="仿宋_GB2312"/>
          <w:b w:val="0"/>
          <w:sz w:val="32"/>
          <w:lang w:val="en-US" w:eastAsia="zh-CN"/>
        </w:rPr>
        <w:t>1人</w:t>
      </w:r>
      <w:r>
        <w:rPr>
          <w:rFonts w:ascii="仿宋_GB2312" w:hAnsi="仿宋_GB2312" w:eastAsia="仿宋_GB2312"/>
          <w:b w:val="0"/>
          <w:sz w:val="32"/>
        </w:rPr>
        <w:t>，抚恤金支出增加，导致经费较上年有所增加</w:t>
      </w:r>
      <w:r>
        <w:rPr>
          <w:rFonts w:hint="eastAsia" w:ascii="仿宋_GB2312" w:hAnsi="仿宋_GB2312" w:eastAsia="仿宋_GB2312"/>
          <w:b w:val="0"/>
          <w:sz w:val="32"/>
          <w:lang w:eastAsia="zh-CN"/>
        </w:rPr>
        <w:t>；</w:t>
      </w:r>
      <w:r>
        <w:rPr>
          <w:rFonts w:ascii="仿宋_GB2312" w:hAnsi="仿宋_GB2312" w:eastAsia="仿宋_GB2312"/>
          <w:b w:val="0"/>
          <w:sz w:val="32"/>
        </w:rPr>
        <w:t>本年科目调整，部分人员津贴补贴经费调整至一般公共服务支出(类)政协事务(款)行政运行(项)科目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导致经费较上年增加。</w:t>
      </w:r>
    </w:p>
    <w:p w14:paraId="29BED475">
      <w:pPr>
        <w:spacing w:line="580" w:lineRule="exact"/>
        <w:ind w:firstLine="640"/>
        <w:jc w:val="both"/>
      </w:pPr>
      <w:r>
        <w:rPr>
          <w:rFonts w:ascii="仿宋_GB2312" w:hAnsi="仿宋_GB2312" w:eastAsia="仿宋_GB2312"/>
          <w:b w:val="0"/>
          <w:sz w:val="32"/>
        </w:rPr>
        <w:t>3.一般公共服务支出(类)政协事务(款)其他政协事务支出(项):支出决算数为5.00万元，比上年决算增加0.00万元，增长0.00%,主要原因是：本年自治区政协基层政协补助经费与上年一致，无变化。</w:t>
      </w:r>
    </w:p>
    <w:p w14:paraId="5744F638">
      <w:pPr>
        <w:spacing w:line="580" w:lineRule="exact"/>
        <w:ind w:firstLine="640"/>
        <w:jc w:val="both"/>
      </w:pPr>
      <w:r>
        <w:rPr>
          <w:rFonts w:ascii="仿宋_GB2312" w:hAnsi="仿宋_GB2312" w:eastAsia="仿宋_GB2312"/>
          <w:b w:val="0"/>
          <w:sz w:val="32"/>
        </w:rPr>
        <w:t>4.一般公共服务支出(类)政府办公厅（室）及相关机构事务(款)行政运行(项):支出决算数为0.00万元，比上年决算减少4.99万元，下降100.00%,主要原因是：本年科目调整，部分人员津贴补贴经费调整至一般公共服务支出(类)政协事务(款)行政运行(项)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导致经费较上年减少。</w:t>
      </w:r>
    </w:p>
    <w:p w14:paraId="61B81A0C">
      <w:pPr>
        <w:spacing w:line="580" w:lineRule="exact"/>
        <w:ind w:firstLine="640"/>
        <w:jc w:val="both"/>
      </w:pPr>
      <w:r>
        <w:rPr>
          <w:rFonts w:ascii="仿宋_GB2312" w:hAnsi="仿宋_GB2312" w:eastAsia="仿宋_GB2312"/>
          <w:b w:val="0"/>
          <w:sz w:val="32"/>
        </w:rPr>
        <w:t>5.一般公共服务支出(类)政府办公厅（室）及相关机构事务(款)事业运行(项):支出决算数为0.00万元，比上年决算减少0.47万元，下降100.00%,主要原因是：本年科目调整，部分人员津贴补贴经费调整至一般公共服务支出(类)政协事务(款)行政运行(项)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导致经费较上年减少。</w:t>
      </w:r>
    </w:p>
    <w:p w14:paraId="1004A49D">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6.社会保障和就业支出(类)行政事业单位养老支出(款)行政单位离退休(项):支出决算数为28.71万元，比上年决算增加5.07万元，增长21.45%,主要原因是：本年增加退休人员基础绩效奖，退休费支出增加。</w:t>
      </w:r>
    </w:p>
    <w:p w14:paraId="70D0978F">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30.45万元，比上年决算增加0.48万元，增长1.60%,主要原因是：本年在职人员增加及人员工资调增，养老保险缴费支出增加。</w:t>
      </w:r>
    </w:p>
    <w:p w14:paraId="02B58FF9">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28.24万元，比上年决算减少1.69万元，下降5.65%,主要原因是：本年新增退休人员较上年减少，职业年金缴费较上年减少。</w:t>
      </w:r>
    </w:p>
    <w:p w14:paraId="24A6FAAF">
      <w:pPr>
        <w:spacing w:line="580" w:lineRule="exact"/>
        <w:ind w:firstLine="640"/>
        <w:jc w:val="both"/>
      </w:pPr>
      <w:r>
        <w:rPr>
          <w:rFonts w:ascii="仿宋_GB2312" w:hAnsi="仿宋_GB2312" w:eastAsia="仿宋_GB2312"/>
          <w:b w:val="0"/>
          <w:sz w:val="32"/>
        </w:rPr>
        <w:t>9.卫生健康支出(类)行政事业单位医疗(款)行政单位医疗(项):支出决算数为11.70万元，比上年决算减少9.04万元，下降43.59%,主要原因是：因退休人员医疗保险制度改革，退休人员基本医疗不再由单位缴纳，导致经费较上年减少。</w:t>
      </w:r>
    </w:p>
    <w:p w14:paraId="3B10D5A9">
      <w:pPr>
        <w:spacing w:line="580" w:lineRule="exact"/>
        <w:ind w:firstLine="640"/>
        <w:jc w:val="both"/>
      </w:pPr>
      <w:r>
        <w:rPr>
          <w:rFonts w:ascii="仿宋_GB2312" w:hAnsi="仿宋_GB2312" w:eastAsia="仿宋_GB2312"/>
          <w:b w:val="0"/>
          <w:sz w:val="32"/>
        </w:rPr>
        <w:t>10.卫生健康支出(类)行政事业单位医疗(款)事业单位医疗(项):支出决算数为1.22万元，比上年决算增加1.22万元，增长100.00%,主要原因是：本年功能科目调整，事业单位医疗上年度在主科目列支，本年单独列支，导致经费较上年增加。</w:t>
      </w:r>
    </w:p>
    <w:p w14:paraId="2CF415B8">
      <w:pPr>
        <w:spacing w:line="580" w:lineRule="exact"/>
        <w:ind w:firstLine="640"/>
        <w:jc w:val="both"/>
      </w:pPr>
      <w:r>
        <w:rPr>
          <w:rFonts w:ascii="仿宋_GB2312" w:hAnsi="仿宋_GB2312" w:eastAsia="仿宋_GB2312"/>
          <w:b w:val="0"/>
          <w:sz w:val="32"/>
        </w:rPr>
        <w:t>11.卫生健康支出(类)行政事业单位医疗(款)公务员医疗补助(项):支出决算数为3.34万元，比上年决算减少2.84万元，下降45.95%,主要原因是：因退休人员医疗保险制度改革，退休人员公务员医疗补助不再由单位缴纳，导致经费较上年减少。</w:t>
      </w:r>
    </w:p>
    <w:p w14:paraId="0E3DF34D">
      <w:pPr>
        <w:spacing w:line="580" w:lineRule="exact"/>
        <w:ind w:firstLine="640"/>
        <w:jc w:val="both"/>
      </w:pPr>
      <w:r>
        <w:rPr>
          <w:rFonts w:ascii="仿宋_GB2312" w:hAnsi="仿宋_GB2312" w:eastAsia="仿宋_GB2312"/>
          <w:b w:val="0"/>
          <w:sz w:val="32"/>
        </w:rPr>
        <w:t>12.住房保障支出(类)住房改革支出(款)住房公积金(项):支出决算数为25.00万元，比上年决算增加0.21万元，增长0.85%,主要原因是：本年在职人员增加及人员工资调增，公积金缴费基数上涨，相应支出增加。</w:t>
      </w:r>
    </w:p>
    <w:p w14:paraId="72FF646F">
      <w:pPr>
        <w:spacing w:line="640" w:lineRule="exact"/>
        <w:ind w:firstLine="640"/>
        <w:jc w:val="both"/>
        <w:outlineLvl w:val="2"/>
      </w:pPr>
      <w:r>
        <w:rPr>
          <w:rFonts w:ascii="黑体" w:hAnsi="黑体" w:eastAsia="黑体"/>
          <w:sz w:val="32"/>
        </w:rPr>
        <w:t>六、一般公共预算财政拨款基本支出决算情况说明</w:t>
      </w:r>
    </w:p>
    <w:p w14:paraId="4150FA37">
      <w:pPr>
        <w:spacing w:line="580" w:lineRule="exact"/>
        <w:ind w:firstLine="640"/>
        <w:jc w:val="both"/>
      </w:pPr>
      <w:r>
        <w:rPr>
          <w:rFonts w:ascii="仿宋_GB2312" w:hAnsi="仿宋_GB2312" w:eastAsia="仿宋_GB2312"/>
          <w:b w:val="0"/>
          <w:sz w:val="32"/>
        </w:rPr>
        <w:t>2024年度一般公共预算财政拨款基本支出435.56万元，其中：</w:t>
      </w:r>
      <w:r>
        <w:rPr>
          <w:rFonts w:ascii="仿宋_GB2312" w:hAnsi="仿宋_GB2312" w:eastAsia="仿宋_GB2312"/>
          <w:b/>
          <w:sz w:val="32"/>
        </w:rPr>
        <w:t>人员经费413.12万元，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包括：基本工资、津贴补贴、奖金、机关事业单位基本养老保险缴费、职业年金缴费、职工基本医疗保险缴费、公务员医疗补助缴费、其他社会保障缴费、住房公积金、退休费、抚恤金、生活补助、奖励金。</w:t>
      </w:r>
    </w:p>
    <w:p w14:paraId="2C07ABCC">
      <w:pPr>
        <w:spacing w:line="580" w:lineRule="exact"/>
        <w:ind w:firstLine="640"/>
        <w:jc w:val="both"/>
      </w:pPr>
      <w:r>
        <w:rPr>
          <w:rFonts w:ascii="仿宋_GB2312" w:hAnsi="仿宋_GB2312" w:eastAsia="仿宋_GB2312"/>
          <w:b/>
          <w:sz w:val="32"/>
        </w:rPr>
        <w:t>公用经费22.43万元，</w:t>
      </w:r>
      <w:r>
        <w:rPr>
          <w:rFonts w:ascii="仿宋_GB2312" w:hAnsi="仿宋_GB2312" w:eastAsia="仿宋_GB2312"/>
          <w:b w:val="0"/>
          <w:sz w:val="32"/>
        </w:rPr>
        <w:t>包括：办公费、邮电费、差旅费、会议费、公务接待费、公务用车运行维护费。</w:t>
      </w:r>
    </w:p>
    <w:p w14:paraId="3DC0D57E">
      <w:pPr>
        <w:spacing w:line="640" w:lineRule="exact"/>
        <w:ind w:firstLine="640"/>
        <w:jc w:val="both"/>
        <w:outlineLvl w:val="2"/>
      </w:pPr>
      <w:r>
        <w:rPr>
          <w:rFonts w:ascii="黑体" w:hAnsi="黑体" w:eastAsia="黑体"/>
          <w:sz w:val="32"/>
        </w:rPr>
        <w:t>七、政府性基金预算财政拨款收入支出决算情况说明</w:t>
      </w:r>
    </w:p>
    <w:p w14:paraId="74F152EB">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7AB9CB3">
      <w:pPr>
        <w:spacing w:line="640" w:lineRule="exact"/>
        <w:ind w:firstLine="640"/>
        <w:jc w:val="both"/>
        <w:outlineLvl w:val="2"/>
      </w:pPr>
      <w:r>
        <w:rPr>
          <w:rFonts w:ascii="黑体" w:hAnsi="黑体" w:eastAsia="黑体"/>
          <w:sz w:val="32"/>
        </w:rPr>
        <w:t>八、国有资本经营预算财政拨款收入支出决算情况说明</w:t>
      </w:r>
    </w:p>
    <w:p w14:paraId="3E47CD5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A7B6F29">
      <w:pPr>
        <w:spacing w:line="640" w:lineRule="exact"/>
        <w:ind w:firstLine="640"/>
        <w:jc w:val="both"/>
        <w:outlineLvl w:val="2"/>
      </w:pPr>
      <w:r>
        <w:rPr>
          <w:rFonts w:ascii="黑体" w:hAnsi="黑体" w:eastAsia="黑体"/>
          <w:sz w:val="32"/>
        </w:rPr>
        <w:t>九、财政拨款“三公”经费支出决算情况说明</w:t>
      </w:r>
    </w:p>
    <w:p w14:paraId="2CDD4806">
      <w:pPr>
        <w:spacing w:line="580" w:lineRule="exact"/>
        <w:ind w:firstLine="640"/>
        <w:jc w:val="both"/>
      </w:pPr>
      <w:r>
        <w:rPr>
          <w:rFonts w:ascii="仿宋_GB2312" w:hAnsi="仿宋_GB2312" w:eastAsia="仿宋_GB2312"/>
          <w:b/>
          <w:sz w:val="32"/>
        </w:rPr>
        <w:t>2024年度财政拨款“三公”经费支出7.58万元，</w:t>
      </w:r>
      <w:r>
        <w:rPr>
          <w:rFonts w:ascii="仿宋_GB2312" w:hAnsi="仿宋_GB2312" w:eastAsia="仿宋_GB2312"/>
          <w:b w:val="0"/>
          <w:sz w:val="32"/>
        </w:rPr>
        <w:t>比上年增加0.40万元，增长5.56%，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6.30万元，占83.11%，比上年增加0.30万元，增长5.00%，主要原因是：本单位公务用车日渐老化，维修维护成本增加，导致公务用车运行维护费较上年增加。公务接待费支出1.28万元，占16.89%，比上年增加0.10万元，增长8.47%，主要原因是：本年度接待人次较上年增加，导致公务接待费较上年增加。</w:t>
      </w:r>
    </w:p>
    <w:p w14:paraId="18FBE30E">
      <w:pPr>
        <w:spacing w:line="580" w:lineRule="exact"/>
        <w:ind w:firstLine="640"/>
        <w:jc w:val="both"/>
      </w:pPr>
      <w:r>
        <w:rPr>
          <w:rFonts w:ascii="仿宋_GB2312" w:hAnsi="仿宋_GB2312" w:eastAsia="仿宋_GB2312"/>
          <w:b/>
          <w:sz w:val="32"/>
        </w:rPr>
        <w:t>具体情况如下：</w:t>
      </w:r>
    </w:p>
    <w:p w14:paraId="1054BD9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23E7EC9">
      <w:pPr>
        <w:spacing w:line="580" w:lineRule="exact"/>
        <w:ind w:firstLine="640"/>
        <w:jc w:val="both"/>
      </w:pPr>
      <w:r>
        <w:rPr>
          <w:rFonts w:ascii="仿宋_GB2312" w:hAnsi="仿宋_GB2312" w:eastAsia="仿宋_GB2312"/>
          <w:b w:val="0"/>
          <w:sz w:val="32"/>
        </w:rPr>
        <w:t>公务用车购置及运行维护费6.30万元，其中：公务用车购置费0.00万元，公务用车运行维护费6.30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14:paraId="2970A760">
      <w:pPr>
        <w:spacing w:line="580" w:lineRule="exact"/>
        <w:ind w:firstLine="640"/>
        <w:jc w:val="both"/>
      </w:pPr>
      <w:r>
        <w:rPr>
          <w:rFonts w:ascii="仿宋_GB2312" w:hAnsi="仿宋_GB2312" w:eastAsia="仿宋_GB2312"/>
          <w:b w:val="0"/>
          <w:sz w:val="32"/>
        </w:rPr>
        <w:t>公务接待费1.28万元，开支内容包括接待上级领导检查的就餐费。单位全年安排的国内公务接待12批次，72人次。</w:t>
      </w:r>
    </w:p>
    <w:p w14:paraId="676D2E5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7.63万元，决算数7.58万元，预决算差异率-0.66%，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6.30万元，决算数6.30万元，预决算差异率0.00%，主要原因是：严格按照预算执行，预决算无差异。公务接待费全年预算数1.33万元，决算数1.28万元，预决算差异率-3.76%，主要原因是：严格落实中央八项规定精神，厉行节约，减少经费支出。</w:t>
      </w:r>
    </w:p>
    <w:p w14:paraId="0C5335DB">
      <w:pPr>
        <w:spacing w:line="640" w:lineRule="exact"/>
        <w:ind w:firstLine="640"/>
        <w:jc w:val="both"/>
        <w:outlineLvl w:val="2"/>
      </w:pPr>
      <w:r>
        <w:rPr>
          <w:rFonts w:ascii="黑体" w:hAnsi="黑体" w:eastAsia="黑体"/>
          <w:sz w:val="32"/>
        </w:rPr>
        <w:t>十、其他重要事项的情况说明</w:t>
      </w:r>
    </w:p>
    <w:p w14:paraId="6C70FCD0">
      <w:pPr>
        <w:spacing w:line="640" w:lineRule="exact"/>
        <w:ind w:firstLine="640"/>
        <w:jc w:val="both"/>
        <w:outlineLvl w:val="3"/>
      </w:pPr>
      <w:r>
        <w:rPr>
          <w:rFonts w:ascii="楷体_GB2312" w:hAnsi="楷体_GB2312" w:eastAsia="楷体_GB2312"/>
          <w:b/>
          <w:sz w:val="32"/>
        </w:rPr>
        <w:t>（一）机关运行经费及公用经费支出情况</w:t>
      </w:r>
    </w:p>
    <w:p w14:paraId="51CB0741">
      <w:pPr>
        <w:spacing w:line="580" w:lineRule="exact"/>
        <w:ind w:firstLine="640"/>
        <w:jc w:val="both"/>
      </w:pPr>
      <w:r>
        <w:rPr>
          <w:rFonts w:ascii="仿宋_GB2312" w:hAnsi="仿宋_GB2312" w:eastAsia="仿宋_GB2312"/>
          <w:b w:val="0"/>
          <w:sz w:val="32"/>
        </w:rPr>
        <w:t>2024年度中国人民政治协商会议英吉沙县委员会办公室（行政单位和参照公务员法管理事业单位）机关运行经费支出22.43万元，比上年增加9.63万元，增长75.23%，主要原因是：本年更新、维护补充办公用品，导致机关运行经费较上年增加。</w:t>
      </w:r>
    </w:p>
    <w:p w14:paraId="3CA0E40E">
      <w:pPr>
        <w:spacing w:line="640" w:lineRule="exact"/>
        <w:ind w:firstLine="640"/>
        <w:jc w:val="both"/>
        <w:outlineLvl w:val="3"/>
      </w:pPr>
      <w:r>
        <w:rPr>
          <w:rFonts w:ascii="楷体_GB2312" w:hAnsi="楷体_GB2312" w:eastAsia="楷体_GB2312"/>
          <w:b/>
          <w:sz w:val="32"/>
        </w:rPr>
        <w:t>（二）政府采购情况</w:t>
      </w:r>
    </w:p>
    <w:p w14:paraId="19082244">
      <w:pPr>
        <w:spacing w:line="580" w:lineRule="exact"/>
        <w:ind w:firstLine="640"/>
        <w:jc w:val="both"/>
      </w:pPr>
      <w:r>
        <w:rPr>
          <w:rFonts w:ascii="仿宋_GB2312" w:hAnsi="仿宋_GB2312" w:eastAsia="仿宋_GB2312"/>
          <w:b w:val="0"/>
          <w:sz w:val="32"/>
        </w:rPr>
        <w:t>2024年度政府采购支出总额0.93万元，其中：政府采购货物支出0.42万元、政府采购工程支出0.00万元、政府采购服务支出0.51万元。</w:t>
      </w:r>
    </w:p>
    <w:p w14:paraId="35998DE8">
      <w:pPr>
        <w:spacing w:line="580" w:lineRule="exact"/>
        <w:ind w:firstLine="640"/>
        <w:jc w:val="both"/>
      </w:pPr>
      <w:r>
        <w:rPr>
          <w:rFonts w:ascii="仿宋_GB2312" w:hAnsi="仿宋_GB2312" w:eastAsia="仿宋_GB2312"/>
          <w:b w:val="0"/>
          <w:sz w:val="32"/>
        </w:rPr>
        <w:t>授予中小企业合同金额0.59万元，占政府采购支出总额的63.44%，其中：授予小微企业合同金额0.59万元，占政府采购支出总额的63.44%。</w:t>
      </w:r>
    </w:p>
    <w:p w14:paraId="20D8EB36">
      <w:pPr>
        <w:spacing w:line="640" w:lineRule="exact"/>
        <w:ind w:firstLine="640"/>
        <w:jc w:val="both"/>
        <w:outlineLvl w:val="3"/>
      </w:pPr>
      <w:r>
        <w:rPr>
          <w:rFonts w:ascii="楷体_GB2312" w:hAnsi="楷体_GB2312" w:eastAsia="楷体_GB2312"/>
          <w:b/>
          <w:sz w:val="32"/>
        </w:rPr>
        <w:t>（三）国有资产占用情况说明</w:t>
      </w:r>
    </w:p>
    <w:p w14:paraId="492B33D3">
      <w:pPr>
        <w:spacing w:line="580" w:lineRule="exact"/>
        <w:ind w:firstLine="640"/>
        <w:jc w:val="both"/>
      </w:pPr>
      <w:r>
        <w:rPr>
          <w:rFonts w:ascii="仿宋_GB2312" w:hAnsi="仿宋_GB2312" w:eastAsia="仿宋_GB2312"/>
          <w:b w:val="0"/>
          <w:sz w:val="32"/>
        </w:rPr>
        <w:t>截至2024年12月31日，房屋0.00平方米，价值0.00万元。车辆3辆，价值42.46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0台（套）。</w:t>
      </w:r>
    </w:p>
    <w:p w14:paraId="208252BC">
      <w:pPr>
        <w:spacing w:line="640" w:lineRule="exact"/>
        <w:ind w:firstLine="640"/>
        <w:jc w:val="both"/>
        <w:outlineLvl w:val="2"/>
      </w:pPr>
      <w:r>
        <w:rPr>
          <w:rFonts w:ascii="黑体" w:hAnsi="黑体" w:eastAsia="黑体"/>
          <w:sz w:val="32"/>
        </w:rPr>
        <w:t>十一、预算绩效的情况说明</w:t>
      </w:r>
    </w:p>
    <w:p w14:paraId="270C79E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483.73万元，实际执行总额483.73万元；预算绩效评价项目1个，全年预算数5.00万元，全年执行数5.00万元。预算绩效管理取得的成效：按照自治区2024年度预算绩效管理工作规划和喀什地区全面实施预算绩效管理实效评价工作机制要求，对照上级绩效资金管理办法，重点做好项目绩效监督。严格按照绩效规定的开支范围和开支标准使用项目实施，项目绩效资金的管理做到专款专用，专人管理，项目负责人明确，资金审批手续规范，并在规定的时间完成1个项目实施。保障在编干部每月工资医保社保公积金正常发放和缴纳。发现的问题及原因：预算编制的准确性和科学性还有待进一步提高，预算执行过程中还存在调整和追加的情况。财务管理的精细化程度还不够高，在经费支出管理、资产管理等方面还存在一些薄弱环节。财务人员的业务能力和综合素质还有待进一步提升，不能完全适应新形势下财务管理工作的需要。下一步改进措施：加强预算编制的前期调研和论证工作，提高预算编制的准确性和科学性，严格控制预算调整和追加，确保预算执行的严肃性。进一步加强财务管理的精细化程度，完善经费支出管理制度和资产管理制度，加强对经费支出和资产的全过程管理，提高财务管理水平。具体附整体支出绩效自评表，项目支出绩效自评表和评价报告。</w:t>
      </w:r>
    </w:p>
    <w:p w14:paraId="42AEAF6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3CB20D5">
        <w:tblPrEx>
          <w:tblCellMar>
            <w:top w:w="0" w:type="dxa"/>
            <w:left w:w="108" w:type="dxa"/>
            <w:bottom w:w="0" w:type="dxa"/>
            <w:right w:w="108" w:type="dxa"/>
          </w:tblCellMar>
        </w:tblPrEx>
        <w:tc>
          <w:tcPr>
            <w:tcW w:w="8847" w:type="dxa"/>
            <w:gridSpan w:val="9"/>
            <w:vAlign w:val="center"/>
          </w:tcPr>
          <w:p w14:paraId="155AA081">
            <w:pPr>
              <w:jc w:val="center"/>
            </w:pPr>
            <w:r>
              <w:rPr>
                <w:rFonts w:ascii="宋体" w:hAnsi="宋体" w:eastAsia="宋体"/>
                <w:sz w:val="24"/>
              </w:rPr>
              <w:t>单位整体支出绩效自评表</w:t>
            </w:r>
          </w:p>
        </w:tc>
      </w:tr>
      <w:tr w14:paraId="6A1AD685">
        <w:tblPrEx>
          <w:tblCellMar>
            <w:top w:w="0" w:type="dxa"/>
            <w:left w:w="108" w:type="dxa"/>
            <w:bottom w:w="0" w:type="dxa"/>
            <w:right w:w="108" w:type="dxa"/>
          </w:tblCellMar>
        </w:tblPrEx>
        <w:tc>
          <w:tcPr>
            <w:tcW w:w="8847" w:type="dxa"/>
            <w:gridSpan w:val="9"/>
            <w:vAlign w:val="center"/>
          </w:tcPr>
          <w:p w14:paraId="1340EF83">
            <w:pPr>
              <w:jc w:val="center"/>
            </w:pPr>
            <w:r>
              <w:rPr>
                <w:rFonts w:ascii="宋体" w:hAnsi="宋体" w:eastAsia="宋体"/>
                <w:sz w:val="24"/>
              </w:rPr>
              <w:t>（2024年度）</w:t>
            </w:r>
          </w:p>
        </w:tc>
      </w:tr>
      <w:tr w14:paraId="170A78B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09F0D">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4CB0C9C">
            <w:pPr>
              <w:jc w:val="center"/>
            </w:pPr>
            <w:r>
              <w:rPr>
                <w:rFonts w:ascii="宋体" w:hAnsi="宋体" w:eastAsia="宋体"/>
                <w:sz w:val="16"/>
              </w:rPr>
              <w:t>中国人民政治协商会议英吉沙县委员会办公室</w:t>
            </w:r>
          </w:p>
        </w:tc>
      </w:tr>
      <w:tr w14:paraId="1B7CA6E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2A8F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122C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E68C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C04A4">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D4C5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140F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13C8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698CD">
            <w:pPr>
              <w:jc w:val="center"/>
            </w:pPr>
            <w:r>
              <w:rPr>
                <w:rFonts w:ascii="宋体" w:hAnsi="宋体" w:eastAsia="宋体"/>
                <w:sz w:val="16"/>
              </w:rPr>
              <w:t>得分</w:t>
            </w:r>
          </w:p>
        </w:tc>
      </w:tr>
      <w:tr w14:paraId="34DE42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DF5D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05C7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8CB63">
            <w:pPr>
              <w:jc w:val="center"/>
            </w:pPr>
            <w:r>
              <w:rPr>
                <w:rFonts w:ascii="宋体" w:hAnsi="宋体" w:eastAsia="宋体"/>
                <w:sz w:val="16"/>
              </w:rPr>
              <w:t>363.54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80328">
            <w:pPr>
              <w:jc w:val="center"/>
            </w:pPr>
            <w:r>
              <w:rPr>
                <w:rFonts w:ascii="宋体" w:hAnsi="宋体" w:eastAsia="宋体"/>
                <w:sz w:val="16"/>
              </w:rPr>
              <w:t>483.73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26040">
            <w:pPr>
              <w:jc w:val="center"/>
            </w:pPr>
            <w:r>
              <w:rPr>
                <w:rFonts w:ascii="宋体" w:hAnsi="宋体" w:eastAsia="宋体"/>
                <w:sz w:val="16"/>
              </w:rPr>
              <w:t>483.73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9F46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48B81">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D53A0">
            <w:pPr>
              <w:jc w:val="center"/>
            </w:pPr>
            <w:r>
              <w:rPr>
                <w:rFonts w:ascii="宋体" w:hAnsi="宋体" w:eastAsia="宋体"/>
                <w:sz w:val="16"/>
              </w:rPr>
              <w:t>10</w:t>
            </w:r>
          </w:p>
        </w:tc>
      </w:tr>
      <w:tr w14:paraId="6BE49E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C335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F2BC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BF2D0">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05F3A">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F6F09">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F23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638D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EBB49">
            <w:pPr>
              <w:jc w:val="center"/>
            </w:pPr>
            <w:r>
              <w:rPr>
                <w:rFonts w:ascii="宋体" w:hAnsi="宋体" w:eastAsia="宋体"/>
                <w:sz w:val="16"/>
              </w:rPr>
              <w:t>—</w:t>
            </w:r>
          </w:p>
        </w:tc>
      </w:tr>
      <w:tr w14:paraId="4601F8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38DC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E5AD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C7D6E">
            <w:pPr>
              <w:jc w:val="center"/>
            </w:pPr>
            <w:r>
              <w:rPr>
                <w:rFonts w:ascii="宋体" w:hAnsi="宋体" w:eastAsia="宋体"/>
                <w:sz w:val="16"/>
              </w:rPr>
              <w:t>358.54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66EFC">
            <w:pPr>
              <w:jc w:val="center"/>
            </w:pPr>
            <w:r>
              <w:rPr>
                <w:rFonts w:ascii="宋体" w:hAnsi="宋体" w:eastAsia="宋体"/>
                <w:sz w:val="16"/>
              </w:rPr>
              <w:t>435.56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3C4B3">
            <w:pPr>
              <w:jc w:val="center"/>
            </w:pPr>
            <w:r>
              <w:rPr>
                <w:rFonts w:ascii="宋体" w:hAnsi="宋体" w:eastAsia="宋体"/>
                <w:sz w:val="16"/>
              </w:rPr>
              <w:t>435.56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E23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A325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7E236">
            <w:pPr>
              <w:jc w:val="center"/>
            </w:pPr>
            <w:r>
              <w:rPr>
                <w:rFonts w:ascii="宋体" w:hAnsi="宋体" w:eastAsia="宋体"/>
                <w:sz w:val="16"/>
              </w:rPr>
              <w:t>—</w:t>
            </w:r>
          </w:p>
        </w:tc>
      </w:tr>
      <w:tr w14:paraId="4BED3A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0819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43F4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CAFC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632C0">
            <w:pPr>
              <w:jc w:val="center"/>
            </w:pPr>
            <w:r>
              <w:rPr>
                <w:rFonts w:ascii="宋体" w:hAnsi="宋体" w:eastAsia="宋体"/>
                <w:sz w:val="16"/>
              </w:rPr>
              <w:t>43.17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98E9C">
            <w:pPr>
              <w:jc w:val="center"/>
            </w:pPr>
            <w:r>
              <w:rPr>
                <w:rFonts w:ascii="宋体" w:hAnsi="宋体" w:eastAsia="宋体"/>
                <w:sz w:val="16"/>
              </w:rPr>
              <w:t>43.17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01E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7DA3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85B41">
            <w:pPr>
              <w:jc w:val="center"/>
            </w:pPr>
            <w:r>
              <w:rPr>
                <w:rFonts w:ascii="宋体" w:hAnsi="宋体" w:eastAsia="宋体"/>
                <w:sz w:val="16"/>
              </w:rPr>
              <w:t>—</w:t>
            </w:r>
          </w:p>
        </w:tc>
      </w:tr>
      <w:tr w14:paraId="79124BD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6A53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A5741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DED8A5">
            <w:pPr>
              <w:jc w:val="center"/>
            </w:pPr>
            <w:r>
              <w:rPr>
                <w:rFonts w:ascii="宋体" w:hAnsi="宋体" w:eastAsia="宋体"/>
                <w:sz w:val="16"/>
              </w:rPr>
              <w:t>实际完成情况</w:t>
            </w:r>
          </w:p>
        </w:tc>
      </w:tr>
      <w:tr w14:paraId="1B7D04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E36DB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F2A27F">
            <w:pPr>
              <w:jc w:val="both"/>
            </w:pPr>
            <w:bookmarkStart w:id="0" w:name="_GoBack"/>
            <w:r>
              <w:rPr>
                <w:rFonts w:ascii="宋体" w:hAnsi="宋体" w:eastAsia="宋体"/>
                <w:sz w:val="16"/>
              </w:rPr>
              <w:t>深入贯彻落实习近平总书记</w:t>
            </w:r>
            <w:bookmarkEnd w:id="0"/>
            <w:r>
              <w:rPr>
                <w:rFonts w:ascii="宋体" w:hAnsi="宋体" w:eastAsia="宋体"/>
                <w:sz w:val="16"/>
              </w:rPr>
              <w:t>关于新疆工作的重要讲话指示精神特别是总书记在听取自治区和兵团工作汇报时的重要讲话精神，深入学习贯彻自治区党委十届历次全会和地委、县委扩大会议精神，团结带领全县政协各参加单位和各族各界政协委员，坚持发扬民主和增进团结相互贯通、建言资政和凝聚共识双向发力，切实发挥政协专门协商机构作用，围绕中心、服务大局，切实担负起“凝聚起来、落实下去”的政治责任，不断开创新时代政协工作新局面。2024年计划开展委员视察活动4次，召开中国人民政治协商会议1次，开展专题协商会议4次，开展专题协商会议10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76C4AF">
            <w:pPr>
              <w:jc w:val="both"/>
            </w:pPr>
            <w:r>
              <w:rPr>
                <w:rFonts w:ascii="宋体" w:hAnsi="宋体" w:eastAsia="宋体"/>
                <w:sz w:val="16"/>
              </w:rPr>
              <w:t>本年度</w:t>
            </w:r>
            <w:r>
              <w:rPr>
                <w:rFonts w:hint="eastAsia" w:ascii="宋体" w:hAnsi="宋体"/>
                <w:sz w:val="16"/>
                <w:lang w:eastAsia="zh-CN"/>
              </w:rPr>
              <w:t>本单位</w:t>
            </w:r>
            <w:r>
              <w:rPr>
                <w:rFonts w:ascii="宋体" w:hAnsi="宋体" w:eastAsia="宋体"/>
                <w:sz w:val="16"/>
              </w:rPr>
              <w:t>主要围绕县委各个时期的中心工作和群众关注的重大问题，开展调查研究，做好反映社情民意的工作，为各族各界政协委员服务，负责委员会、常委会和党组召开的各例会议组织、筹备、文件起草及决定事项的落实工作，开展委员视察活动2次，召开中国人民政治协商会议1次，开展专题协商会议3次，达到增强社会凝聚力和向心力，促进社会和谐发展的效益。</w:t>
            </w:r>
          </w:p>
        </w:tc>
      </w:tr>
      <w:tr w14:paraId="2E078EC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A43A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F635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D234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C3FFC">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A669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6F65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F8C1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3A46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86810">
            <w:pPr>
              <w:jc w:val="center"/>
            </w:pPr>
            <w:r>
              <w:rPr>
                <w:rFonts w:ascii="宋体" w:hAnsi="宋体" w:eastAsia="宋体"/>
                <w:sz w:val="16"/>
              </w:rPr>
              <w:t>得分</w:t>
            </w:r>
          </w:p>
        </w:tc>
      </w:tr>
      <w:tr w14:paraId="111CAFD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BF61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A4A7A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C3180">
            <w:pPr>
              <w:jc w:val="center"/>
            </w:pPr>
            <w:r>
              <w:rPr>
                <w:rFonts w:ascii="宋体" w:hAnsi="宋体" w:eastAsia="宋体"/>
                <w:sz w:val="16"/>
              </w:rPr>
              <w:t>开展委员视察活动次数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BEDD8">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1813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1DD1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FC117">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A60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6B2B6">
            <w:pPr>
              <w:jc w:val="center"/>
            </w:pPr>
            <w:r>
              <w:rPr>
                <w:rFonts w:ascii="宋体" w:hAnsi="宋体" w:eastAsia="宋体"/>
                <w:sz w:val="16"/>
              </w:rPr>
              <w:t>20</w:t>
            </w:r>
          </w:p>
        </w:tc>
      </w:tr>
      <w:tr w14:paraId="5DF9D9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5657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C56C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955C3">
            <w:pPr>
              <w:jc w:val="center"/>
            </w:pPr>
            <w:r>
              <w:rPr>
                <w:rFonts w:ascii="宋体" w:hAnsi="宋体" w:eastAsia="宋体"/>
                <w:sz w:val="16"/>
              </w:rPr>
              <w:t>召开中国人民政治协商会议次数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72181">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2AC66">
            <w:pPr>
              <w:jc w:val="center"/>
            </w:pPr>
            <w:r>
              <w:rPr>
                <w:rFonts w:ascii="宋体" w:hAnsi="宋体" w:eastAsia="宋体"/>
                <w:sz w:val="16"/>
              </w:rPr>
              <w:t>2024年工作计划和自治区基层政协项目实施方案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E4BE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4CAC5">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D13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09EC1">
            <w:pPr>
              <w:jc w:val="center"/>
            </w:pPr>
            <w:r>
              <w:rPr>
                <w:rFonts w:ascii="宋体" w:hAnsi="宋体" w:eastAsia="宋体"/>
                <w:sz w:val="16"/>
              </w:rPr>
              <w:t>20</w:t>
            </w:r>
          </w:p>
        </w:tc>
      </w:tr>
      <w:tr w14:paraId="1A0C80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10F34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39F9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C73CC">
            <w:pPr>
              <w:jc w:val="center"/>
            </w:pPr>
            <w:r>
              <w:rPr>
                <w:rFonts w:ascii="宋体" w:hAnsi="宋体" w:eastAsia="宋体"/>
                <w:sz w:val="16"/>
              </w:rPr>
              <w:t>开展专题协商会议次数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A8272">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6B2FD">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85B7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A2F7A">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89D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A1EAE">
            <w:pPr>
              <w:jc w:val="center"/>
            </w:pPr>
            <w:r>
              <w:rPr>
                <w:rFonts w:ascii="宋体" w:hAnsi="宋体" w:eastAsia="宋体"/>
                <w:sz w:val="16"/>
              </w:rPr>
              <w:t>20</w:t>
            </w:r>
          </w:p>
        </w:tc>
      </w:tr>
      <w:tr w14:paraId="5854A3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BD3E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C873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05E28">
            <w:pPr>
              <w:jc w:val="center"/>
            </w:pPr>
            <w:r>
              <w:rPr>
                <w:rFonts w:ascii="宋体" w:hAnsi="宋体" w:eastAsia="宋体"/>
                <w:sz w:val="16"/>
              </w:rPr>
              <w:t>编制《英吉沙政协志》数量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00D3CC">
            <w:pPr>
              <w:jc w:val="center"/>
            </w:pPr>
            <w:r>
              <w:rPr>
                <w:rFonts w:ascii="宋体" w:hAnsi="宋体" w:eastAsia="宋体"/>
                <w:sz w:val="16"/>
              </w:rPr>
              <w:t>&gt;=1部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006AD">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E6DB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46971">
            <w:pPr>
              <w:jc w:val="center"/>
            </w:pPr>
            <w:r>
              <w:rPr>
                <w:rFonts w:ascii="宋体" w:hAnsi="宋体" w:eastAsia="宋体"/>
                <w:sz w:val="16"/>
              </w:rPr>
              <w:t>=1部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E67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ABEF6">
            <w:pPr>
              <w:jc w:val="center"/>
            </w:pPr>
            <w:r>
              <w:rPr>
                <w:rFonts w:ascii="宋体" w:hAnsi="宋体" w:eastAsia="宋体"/>
                <w:sz w:val="16"/>
              </w:rPr>
              <w:t>20</w:t>
            </w:r>
          </w:p>
        </w:tc>
      </w:tr>
      <w:tr w14:paraId="4528FDC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F3746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7CE2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CD890">
            <w:pPr>
              <w:jc w:val="center"/>
            </w:pPr>
            <w:r>
              <w:rPr>
                <w:rFonts w:ascii="宋体" w:hAnsi="宋体" w:eastAsia="宋体"/>
                <w:sz w:val="16"/>
              </w:rPr>
              <w:t>邀请相关部门领导</w:t>
            </w:r>
            <w:r>
              <w:rPr>
                <w:rFonts w:hint="eastAsia" w:ascii="宋体" w:hAnsi="宋体"/>
                <w:sz w:val="16"/>
                <w:lang w:eastAsia="zh-CN"/>
              </w:rPr>
              <w:t>向</w:t>
            </w:r>
            <w:r>
              <w:rPr>
                <w:rFonts w:ascii="宋体" w:hAnsi="宋体" w:eastAsia="宋体"/>
                <w:sz w:val="16"/>
              </w:rPr>
              <w:t>常委会通报情况次数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2BD69">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FACD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B45E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B8378">
            <w:pPr>
              <w:jc w:val="center"/>
            </w:pPr>
            <w:r>
              <w:rPr>
                <w:rFonts w:ascii="宋体" w:hAnsi="宋体" w:eastAsia="宋体"/>
                <w:sz w:val="16"/>
              </w:rPr>
              <w:t>=6次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5E199">
            <w:pPr>
              <w:jc w:val="center"/>
            </w:pPr>
            <w:r>
              <w:rPr>
                <w:rFonts w:ascii="宋体" w:hAnsi="宋体" w:eastAsia="宋体"/>
                <w:sz w:val="16"/>
              </w:rPr>
              <w:t>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2196C">
            <w:pPr>
              <w:jc w:val="center"/>
            </w:pPr>
            <w:r>
              <w:rPr>
                <w:rFonts w:ascii="宋体" w:hAnsi="宋体" w:eastAsia="宋体"/>
                <w:sz w:val="16"/>
              </w:rPr>
              <w:t>10</w:t>
            </w:r>
          </w:p>
        </w:tc>
      </w:tr>
    </w:tbl>
    <w:p w14:paraId="31A9583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941DCF7">
        <w:tblPrEx>
          <w:tblCellMar>
            <w:top w:w="0" w:type="dxa"/>
            <w:left w:w="108" w:type="dxa"/>
            <w:bottom w:w="0" w:type="dxa"/>
            <w:right w:w="108" w:type="dxa"/>
          </w:tblCellMar>
        </w:tblPrEx>
        <w:tc>
          <w:tcPr>
            <w:tcW w:w="8848" w:type="dxa"/>
            <w:gridSpan w:val="14"/>
            <w:vAlign w:val="center"/>
          </w:tcPr>
          <w:p w14:paraId="7282BF53">
            <w:pPr>
              <w:jc w:val="center"/>
            </w:pPr>
            <w:r>
              <w:rPr>
                <w:rFonts w:ascii="宋体" w:hAnsi="宋体" w:eastAsia="宋体"/>
                <w:sz w:val="24"/>
              </w:rPr>
              <w:t>项目支出绩效自评表</w:t>
            </w:r>
          </w:p>
        </w:tc>
      </w:tr>
      <w:tr w14:paraId="3F330113">
        <w:tblPrEx>
          <w:tblCellMar>
            <w:top w:w="0" w:type="dxa"/>
            <w:left w:w="108" w:type="dxa"/>
            <w:bottom w:w="0" w:type="dxa"/>
            <w:right w:w="108" w:type="dxa"/>
          </w:tblCellMar>
        </w:tblPrEx>
        <w:tc>
          <w:tcPr>
            <w:tcW w:w="8848" w:type="dxa"/>
            <w:gridSpan w:val="14"/>
            <w:vAlign w:val="center"/>
          </w:tcPr>
          <w:p w14:paraId="2A89EA5D">
            <w:pPr>
              <w:jc w:val="center"/>
            </w:pPr>
            <w:r>
              <w:rPr>
                <w:rFonts w:ascii="宋体" w:hAnsi="宋体" w:eastAsia="宋体"/>
                <w:sz w:val="24"/>
              </w:rPr>
              <w:t>(2024年度)</w:t>
            </w:r>
          </w:p>
        </w:tc>
      </w:tr>
      <w:tr w14:paraId="7CAE7B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298D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13D4B34">
            <w:pPr>
              <w:jc w:val="center"/>
            </w:pPr>
            <w:r>
              <w:rPr>
                <w:rFonts w:ascii="宋体" w:hAnsi="宋体" w:eastAsia="宋体"/>
                <w:sz w:val="16"/>
              </w:rPr>
              <w:t>英吉沙县2024年自治区基层政协补助项目</w:t>
            </w:r>
          </w:p>
        </w:tc>
      </w:tr>
      <w:tr w14:paraId="33A476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F667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672CAA">
            <w:pPr>
              <w:jc w:val="center"/>
            </w:pPr>
            <w:r>
              <w:rPr>
                <w:rFonts w:ascii="宋体" w:hAnsi="宋体" w:eastAsia="宋体"/>
                <w:sz w:val="16"/>
              </w:rPr>
              <w:t>中国人民政治协商会议英吉沙县委员会办公室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1A01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5FFA8F">
            <w:pPr>
              <w:jc w:val="center"/>
            </w:pPr>
            <w:r>
              <w:rPr>
                <w:rFonts w:ascii="宋体" w:hAnsi="宋体" w:eastAsia="宋体"/>
                <w:sz w:val="16"/>
              </w:rPr>
              <w:t>中国人民政治协商会议英吉沙县委员会办公室</w:t>
            </w:r>
          </w:p>
        </w:tc>
      </w:tr>
      <w:tr w14:paraId="572ABA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BB1F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C2E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6075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2FF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8CF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E32C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E51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C99D">
            <w:pPr>
              <w:jc w:val="center"/>
            </w:pPr>
            <w:r>
              <w:rPr>
                <w:rFonts w:ascii="宋体" w:hAnsi="宋体" w:eastAsia="宋体"/>
                <w:sz w:val="16"/>
              </w:rPr>
              <w:t>得分</w:t>
            </w:r>
          </w:p>
        </w:tc>
      </w:tr>
      <w:tr w14:paraId="0B9643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BCE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6DF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170DA">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B44B3">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55A2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294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9BE6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3484">
            <w:pPr>
              <w:jc w:val="center"/>
            </w:pPr>
            <w:r>
              <w:rPr>
                <w:rFonts w:ascii="宋体" w:hAnsi="宋体" w:eastAsia="宋体"/>
                <w:sz w:val="16"/>
              </w:rPr>
              <w:t>10.00分</w:t>
            </w:r>
          </w:p>
        </w:tc>
      </w:tr>
      <w:tr w14:paraId="52FE3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667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DC5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BEDF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A4814">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FB180">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22A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F60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C7F06">
            <w:pPr>
              <w:jc w:val="center"/>
            </w:pPr>
            <w:r>
              <w:rPr>
                <w:rFonts w:ascii="宋体" w:hAnsi="宋体" w:eastAsia="宋体"/>
                <w:sz w:val="16"/>
              </w:rPr>
              <w:t>—</w:t>
            </w:r>
          </w:p>
        </w:tc>
      </w:tr>
      <w:tr w14:paraId="170DCA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9BF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BA09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FF9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EA7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8E6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99E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629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E2529">
            <w:pPr>
              <w:jc w:val="center"/>
            </w:pPr>
            <w:r>
              <w:rPr>
                <w:rFonts w:ascii="宋体" w:hAnsi="宋体" w:eastAsia="宋体"/>
                <w:sz w:val="16"/>
              </w:rPr>
              <w:t>—</w:t>
            </w:r>
          </w:p>
        </w:tc>
      </w:tr>
      <w:tr w14:paraId="7E39297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241D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EB24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1EC958">
            <w:pPr>
              <w:jc w:val="center"/>
            </w:pPr>
            <w:r>
              <w:rPr>
                <w:rFonts w:ascii="宋体" w:hAnsi="宋体" w:eastAsia="宋体"/>
                <w:sz w:val="16"/>
              </w:rPr>
              <w:t>实际完成情况</w:t>
            </w:r>
          </w:p>
        </w:tc>
      </w:tr>
      <w:tr w14:paraId="4FBBAF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374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79CD5">
            <w:pPr>
              <w:jc w:val="both"/>
            </w:pPr>
            <w:r>
              <w:rPr>
                <w:rFonts w:ascii="宋体" w:hAnsi="宋体" w:eastAsia="宋体"/>
                <w:sz w:val="16"/>
              </w:rPr>
              <w:t>为保障“协商在基层”工作正常开展，探索更好发挥政协专门协商机构作用、推动政治协商与基层协商有效衔接、实现政协协商与基层治理相结合的方法途径，自治区基层政协补助经费5万元，用于购置单位办公用品1批2.2万元，在博物馆制作“委员之家”展览墙1个2.8万元。有利于改善办公条件，提升政协委员参政议政水平及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AE5AC3">
            <w:pPr>
              <w:jc w:val="both"/>
            </w:pPr>
            <w:r>
              <w:rPr>
                <w:rFonts w:hint="eastAsia" w:ascii="宋体" w:hAnsi="宋体"/>
                <w:sz w:val="16"/>
                <w:lang w:eastAsia="zh-CN"/>
              </w:rPr>
              <w:t>截至2024</w:t>
            </w:r>
            <w:r>
              <w:rPr>
                <w:rFonts w:ascii="宋体" w:hAnsi="宋体" w:eastAsia="宋体"/>
                <w:sz w:val="16"/>
              </w:rPr>
              <w:t>年12月31日，该项目执行资金5万元，完成率100%，具体用于英吉沙县博物馆做“委员之家”展览墙27586元，英吉沙县政协文史资料室打造费用2530元，2023年政协会议系统费用19884元。</w:t>
            </w:r>
          </w:p>
        </w:tc>
      </w:tr>
      <w:tr w14:paraId="5132A0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1B5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E2D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A82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EE2C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41D7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99A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2D5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02F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8748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CBA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8891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624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DB0A7">
            <w:pPr>
              <w:jc w:val="center"/>
            </w:pPr>
            <w:r>
              <w:rPr>
                <w:rFonts w:ascii="宋体" w:hAnsi="宋体" w:eastAsia="宋体"/>
                <w:sz w:val="16"/>
              </w:rPr>
              <w:t>偏差原因分析及改进措施</w:t>
            </w:r>
          </w:p>
        </w:tc>
      </w:tr>
      <w:tr w14:paraId="6AEB17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8561F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ACA3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1D9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0FBE9">
            <w:pPr>
              <w:jc w:val="center"/>
            </w:pPr>
            <w:r>
              <w:rPr>
                <w:rFonts w:ascii="宋体" w:hAnsi="宋体" w:eastAsia="宋体"/>
                <w:sz w:val="16"/>
              </w:rPr>
              <w:t>购置办公用品数量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35C7">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30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D853E">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29D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451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3C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4587">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13A0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D856E">
            <w:pPr>
              <w:jc w:val="center"/>
            </w:pPr>
          </w:p>
        </w:tc>
      </w:tr>
      <w:tr w14:paraId="477EE5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F9D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338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DB8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770B3">
            <w:pPr>
              <w:jc w:val="center"/>
            </w:pPr>
            <w:r>
              <w:rPr>
                <w:rFonts w:ascii="宋体" w:hAnsi="宋体" w:eastAsia="宋体"/>
                <w:sz w:val="16"/>
              </w:rPr>
              <w:t>在县博物馆制作“委员之家”展览墙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66C68">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E5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2A3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643A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1DD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C0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B35A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78C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D1AC0">
            <w:pPr>
              <w:jc w:val="center"/>
            </w:pPr>
          </w:p>
        </w:tc>
      </w:tr>
      <w:tr w14:paraId="3A6BC5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C32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3C2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C26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85538">
            <w:pPr>
              <w:jc w:val="center"/>
            </w:pPr>
            <w:r>
              <w:rPr>
                <w:rFonts w:ascii="宋体" w:hAnsi="宋体" w:eastAsia="宋体"/>
                <w:sz w:val="16"/>
              </w:rPr>
              <w:t>商品验收合格率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989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436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4A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F586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8FD2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F56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A21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14E8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A693E">
            <w:pPr>
              <w:jc w:val="center"/>
            </w:pPr>
          </w:p>
        </w:tc>
      </w:tr>
      <w:tr w14:paraId="6D23F3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06A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D16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A12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133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B50E">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C2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3BD05">
            <w:pPr>
              <w:jc w:val="center"/>
            </w:pPr>
            <w:r>
              <w:rPr>
                <w:rFonts w:ascii="宋体" w:hAnsi="宋体" w:eastAsia="宋体"/>
                <w:sz w:val="16"/>
              </w:rPr>
              <w:t>2023年12月24日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7EE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05E6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4C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5D26">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C4E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E126D">
            <w:pPr>
              <w:jc w:val="center"/>
            </w:pPr>
          </w:p>
        </w:tc>
      </w:tr>
      <w:tr w14:paraId="052340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C25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69B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10A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1243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00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6F5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D5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18B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2B8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40A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6E2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D0BC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1F2F6">
            <w:pPr>
              <w:jc w:val="center"/>
            </w:pPr>
          </w:p>
        </w:tc>
      </w:tr>
      <w:tr w14:paraId="3698FF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502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339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7F1A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EB78">
            <w:pPr>
              <w:jc w:val="center"/>
            </w:pPr>
            <w:r>
              <w:rPr>
                <w:rFonts w:ascii="宋体" w:hAnsi="宋体" w:eastAsia="宋体"/>
                <w:sz w:val="16"/>
              </w:rPr>
              <w:t>购买办公用品成本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EE6BE">
            <w:pPr>
              <w:jc w:val="center"/>
            </w:pPr>
            <w:r>
              <w:rPr>
                <w:rFonts w:ascii="宋体" w:hAnsi="宋体" w:eastAsia="宋体"/>
                <w:sz w:val="16"/>
              </w:rPr>
              <w:t>&lt;=2.20万元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880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CAA08">
            <w:pPr>
              <w:jc w:val="center"/>
            </w:pPr>
            <w:r>
              <w:rPr>
                <w:rFonts w:ascii="宋体" w:hAnsi="宋体" w:eastAsia="宋体"/>
                <w:sz w:val="16"/>
              </w:rPr>
              <w:t>2.37万元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DA5E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D2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B67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11E1">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8C8D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1DE03">
            <w:pPr>
              <w:jc w:val="center"/>
            </w:pPr>
          </w:p>
        </w:tc>
      </w:tr>
      <w:tr w14:paraId="106B0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941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F47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A59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A05B">
            <w:pPr>
              <w:jc w:val="center"/>
            </w:pPr>
            <w:r>
              <w:rPr>
                <w:rFonts w:ascii="宋体" w:hAnsi="宋体" w:eastAsia="宋体"/>
                <w:sz w:val="16"/>
              </w:rPr>
              <w:t>制作“委员之家”展览墙成本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7A58">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5D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500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07C0B">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962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E51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BEE67">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0DC37">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1B91C">
            <w:pPr>
              <w:jc w:val="center"/>
            </w:pPr>
          </w:p>
        </w:tc>
      </w:tr>
      <w:tr w14:paraId="407D97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1D1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544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E6A8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69F05">
            <w:pPr>
              <w:jc w:val="center"/>
            </w:pPr>
            <w:r>
              <w:rPr>
                <w:rFonts w:ascii="宋体" w:hAnsi="宋体" w:eastAsia="宋体"/>
                <w:sz w:val="16"/>
              </w:rPr>
              <w:t>改善单位办公条件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7B2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8A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333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D77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AE9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30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B5BE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6C0F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CBA61">
            <w:pPr>
              <w:jc w:val="center"/>
            </w:pPr>
          </w:p>
        </w:tc>
      </w:tr>
      <w:tr w14:paraId="169413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295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EA5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985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E10D6">
            <w:pPr>
              <w:jc w:val="center"/>
            </w:pPr>
            <w:r>
              <w:rPr>
                <w:rFonts w:ascii="宋体" w:hAnsi="宋体" w:eastAsia="宋体"/>
                <w:sz w:val="16"/>
              </w:rPr>
              <w:t>受益政协委员满意度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EF6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07D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863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D9A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EA2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EF9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654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137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CA547">
            <w:pPr>
              <w:jc w:val="center"/>
            </w:pPr>
            <w:r>
              <w:rPr>
                <w:rFonts w:ascii="宋体" w:hAnsi="宋体" w:eastAsia="宋体"/>
                <w:sz w:val="16"/>
              </w:rPr>
              <w:t>满意度实际完成值高于预期目标值，指标完成率高于100%。</w:t>
            </w:r>
          </w:p>
        </w:tc>
      </w:tr>
      <w:tr w14:paraId="33A5CCF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FE305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4F57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4C6DD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A44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290552"/>
        </w:tc>
      </w:tr>
    </w:tbl>
    <w:p w14:paraId="597E471A">
      <w:r>
        <w:br w:type="page"/>
      </w:r>
    </w:p>
    <w:p w14:paraId="339788FA">
      <w:pPr>
        <w:spacing w:line="640" w:lineRule="exact"/>
        <w:ind w:firstLine="640"/>
        <w:jc w:val="both"/>
        <w:outlineLvl w:val="2"/>
      </w:pPr>
      <w:r>
        <w:rPr>
          <w:rFonts w:ascii="黑体" w:hAnsi="黑体" w:eastAsia="黑体"/>
          <w:sz w:val="32"/>
        </w:rPr>
        <w:t>十二、其他需说明的事项</w:t>
      </w:r>
    </w:p>
    <w:p w14:paraId="3A06797A">
      <w:pPr>
        <w:spacing w:line="580" w:lineRule="exact"/>
        <w:ind w:firstLine="640"/>
        <w:jc w:val="both"/>
      </w:pPr>
      <w:r>
        <w:rPr>
          <w:rFonts w:ascii="仿宋_GB2312" w:hAnsi="仿宋_GB2312" w:eastAsia="仿宋_GB2312"/>
          <w:b w:val="0"/>
          <w:sz w:val="32"/>
        </w:rPr>
        <w:t>本单位无其他需说明的事项。</w:t>
      </w:r>
    </w:p>
    <w:p w14:paraId="71B4C596">
      <w:r>
        <w:br w:type="page"/>
      </w:r>
    </w:p>
    <w:p w14:paraId="6313E206">
      <w:pPr>
        <w:spacing w:line="240" w:lineRule="auto"/>
        <w:jc w:val="center"/>
        <w:outlineLvl w:val="1"/>
      </w:pPr>
      <w:r>
        <w:rPr>
          <w:rFonts w:ascii="黑体" w:hAnsi="黑体" w:eastAsia="黑体"/>
          <w:sz w:val="32"/>
        </w:rPr>
        <w:t>第三部分 专业名词解释</w:t>
      </w:r>
    </w:p>
    <w:p w14:paraId="0F6FD12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DFE5F0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C566E2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7C50CA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C30A6C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966D9D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B42B0D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F374B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C118D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2A12FD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A1389D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B94525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934AEA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690C72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A17B382">
      <w:r>
        <w:br w:type="page"/>
      </w:r>
    </w:p>
    <w:p w14:paraId="7E8ABBCA">
      <w:pPr>
        <w:spacing w:line="240" w:lineRule="auto"/>
        <w:jc w:val="center"/>
        <w:outlineLvl w:val="1"/>
      </w:pPr>
      <w:r>
        <w:rPr>
          <w:rFonts w:ascii="黑体" w:hAnsi="黑体" w:eastAsia="黑体"/>
          <w:sz w:val="32"/>
        </w:rPr>
        <w:t>第四部分 部门决算报表（见附表）</w:t>
      </w:r>
    </w:p>
    <w:p w14:paraId="1D264804">
      <w:pPr>
        <w:spacing w:line="240" w:lineRule="auto"/>
        <w:ind w:firstLine="640"/>
        <w:jc w:val="both"/>
      </w:pPr>
      <w:r>
        <w:rPr>
          <w:rFonts w:ascii="仿宋_GB2312" w:hAnsi="仿宋_GB2312" w:eastAsia="仿宋_GB2312"/>
          <w:b w:val="0"/>
          <w:sz w:val="32"/>
        </w:rPr>
        <w:t>一、《收入支出决算总表》</w:t>
      </w:r>
    </w:p>
    <w:p w14:paraId="42077381">
      <w:pPr>
        <w:spacing w:line="240" w:lineRule="auto"/>
        <w:ind w:firstLine="640"/>
        <w:jc w:val="both"/>
      </w:pPr>
      <w:r>
        <w:rPr>
          <w:rFonts w:ascii="仿宋_GB2312" w:hAnsi="仿宋_GB2312" w:eastAsia="仿宋_GB2312"/>
          <w:b w:val="0"/>
          <w:sz w:val="32"/>
        </w:rPr>
        <w:t>二、《收入决算表》</w:t>
      </w:r>
    </w:p>
    <w:p w14:paraId="0642947E">
      <w:pPr>
        <w:spacing w:line="240" w:lineRule="auto"/>
        <w:ind w:firstLine="640"/>
        <w:jc w:val="both"/>
      </w:pPr>
      <w:r>
        <w:rPr>
          <w:rFonts w:ascii="仿宋_GB2312" w:hAnsi="仿宋_GB2312" w:eastAsia="仿宋_GB2312"/>
          <w:b w:val="0"/>
          <w:sz w:val="32"/>
        </w:rPr>
        <w:t>三、《支出决算表》</w:t>
      </w:r>
    </w:p>
    <w:p w14:paraId="32F16801">
      <w:pPr>
        <w:spacing w:line="240" w:lineRule="auto"/>
        <w:ind w:firstLine="640"/>
        <w:jc w:val="both"/>
      </w:pPr>
      <w:r>
        <w:rPr>
          <w:rFonts w:ascii="仿宋_GB2312" w:hAnsi="仿宋_GB2312" w:eastAsia="仿宋_GB2312"/>
          <w:b w:val="0"/>
          <w:sz w:val="32"/>
        </w:rPr>
        <w:t>四、《财政拨款收入支出决算总表》</w:t>
      </w:r>
    </w:p>
    <w:p w14:paraId="03B3BECE">
      <w:pPr>
        <w:spacing w:line="240" w:lineRule="auto"/>
        <w:ind w:firstLine="640"/>
        <w:jc w:val="both"/>
      </w:pPr>
      <w:r>
        <w:rPr>
          <w:rFonts w:ascii="仿宋_GB2312" w:hAnsi="仿宋_GB2312" w:eastAsia="仿宋_GB2312"/>
          <w:b w:val="0"/>
          <w:sz w:val="32"/>
        </w:rPr>
        <w:t>五、《一般公共预算财政拨款支出决算表》</w:t>
      </w:r>
    </w:p>
    <w:p w14:paraId="24E910B3">
      <w:pPr>
        <w:spacing w:line="240" w:lineRule="auto"/>
        <w:ind w:firstLine="640"/>
        <w:jc w:val="both"/>
      </w:pPr>
      <w:r>
        <w:rPr>
          <w:rFonts w:ascii="仿宋_GB2312" w:hAnsi="仿宋_GB2312" w:eastAsia="仿宋_GB2312"/>
          <w:b w:val="0"/>
          <w:sz w:val="32"/>
        </w:rPr>
        <w:t>六、《一般公共预算财政拨款基本支出决算表》</w:t>
      </w:r>
    </w:p>
    <w:p w14:paraId="4B95A69A">
      <w:pPr>
        <w:spacing w:line="240" w:lineRule="auto"/>
        <w:ind w:firstLine="640"/>
        <w:jc w:val="both"/>
      </w:pPr>
      <w:r>
        <w:rPr>
          <w:rFonts w:ascii="仿宋_GB2312" w:hAnsi="仿宋_GB2312" w:eastAsia="仿宋_GB2312"/>
          <w:b w:val="0"/>
          <w:sz w:val="32"/>
        </w:rPr>
        <w:t>七、《政府性基金预算财政拨款收入支出决算表》</w:t>
      </w:r>
    </w:p>
    <w:p w14:paraId="4FDBB5CA">
      <w:pPr>
        <w:spacing w:line="240" w:lineRule="auto"/>
        <w:ind w:firstLine="640"/>
        <w:jc w:val="both"/>
      </w:pPr>
      <w:r>
        <w:rPr>
          <w:rFonts w:ascii="仿宋_GB2312" w:hAnsi="仿宋_GB2312" w:eastAsia="仿宋_GB2312"/>
          <w:b w:val="0"/>
          <w:sz w:val="32"/>
        </w:rPr>
        <w:t>八、《国有资本经营预算财政拨款收入支出决算表》</w:t>
      </w:r>
    </w:p>
    <w:p w14:paraId="451778D3">
      <w:pPr>
        <w:spacing w:line="240" w:lineRule="auto"/>
        <w:ind w:firstLine="640"/>
        <w:jc w:val="both"/>
      </w:pPr>
      <w:r>
        <w:rPr>
          <w:rFonts w:ascii="仿宋_GB2312" w:hAnsi="仿宋_GB2312" w:eastAsia="仿宋_GB2312"/>
          <w:b w:val="0"/>
          <w:sz w:val="32"/>
        </w:rPr>
        <w:t>九、《财政拨款“三公”经费支出决算表》</w:t>
      </w:r>
    </w:p>
    <w:p w14:paraId="70B3CA71">
      <w:pPr>
        <w:spacing w:line="240" w:lineRule="auto"/>
        <w:ind w:firstLine="640"/>
        <w:jc w:val="both"/>
      </w:pPr>
    </w:p>
    <w:p w14:paraId="5AB25859">
      <w:pPr>
        <w:spacing w:line="240" w:lineRule="auto"/>
        <w:ind w:firstLine="640"/>
        <w:jc w:val="both"/>
      </w:pPr>
    </w:p>
    <w:p w14:paraId="5DFDD5A5">
      <w:pPr>
        <w:spacing w:line="240" w:lineRule="auto"/>
        <w:ind w:firstLine="640"/>
        <w:jc w:val="both"/>
      </w:pPr>
    </w:p>
    <w:p w14:paraId="763902AB">
      <w:pPr>
        <w:spacing w:line="240" w:lineRule="auto"/>
        <w:ind w:firstLine="640"/>
        <w:jc w:val="both"/>
      </w:pPr>
    </w:p>
    <w:p w14:paraId="06B45EF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5B5B67"/>
    <w:rsid w:val="3D5275AC"/>
    <w:rsid w:val="3EA7725F"/>
    <w:rsid w:val="3EC014A1"/>
    <w:rsid w:val="40834692"/>
    <w:rsid w:val="423A32B2"/>
    <w:rsid w:val="423C0CB4"/>
    <w:rsid w:val="427B5743"/>
    <w:rsid w:val="42A6209E"/>
    <w:rsid w:val="42E64542"/>
    <w:rsid w:val="464B7E04"/>
    <w:rsid w:val="464F7E64"/>
    <w:rsid w:val="46901EEE"/>
    <w:rsid w:val="469C74D2"/>
    <w:rsid w:val="47445515"/>
    <w:rsid w:val="49090134"/>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5325</Words>
  <Characters>6026</Characters>
  <Lines>0</Lines>
  <Paragraphs>0</Paragraphs>
  <TotalTime>16</TotalTime>
  <ScaleCrop>false</ScaleCrop>
  <LinksUpToDate>false</LinksUpToDate>
  <CharactersWithSpaces>6034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2025-09-17T03:23:55Z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