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中国人民解放军新疆维吾尔自治区英吉沙县人民武装部2024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5898226">
      <w:r>
        <w:br w:type="page"/>
      </w:r>
    </w:p>
    <w:p w14:paraId="46BD0B3E">
      <w:pPr>
        <w:spacing w:line="640" w:lineRule="exact"/>
        <w:jc w:val="center"/>
        <w:outlineLvl w:val="1"/>
      </w:pPr>
      <w:r>
        <w:rPr>
          <w:rFonts w:ascii="黑体" w:hAnsi="黑体" w:eastAsia="黑体"/>
          <w:sz w:val="32"/>
        </w:rPr>
        <w:t>第一部分 单位概况</w:t>
      </w:r>
    </w:p>
    <w:p w14:paraId="535DAD30">
      <w:pPr>
        <w:spacing w:line="640" w:lineRule="exact"/>
        <w:ind w:firstLine="640"/>
        <w:jc w:val="both"/>
        <w:outlineLvl w:val="2"/>
      </w:pPr>
      <w:r>
        <w:rPr>
          <w:rFonts w:ascii="黑体" w:hAnsi="黑体" w:eastAsia="黑体"/>
          <w:sz w:val="32"/>
        </w:rPr>
        <w:t>一、主要职能</w:t>
      </w:r>
    </w:p>
    <w:p w14:paraId="7DADC0F1">
      <w:pPr>
        <w:spacing w:line="580" w:lineRule="exact"/>
        <w:ind w:firstLine="640"/>
        <w:jc w:val="both"/>
      </w:pPr>
      <w:r>
        <w:rPr>
          <w:rFonts w:ascii="仿宋_GB2312" w:hAnsi="仿宋_GB2312" w:eastAsia="仿宋_GB2312"/>
          <w:sz w:val="32"/>
        </w:rPr>
        <w:t>（1）负责本地区民兵、预备役工作。</w:t>
      </w:r>
    </w:p>
    <w:p w14:paraId="2D4BC357">
      <w:pPr>
        <w:spacing w:line="580" w:lineRule="exact"/>
        <w:ind w:firstLine="640"/>
        <w:jc w:val="both"/>
      </w:pPr>
      <w:r>
        <w:rPr>
          <w:rFonts w:ascii="仿宋_GB2312" w:hAnsi="仿宋_GB2312" w:eastAsia="仿宋_GB2312"/>
          <w:sz w:val="32"/>
        </w:rPr>
        <w:t>（2）领导本地区的民兵组织建设、政治教育、军事训练和装备管理。</w:t>
      </w:r>
    </w:p>
    <w:p w14:paraId="0874BEE7">
      <w:pPr>
        <w:spacing w:line="580" w:lineRule="exact"/>
        <w:ind w:firstLine="640"/>
        <w:jc w:val="both"/>
      </w:pPr>
      <w:r>
        <w:rPr>
          <w:rFonts w:ascii="仿宋_GB2312" w:hAnsi="仿宋_GB2312" w:eastAsia="仿宋_GB2312"/>
          <w:sz w:val="32"/>
        </w:rPr>
        <w:t>（3）开展全民国防教育、做好拥军优属和拥政爱民工作。</w:t>
      </w:r>
    </w:p>
    <w:p w14:paraId="7C638492">
      <w:pPr>
        <w:spacing w:line="580" w:lineRule="exact"/>
        <w:ind w:firstLine="640"/>
        <w:jc w:val="both"/>
      </w:pPr>
      <w:r>
        <w:rPr>
          <w:rFonts w:ascii="仿宋_GB2312" w:hAnsi="仿宋_GB2312" w:eastAsia="仿宋_GB2312"/>
          <w:sz w:val="32"/>
        </w:rPr>
        <w:t>（4）组织民兵执勤、防汛、抢险、救灾等。</w:t>
      </w:r>
    </w:p>
    <w:p w14:paraId="46719309">
      <w:pPr>
        <w:spacing w:line="640" w:lineRule="exact"/>
        <w:ind w:firstLine="640"/>
        <w:jc w:val="both"/>
        <w:outlineLvl w:val="2"/>
      </w:pPr>
      <w:r>
        <w:rPr>
          <w:rFonts w:ascii="黑体" w:hAnsi="黑体" w:eastAsia="黑体"/>
          <w:sz w:val="32"/>
        </w:rPr>
        <w:t>二、机构设置及人员情况</w:t>
      </w:r>
    </w:p>
    <w:p w14:paraId="746C2927">
      <w:pPr>
        <w:spacing w:line="580" w:lineRule="exact"/>
        <w:ind w:firstLine="640"/>
        <w:jc w:val="both"/>
      </w:pPr>
      <w:r>
        <w:rPr>
          <w:rFonts w:ascii="仿宋_GB2312" w:hAnsi="仿宋_GB2312" w:eastAsia="仿宋_GB2312"/>
          <w:sz w:val="32"/>
        </w:rPr>
        <w:t>中国人民解放军新疆维吾尔自治区英吉沙县人民武装部2024年度，实有人数5人，其中：在职人员3人，减少1人；离休人员0人，增加0人；退休人员2人,增加1人。</w:t>
      </w:r>
    </w:p>
    <w:p w14:paraId="50C334B8">
      <w:pPr>
        <w:spacing w:line="580" w:lineRule="exact"/>
        <w:ind w:firstLine="640"/>
        <w:jc w:val="both"/>
      </w:pPr>
      <w:r>
        <w:rPr>
          <w:rFonts w:ascii="仿宋_GB2312" w:hAnsi="仿宋_GB2312" w:eastAsia="仿宋_GB2312"/>
          <w:sz w:val="32"/>
        </w:rPr>
        <w:t>中国人民解放军新疆维吾尔自治区英吉沙县人民武装部无下属预算单位，下设1个科室，分别是：后勤科。</w:t>
      </w:r>
    </w:p>
    <w:p w14:paraId="3F5D2B79">
      <w:r>
        <w:br w:type="page"/>
      </w:r>
    </w:p>
    <w:p w14:paraId="0D7C6A6F">
      <w:pPr>
        <w:spacing w:line="240" w:lineRule="auto"/>
        <w:jc w:val="center"/>
        <w:outlineLvl w:val="1"/>
      </w:pPr>
      <w:r>
        <w:rPr>
          <w:rFonts w:ascii="黑体" w:hAnsi="黑体" w:eastAsia="黑体"/>
          <w:sz w:val="32"/>
        </w:rPr>
        <w:t>第二部分 部门决算情况说明</w:t>
      </w:r>
    </w:p>
    <w:p w14:paraId="6578F2A4">
      <w:pPr>
        <w:spacing w:line="640" w:lineRule="exact"/>
        <w:ind w:firstLine="640"/>
        <w:jc w:val="both"/>
        <w:outlineLvl w:val="2"/>
      </w:pPr>
      <w:r>
        <w:rPr>
          <w:rFonts w:ascii="黑体" w:hAnsi="黑体" w:eastAsia="黑体"/>
          <w:sz w:val="32"/>
        </w:rPr>
        <w:t>一、收入支出决算总体情况说明</w:t>
      </w:r>
    </w:p>
    <w:p w14:paraId="7CC410C3">
      <w:pPr>
        <w:spacing w:line="580" w:lineRule="exact"/>
        <w:ind w:firstLine="640"/>
        <w:jc w:val="both"/>
      </w:pPr>
      <w:r>
        <w:rPr>
          <w:rFonts w:ascii="仿宋_GB2312" w:hAnsi="仿宋_GB2312" w:eastAsia="仿宋_GB2312"/>
          <w:b/>
          <w:sz w:val="32"/>
        </w:rPr>
        <w:t>2024年度收入总计114.62万元，</w:t>
      </w:r>
      <w:r>
        <w:rPr>
          <w:rFonts w:ascii="仿宋_GB2312" w:hAnsi="仿宋_GB2312" w:eastAsia="仿宋_GB2312"/>
          <w:b w:val="0"/>
          <w:sz w:val="32"/>
        </w:rPr>
        <w:t>其中：本年收入合计114.62万元，使用非财政拨款结余（含专用结余）0.00万元，年初结转和结余0.00万元。</w:t>
      </w:r>
    </w:p>
    <w:p w14:paraId="72B12540">
      <w:pPr>
        <w:spacing w:line="580" w:lineRule="exact"/>
        <w:ind w:firstLine="640"/>
        <w:jc w:val="both"/>
      </w:pPr>
      <w:r>
        <w:rPr>
          <w:rFonts w:ascii="仿宋_GB2312" w:hAnsi="仿宋_GB2312" w:eastAsia="仿宋_GB2312"/>
          <w:b/>
          <w:sz w:val="32"/>
        </w:rPr>
        <w:t>2024年度支出总计114.62万元，</w:t>
      </w:r>
      <w:r>
        <w:rPr>
          <w:rFonts w:ascii="仿宋_GB2312" w:hAnsi="仿宋_GB2312" w:eastAsia="仿宋_GB2312"/>
          <w:b w:val="0"/>
          <w:sz w:val="32"/>
        </w:rPr>
        <w:t>其中：本年支出合计114.62万元，结余分配0.00万元，年末结转和结余0.00万元。</w:t>
      </w:r>
    </w:p>
    <w:p w14:paraId="1B001DAC">
      <w:pPr>
        <w:spacing w:line="580" w:lineRule="exact"/>
        <w:ind w:firstLine="640"/>
        <w:jc w:val="both"/>
      </w:pPr>
      <w:r>
        <w:rPr>
          <w:rFonts w:ascii="仿宋_GB2312" w:hAnsi="仿宋_GB2312" w:eastAsia="仿宋_GB2312"/>
          <w:b w:val="0"/>
          <w:sz w:val="32"/>
        </w:rPr>
        <w:t>收入支出总体与上年相比，增加19.51万元，增长20.51%，主要原因是：本年增加被装购置费等经费，导致相关经费增加。</w:t>
      </w:r>
    </w:p>
    <w:p w14:paraId="0EEE21C0">
      <w:pPr>
        <w:spacing w:line="640" w:lineRule="exact"/>
        <w:ind w:firstLine="640"/>
        <w:jc w:val="both"/>
        <w:outlineLvl w:val="2"/>
      </w:pPr>
      <w:r>
        <w:rPr>
          <w:rFonts w:ascii="黑体" w:hAnsi="黑体" w:eastAsia="黑体"/>
          <w:sz w:val="32"/>
        </w:rPr>
        <w:t>二、收入决算情况说明</w:t>
      </w:r>
    </w:p>
    <w:p w14:paraId="72BFA92A">
      <w:pPr>
        <w:spacing w:line="580" w:lineRule="exact"/>
        <w:ind w:firstLine="640"/>
        <w:jc w:val="both"/>
      </w:pPr>
      <w:r>
        <w:rPr>
          <w:rFonts w:ascii="仿宋_GB2312" w:hAnsi="仿宋_GB2312" w:eastAsia="仿宋_GB2312"/>
          <w:b/>
          <w:sz w:val="32"/>
        </w:rPr>
        <w:t>本年收入114.62万元，</w:t>
      </w:r>
      <w:r>
        <w:rPr>
          <w:rFonts w:ascii="仿宋_GB2312" w:hAnsi="仿宋_GB2312" w:eastAsia="仿宋_GB2312"/>
          <w:b w:val="0"/>
          <w:sz w:val="32"/>
        </w:rPr>
        <w:t>其中：财政拨款收入114.62万元，占100.00%；上级补助收入0.00万元，占0.00%；事业收入0.00万元，占0.00%；经营收入0.00万元，占0.00%；附属单位上缴收入0.00万元，占0.00%；其他收入0.00万元，占0.00%。</w:t>
      </w:r>
    </w:p>
    <w:p w14:paraId="74136E72">
      <w:pPr>
        <w:spacing w:line="640" w:lineRule="exact"/>
        <w:ind w:firstLine="640"/>
        <w:jc w:val="both"/>
        <w:outlineLvl w:val="2"/>
      </w:pPr>
      <w:r>
        <w:rPr>
          <w:rFonts w:ascii="黑体" w:hAnsi="黑体" w:eastAsia="黑体"/>
          <w:sz w:val="32"/>
        </w:rPr>
        <w:t>三、支出决算情况说明</w:t>
      </w:r>
    </w:p>
    <w:p w14:paraId="08232083">
      <w:pPr>
        <w:spacing w:line="580" w:lineRule="exact"/>
        <w:ind w:firstLine="640"/>
        <w:jc w:val="both"/>
      </w:pPr>
      <w:r>
        <w:rPr>
          <w:rFonts w:ascii="仿宋_GB2312" w:hAnsi="仿宋_GB2312" w:eastAsia="仿宋_GB2312"/>
          <w:b/>
          <w:sz w:val="32"/>
        </w:rPr>
        <w:t>本年支出114.62万元，</w:t>
      </w:r>
      <w:r>
        <w:rPr>
          <w:rFonts w:ascii="仿宋_GB2312" w:hAnsi="仿宋_GB2312" w:eastAsia="仿宋_GB2312"/>
          <w:b w:val="0"/>
          <w:sz w:val="32"/>
        </w:rPr>
        <w:t>其中：基本支出114.62万元，占100.00%；项目支出0.00万元，占0.00%；上缴上级支出0.00万元，占0.00%；经营支出0.00万元，占0.00%；对附属单位补助支出0.00万元，占0.00%。</w:t>
      </w:r>
    </w:p>
    <w:p w14:paraId="57AB3A06">
      <w:pPr>
        <w:spacing w:line="640" w:lineRule="exact"/>
        <w:ind w:firstLine="640"/>
        <w:jc w:val="both"/>
        <w:outlineLvl w:val="2"/>
      </w:pPr>
      <w:r>
        <w:rPr>
          <w:rFonts w:ascii="黑体" w:hAnsi="黑体" w:eastAsia="黑体"/>
          <w:sz w:val="32"/>
        </w:rPr>
        <w:t>四、财政拨款收入支出决算总体情况说明</w:t>
      </w:r>
    </w:p>
    <w:p w14:paraId="7F175886">
      <w:pPr>
        <w:spacing w:line="580" w:lineRule="exact"/>
        <w:ind w:firstLine="640"/>
        <w:jc w:val="both"/>
      </w:pPr>
      <w:r>
        <w:rPr>
          <w:rFonts w:ascii="仿宋_GB2312" w:hAnsi="仿宋_GB2312" w:eastAsia="仿宋_GB2312"/>
          <w:b/>
          <w:sz w:val="32"/>
        </w:rPr>
        <w:t>2024年度财政拨款收入总计114.62万元，</w:t>
      </w:r>
      <w:r>
        <w:rPr>
          <w:rFonts w:ascii="仿宋_GB2312" w:hAnsi="仿宋_GB2312" w:eastAsia="仿宋_GB2312"/>
          <w:b w:val="0"/>
          <w:sz w:val="32"/>
        </w:rPr>
        <w:t>其中：年初财政拨款结转和结余0.00万元，本年财政拨款收入114.62万元。</w:t>
      </w:r>
      <w:r>
        <w:rPr>
          <w:rFonts w:ascii="仿宋_GB2312" w:hAnsi="仿宋_GB2312" w:eastAsia="仿宋_GB2312"/>
          <w:b/>
          <w:sz w:val="32"/>
        </w:rPr>
        <w:t>财政拨款支出总计114.62万元，</w:t>
      </w:r>
      <w:r>
        <w:rPr>
          <w:rFonts w:ascii="仿宋_GB2312" w:hAnsi="仿宋_GB2312" w:eastAsia="仿宋_GB2312"/>
          <w:b w:val="0"/>
          <w:sz w:val="32"/>
        </w:rPr>
        <w:t>其中：年末财政拨款结转和结余0.00万元，本年财政拨款支出114.62万元。</w:t>
      </w:r>
    </w:p>
    <w:p w14:paraId="2FC56C5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增加19.51万元，增长20.51%，主要原因是：本年增加被装购置费等经费，导致相关经费增加。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年初预算数86.92万元，决算数114.62万元，预决算差异率31.87%，主要原因是：年中</w:t>
      </w:r>
      <w:r>
        <w:rPr>
          <w:rFonts w:hint="eastAsia" w:ascii="仿宋_GB2312" w:hAnsi="仿宋_GB2312" w:eastAsia="仿宋_GB2312"/>
          <w:b w:val="0"/>
          <w:sz w:val="32"/>
          <w:lang w:val="en-US" w:eastAsia="zh-CN"/>
        </w:rPr>
        <w:t>追加</w:t>
      </w:r>
      <w:r>
        <w:rPr>
          <w:rFonts w:ascii="仿宋_GB2312" w:hAnsi="仿宋_GB2312" w:eastAsia="仿宋_GB2312"/>
          <w:b w:val="0"/>
          <w:sz w:val="32"/>
        </w:rPr>
        <w:t>被装购置费等经费，导致预决算存在差异。</w:t>
      </w:r>
    </w:p>
    <w:p w14:paraId="2713DE3B">
      <w:pPr>
        <w:spacing w:line="640" w:lineRule="exact"/>
        <w:ind w:firstLine="640"/>
        <w:jc w:val="both"/>
        <w:outlineLvl w:val="2"/>
      </w:pPr>
      <w:r>
        <w:rPr>
          <w:rFonts w:ascii="黑体" w:hAnsi="黑体" w:eastAsia="黑体"/>
          <w:sz w:val="32"/>
        </w:rPr>
        <w:t>五、一般公共预算财政拨款支出决算情况说明</w:t>
      </w:r>
    </w:p>
    <w:p w14:paraId="050FD311">
      <w:pPr>
        <w:spacing w:line="640" w:lineRule="exact"/>
        <w:ind w:firstLine="640"/>
        <w:jc w:val="both"/>
        <w:outlineLvl w:val="3"/>
      </w:pPr>
      <w:r>
        <w:rPr>
          <w:rFonts w:ascii="楷体_GB2312" w:hAnsi="楷体_GB2312" w:eastAsia="楷体_GB2312"/>
          <w:b/>
          <w:sz w:val="32"/>
        </w:rPr>
        <w:t>（一）一般公共预算财政拨款支出决算总体情况</w:t>
      </w:r>
    </w:p>
    <w:p w14:paraId="1896B98A">
      <w:pPr>
        <w:spacing w:line="580" w:lineRule="exact"/>
        <w:ind w:firstLine="640"/>
        <w:jc w:val="both"/>
      </w:pPr>
      <w:r>
        <w:rPr>
          <w:rFonts w:ascii="仿宋_GB2312" w:hAnsi="仿宋_GB2312" w:eastAsia="仿宋_GB2312"/>
          <w:b/>
          <w:sz w:val="32"/>
        </w:rPr>
        <w:t>2024年度一般公共预算财政拨款支出114.62万元，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增加19.51万元，增长20.51%，主要原因是：本年增加被装购置费等经费，导致相关经费增加。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年初预算数86.92万元，决算数114.62万元，预决算差异率31.87%，主要原因是：年中</w:t>
      </w:r>
      <w:r>
        <w:rPr>
          <w:rFonts w:hint="eastAsia" w:ascii="仿宋_GB2312" w:hAnsi="仿宋_GB2312" w:eastAsia="仿宋_GB2312"/>
          <w:b w:val="0"/>
          <w:sz w:val="32"/>
          <w:lang w:val="en-US" w:eastAsia="zh-CN"/>
        </w:rPr>
        <w:t>追加</w:t>
      </w:r>
      <w:r>
        <w:rPr>
          <w:rFonts w:ascii="仿宋_GB2312" w:hAnsi="仿宋_GB2312" w:eastAsia="仿宋_GB2312"/>
          <w:b w:val="0"/>
          <w:sz w:val="32"/>
        </w:rPr>
        <w:t>被装购置费等经费，导致预决算存在差异。</w:t>
      </w:r>
    </w:p>
    <w:p w14:paraId="0E0F6442">
      <w:pPr>
        <w:spacing w:line="640" w:lineRule="exact"/>
        <w:ind w:firstLine="640"/>
        <w:jc w:val="both"/>
        <w:outlineLvl w:val="3"/>
      </w:pPr>
      <w:r>
        <w:rPr>
          <w:rFonts w:ascii="楷体_GB2312" w:hAnsi="楷体_GB2312" w:eastAsia="楷体_GB2312"/>
          <w:b/>
          <w:sz w:val="32"/>
        </w:rPr>
        <w:t>（二）一般公共预算财政拨款支出决算结构情况</w:t>
      </w:r>
    </w:p>
    <w:p w14:paraId="18435F5B">
      <w:pPr>
        <w:spacing w:line="580" w:lineRule="exact"/>
        <w:ind w:firstLine="640"/>
        <w:jc w:val="both"/>
      </w:pPr>
      <w:r>
        <w:rPr>
          <w:rFonts w:ascii="仿宋_GB2312" w:hAnsi="仿宋_GB2312" w:eastAsia="仿宋_GB2312"/>
          <w:b w:val="0"/>
          <w:sz w:val="32"/>
        </w:rPr>
        <w:t>1.一般公共服务支出(类)100.25万元,占87.46%。</w:t>
      </w:r>
    </w:p>
    <w:p w14:paraId="31137BA6">
      <w:pPr>
        <w:spacing w:line="580" w:lineRule="exact"/>
        <w:ind w:firstLine="640"/>
        <w:jc w:val="both"/>
      </w:pPr>
      <w:r>
        <w:rPr>
          <w:rFonts w:ascii="仿宋_GB2312" w:hAnsi="仿宋_GB2312" w:eastAsia="仿宋_GB2312"/>
          <w:b w:val="0"/>
          <w:sz w:val="32"/>
        </w:rPr>
        <w:t>2.社会保障和就业支出(类)7.24万元,占6.32%。</w:t>
      </w:r>
    </w:p>
    <w:p w14:paraId="201F1C66">
      <w:pPr>
        <w:spacing w:line="580" w:lineRule="exact"/>
        <w:ind w:firstLine="640"/>
        <w:jc w:val="both"/>
      </w:pPr>
      <w:r>
        <w:rPr>
          <w:rFonts w:ascii="仿宋_GB2312" w:hAnsi="仿宋_GB2312" w:eastAsia="仿宋_GB2312"/>
          <w:b w:val="0"/>
          <w:sz w:val="32"/>
        </w:rPr>
        <w:t>3.卫生健康支出(类)2.41万元,占2.10%。</w:t>
      </w:r>
    </w:p>
    <w:p w14:paraId="205E1104">
      <w:pPr>
        <w:spacing w:line="580" w:lineRule="exact"/>
        <w:ind w:firstLine="640"/>
        <w:jc w:val="both"/>
      </w:pPr>
      <w:r>
        <w:rPr>
          <w:rFonts w:ascii="仿宋_GB2312" w:hAnsi="仿宋_GB2312" w:eastAsia="仿宋_GB2312"/>
          <w:b w:val="0"/>
          <w:sz w:val="32"/>
        </w:rPr>
        <w:t>4.住房保障支出(类)4.72万元,占4.12%。</w:t>
      </w:r>
    </w:p>
    <w:p w14:paraId="175BA693">
      <w:pPr>
        <w:spacing w:line="640" w:lineRule="exact"/>
        <w:ind w:firstLine="640"/>
        <w:jc w:val="both"/>
        <w:outlineLvl w:val="3"/>
      </w:pPr>
      <w:r>
        <w:rPr>
          <w:rFonts w:ascii="楷体_GB2312" w:hAnsi="楷体_GB2312" w:eastAsia="楷体_GB2312"/>
          <w:b/>
          <w:sz w:val="32"/>
        </w:rPr>
        <w:t>（三）一般公共预算财政拨款支出决算具体情况</w:t>
      </w:r>
    </w:p>
    <w:p w14:paraId="5AB5AC98">
      <w:pPr>
        <w:spacing w:line="580" w:lineRule="exact"/>
        <w:ind w:firstLine="640"/>
        <w:jc w:val="both"/>
      </w:pPr>
      <w:r>
        <w:rPr>
          <w:rFonts w:ascii="仿宋_GB2312" w:hAnsi="仿宋_GB2312" w:eastAsia="仿宋_GB2312"/>
          <w:b w:val="0"/>
          <w:sz w:val="32"/>
        </w:rPr>
        <w:t>1.一般公共服务支出(类)人大事务(款)行政运行(项):支出决算数为0.19万元，比上年决算增加0.19万元，增长100.00%,主要原因是：本年功能科目调整，征兵经费上年度</w:t>
      </w:r>
      <w:r>
        <w:rPr>
          <w:rFonts w:hint="eastAsia" w:ascii="仿宋_GB2312" w:hAnsi="仿宋_GB2312" w:eastAsia="仿宋_GB2312"/>
          <w:b w:val="0"/>
          <w:sz w:val="32"/>
          <w:lang w:val="en-US" w:eastAsia="zh-CN"/>
        </w:rPr>
        <w:t>在</w:t>
      </w:r>
      <w:r>
        <w:rPr>
          <w:rFonts w:ascii="仿宋_GB2312" w:hAnsi="仿宋_GB2312" w:eastAsia="仿宋_GB2312"/>
          <w:b w:val="0"/>
          <w:sz w:val="32"/>
        </w:rPr>
        <w:t>兵役征集</w:t>
      </w:r>
      <w:r>
        <w:rPr>
          <w:rFonts w:hint="eastAsia" w:ascii="仿宋_GB2312" w:hAnsi="仿宋_GB2312" w:eastAsia="仿宋_GB2312"/>
          <w:b w:val="0"/>
          <w:sz w:val="32"/>
          <w:lang w:val="en-US" w:eastAsia="zh-CN"/>
        </w:rPr>
        <w:t>科目列支</w:t>
      </w:r>
      <w:r>
        <w:rPr>
          <w:rFonts w:ascii="仿宋_GB2312" w:hAnsi="仿宋_GB2312" w:eastAsia="仿宋_GB2312"/>
          <w:b w:val="0"/>
          <w:sz w:val="32"/>
        </w:rPr>
        <w:t>，本年调整至</w:t>
      </w:r>
      <w:r>
        <w:rPr>
          <w:rFonts w:hint="eastAsia" w:ascii="仿宋_GB2312" w:hAnsi="仿宋_GB2312" w:eastAsia="仿宋_GB2312"/>
          <w:b w:val="0"/>
          <w:sz w:val="32"/>
          <w:lang w:val="en-US" w:eastAsia="zh-CN"/>
        </w:rPr>
        <w:t>此</w:t>
      </w:r>
      <w:r>
        <w:rPr>
          <w:rFonts w:ascii="仿宋_GB2312" w:hAnsi="仿宋_GB2312" w:eastAsia="仿宋_GB2312"/>
          <w:b w:val="0"/>
          <w:sz w:val="32"/>
        </w:rPr>
        <w:t>科目列支，导致经费较上年增加。</w:t>
      </w:r>
    </w:p>
    <w:p w14:paraId="1CD3A16D">
      <w:pPr>
        <w:spacing w:line="580" w:lineRule="exact"/>
        <w:ind w:firstLine="640"/>
        <w:jc w:val="both"/>
      </w:pPr>
      <w:r>
        <w:rPr>
          <w:rFonts w:ascii="仿宋_GB2312" w:hAnsi="仿宋_GB2312" w:eastAsia="仿宋_GB2312"/>
          <w:b w:val="0"/>
          <w:sz w:val="32"/>
        </w:rPr>
        <w:t>2.一般公共服务支出(类)政府办公厅（室）及相关机构事务(款)行政运行(项):支出决算数为100.06万元，比上年决算增加34.63万元，增长52.93%,主要原因是：本年增加被装购置费等经费</w:t>
      </w:r>
      <w:r>
        <w:rPr>
          <w:rFonts w:hint="eastAsia" w:ascii="仿宋_GB2312" w:hAnsi="仿宋_GB2312" w:eastAsia="仿宋_GB2312"/>
          <w:b w:val="0"/>
          <w:sz w:val="32"/>
          <w:lang w:eastAsia="zh-CN"/>
        </w:rPr>
        <w:t>；</w:t>
      </w:r>
      <w:r>
        <w:rPr>
          <w:rFonts w:ascii="仿宋_GB2312" w:hAnsi="仿宋_GB2312" w:eastAsia="仿宋_GB2312"/>
          <w:b w:val="0"/>
          <w:sz w:val="32"/>
        </w:rPr>
        <w:t>本年功能科目调整，在职人员奖励金</w:t>
      </w:r>
      <w:r>
        <w:rPr>
          <w:rFonts w:hint="eastAsia" w:ascii="仿宋_GB2312" w:hAnsi="仿宋_GB2312" w:eastAsia="仿宋_GB2312"/>
          <w:b w:val="0"/>
          <w:sz w:val="32"/>
          <w:lang w:eastAsia="zh-CN"/>
        </w:rPr>
        <w:t>、</w:t>
      </w:r>
      <w:r>
        <w:rPr>
          <w:rFonts w:ascii="仿宋_GB2312" w:hAnsi="仿宋_GB2312" w:eastAsia="仿宋_GB2312"/>
          <w:b w:val="0"/>
          <w:sz w:val="32"/>
        </w:rPr>
        <w:t>机关事业单位职业年金缴费上年度单独列</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本年调整至此科目列支</w:t>
      </w:r>
      <w:bookmarkStart w:id="0" w:name="_GoBack"/>
      <w:bookmarkEnd w:id="0"/>
      <w:r>
        <w:rPr>
          <w:rFonts w:hint="eastAsia" w:ascii="仿宋_GB2312" w:hAnsi="仿宋_GB2312" w:eastAsia="仿宋_GB2312"/>
          <w:b w:val="0"/>
          <w:sz w:val="32"/>
          <w:lang w:eastAsia="zh-CN"/>
        </w:rPr>
        <w:t>，</w:t>
      </w:r>
      <w:r>
        <w:rPr>
          <w:rFonts w:ascii="仿宋_GB2312" w:hAnsi="仿宋_GB2312" w:eastAsia="仿宋_GB2312"/>
          <w:b w:val="0"/>
          <w:sz w:val="32"/>
        </w:rPr>
        <w:t>导致相关经费增加。</w:t>
      </w:r>
    </w:p>
    <w:p w14:paraId="0055160F">
      <w:pPr>
        <w:spacing w:line="580" w:lineRule="exact"/>
        <w:ind w:firstLine="640"/>
        <w:jc w:val="both"/>
      </w:pPr>
      <w:r>
        <w:rPr>
          <w:rFonts w:ascii="仿宋_GB2312" w:hAnsi="仿宋_GB2312" w:eastAsia="仿宋_GB2312"/>
          <w:b w:val="0"/>
          <w:sz w:val="32"/>
        </w:rPr>
        <w:t>3.一般公共服务支出(类)党委办公厅（室）及相关机构事务(款)行政运行(项):支出决算数为0.00万元，比上年决算减少3.22万元，下降100.00%,主要原因是：本年功能科目调整，在职人员奖励金上年度单独列支，本年调整至主科目列支，导致经费较上年减少。</w:t>
      </w:r>
    </w:p>
    <w:p w14:paraId="53920FF6">
      <w:pPr>
        <w:spacing w:line="580" w:lineRule="exact"/>
        <w:ind w:firstLine="640"/>
        <w:jc w:val="both"/>
      </w:pPr>
      <w:r>
        <w:rPr>
          <w:rFonts w:ascii="仿宋_GB2312" w:hAnsi="仿宋_GB2312" w:eastAsia="仿宋_GB2312"/>
          <w:b w:val="0"/>
          <w:sz w:val="32"/>
        </w:rPr>
        <w:t>4.国防支出(类)国防动员(款)兵役征集(项):支出决算数为0.00万元，比上年决算减少2.88万元，下降100.00%,主要原因是：本年功能科目调整，兵役征集费用上年度</w:t>
      </w:r>
      <w:r>
        <w:rPr>
          <w:rFonts w:hint="eastAsia" w:ascii="仿宋_GB2312" w:hAnsi="仿宋_GB2312" w:eastAsia="仿宋_GB2312"/>
          <w:b w:val="0"/>
          <w:sz w:val="32"/>
          <w:lang w:val="en-US" w:eastAsia="zh-CN"/>
        </w:rPr>
        <w:t>在本科目列支</w:t>
      </w:r>
      <w:r>
        <w:rPr>
          <w:rFonts w:ascii="仿宋_GB2312" w:hAnsi="仿宋_GB2312" w:eastAsia="仿宋_GB2312"/>
          <w:b w:val="0"/>
          <w:sz w:val="32"/>
        </w:rPr>
        <w:t>，本年调整至一般公共服务支出(类)人大事务(款)行政运行(项)科目列支，导致经费较上年减少。</w:t>
      </w:r>
    </w:p>
    <w:p w14:paraId="36F0D23C">
      <w:pPr>
        <w:spacing w:line="580" w:lineRule="exact"/>
        <w:ind w:firstLine="640"/>
        <w:jc w:val="both"/>
      </w:pPr>
      <w:r>
        <w:rPr>
          <w:rFonts w:ascii="仿宋_GB2312" w:hAnsi="仿宋_GB2312" w:eastAsia="仿宋_GB2312"/>
          <w:b w:val="0"/>
          <w:sz w:val="32"/>
        </w:rPr>
        <w:t>5.社会保障和就业支出(类)行政事业单位养老支出(款)事业单位离退休(项):支出决算数为1.58万元，比上年决算增加1.58万元，增长100.00%,主要原因是：本年功能科目调整，事业单位离退休上年度在主科目列支，本年单独列支，导致经费较上年增加。</w:t>
      </w:r>
    </w:p>
    <w:p w14:paraId="5D3A2A35">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5.66万元，比上年决算减少1.97万元，下降25.82%,主要原因是：本年在职人员减少，单位基本养老保险缴费较上年减少。</w:t>
      </w:r>
    </w:p>
    <w:p w14:paraId="7572826A">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0.00万元，比上年决算减少6.04万元，下降100.00%,主要原因是：本年功能科目调整，机关事业单位职业年金缴费上年度单独列支，本年调整至一般公共服务支出(类)政府办公厅（室）及相关机构事务(款)行政运行</w:t>
      </w:r>
      <w:r>
        <w:rPr>
          <w:rFonts w:hint="eastAsia" w:ascii="仿宋_GB2312" w:hAnsi="仿宋_GB2312" w:eastAsia="仿宋_GB2312"/>
          <w:b w:val="0"/>
          <w:sz w:val="32"/>
          <w:lang w:eastAsia="zh-CN"/>
        </w:rPr>
        <w:t>（</w:t>
      </w:r>
      <w:r>
        <w:rPr>
          <w:rFonts w:ascii="仿宋_GB2312" w:hAnsi="仿宋_GB2312" w:eastAsia="仿宋_GB2312"/>
          <w:b w:val="0"/>
          <w:sz w:val="32"/>
        </w:rPr>
        <w:t>项)科目列支，导致经费较上年减少。</w:t>
      </w:r>
    </w:p>
    <w:p w14:paraId="703B6BF8">
      <w:pPr>
        <w:spacing w:line="580" w:lineRule="exact"/>
        <w:ind w:firstLine="640"/>
        <w:jc w:val="both"/>
      </w:pPr>
      <w:r>
        <w:rPr>
          <w:rFonts w:ascii="仿宋_GB2312" w:hAnsi="仿宋_GB2312" w:eastAsia="仿宋_GB2312"/>
          <w:b w:val="0"/>
          <w:sz w:val="32"/>
        </w:rPr>
        <w:t>8.卫生健康支出(类)行政事业单位医疗(款)事业单位医疗(项):支出决算数为2.41万元，比上年决算减少1.24万元，下降33.97%,主要原因是：本年在职人员减少，事业单位医疗经费减少。</w:t>
      </w:r>
    </w:p>
    <w:p w14:paraId="30C5F923">
      <w:pPr>
        <w:spacing w:line="580" w:lineRule="exact"/>
        <w:ind w:firstLine="640"/>
        <w:jc w:val="both"/>
      </w:pPr>
      <w:r>
        <w:rPr>
          <w:rFonts w:ascii="仿宋_GB2312" w:hAnsi="仿宋_GB2312" w:eastAsia="仿宋_GB2312"/>
          <w:b w:val="0"/>
          <w:sz w:val="32"/>
        </w:rPr>
        <w:t>9.住房保障支出(类)住房改革支出(款)住房公积金(项):支出决算数为4.72万元，比上年决算减少1.54万元，下降24.60%,主要原因是：本年在职人员减少，住房公积金缴费支出减少。</w:t>
      </w:r>
    </w:p>
    <w:p w14:paraId="7D9227C5">
      <w:pPr>
        <w:spacing w:line="640" w:lineRule="exact"/>
        <w:ind w:firstLine="640"/>
        <w:jc w:val="both"/>
        <w:outlineLvl w:val="2"/>
      </w:pPr>
      <w:r>
        <w:rPr>
          <w:rFonts w:ascii="黑体" w:hAnsi="黑体" w:eastAsia="黑体"/>
          <w:sz w:val="32"/>
        </w:rPr>
        <w:t>六、一般公共预算财政拨款基本支出决算情况说明</w:t>
      </w:r>
    </w:p>
    <w:p w14:paraId="0E001F3A">
      <w:pPr>
        <w:spacing w:line="580" w:lineRule="exact"/>
        <w:ind w:firstLine="640"/>
        <w:jc w:val="both"/>
      </w:pPr>
      <w:r>
        <w:rPr>
          <w:rFonts w:ascii="仿宋_GB2312" w:hAnsi="仿宋_GB2312" w:eastAsia="仿宋_GB2312"/>
          <w:b w:val="0"/>
          <w:sz w:val="32"/>
        </w:rPr>
        <w:t>2024年度一般公共预算财政拨款基本支出114.62万元，其中：</w:t>
      </w:r>
      <w:r>
        <w:rPr>
          <w:rFonts w:ascii="仿宋_GB2312" w:hAnsi="仿宋_GB2312" w:eastAsia="仿宋_GB2312"/>
          <w:b/>
          <w:sz w:val="32"/>
        </w:rPr>
        <w:t>人员经费66.00万元，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w:t>
      </w:r>
    </w:p>
    <w:p w14:paraId="5D4CDDFA">
      <w:pPr>
        <w:spacing w:line="580" w:lineRule="exact"/>
        <w:ind w:firstLine="640"/>
        <w:jc w:val="both"/>
      </w:pPr>
      <w:r>
        <w:rPr>
          <w:rFonts w:ascii="仿宋_GB2312" w:hAnsi="仿宋_GB2312" w:eastAsia="仿宋_GB2312"/>
          <w:b/>
          <w:sz w:val="32"/>
        </w:rPr>
        <w:t>公用经费48.63万元，</w:t>
      </w:r>
      <w:r>
        <w:rPr>
          <w:rFonts w:ascii="仿宋_GB2312" w:hAnsi="仿宋_GB2312" w:eastAsia="仿宋_GB2312"/>
          <w:b w:val="0"/>
          <w:sz w:val="32"/>
        </w:rPr>
        <w:t>包括：办公费、取暖费、专用材料费、被装购置费。</w:t>
      </w:r>
    </w:p>
    <w:p w14:paraId="17D6F45F">
      <w:pPr>
        <w:spacing w:line="640" w:lineRule="exact"/>
        <w:ind w:firstLine="640"/>
        <w:jc w:val="both"/>
        <w:outlineLvl w:val="2"/>
      </w:pPr>
      <w:r>
        <w:rPr>
          <w:rFonts w:ascii="黑体" w:hAnsi="黑体" w:eastAsia="黑体"/>
          <w:sz w:val="32"/>
        </w:rPr>
        <w:t>七、政府性基金预算财政拨款收入支出决算情况说明</w:t>
      </w:r>
    </w:p>
    <w:p w14:paraId="6448867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95A3061">
      <w:pPr>
        <w:spacing w:line="640" w:lineRule="exact"/>
        <w:ind w:firstLine="640"/>
        <w:jc w:val="both"/>
        <w:outlineLvl w:val="2"/>
      </w:pPr>
      <w:r>
        <w:rPr>
          <w:rFonts w:ascii="黑体" w:hAnsi="黑体" w:eastAsia="黑体"/>
          <w:sz w:val="32"/>
        </w:rPr>
        <w:t>八、国有资本经营预算财政拨款收入支出决算情况说明</w:t>
      </w:r>
    </w:p>
    <w:p w14:paraId="1DEAB36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7D48E94">
      <w:pPr>
        <w:spacing w:line="640" w:lineRule="exact"/>
        <w:ind w:firstLine="640"/>
        <w:jc w:val="both"/>
        <w:outlineLvl w:val="2"/>
      </w:pPr>
      <w:r>
        <w:rPr>
          <w:rFonts w:ascii="黑体" w:hAnsi="黑体" w:eastAsia="黑体"/>
          <w:sz w:val="32"/>
        </w:rPr>
        <w:t>九、财政拨款“三公”经费支出决算情况说明</w:t>
      </w:r>
    </w:p>
    <w:p w14:paraId="5D1D6BEA">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3997E01">
      <w:pPr>
        <w:spacing w:line="580" w:lineRule="exact"/>
        <w:ind w:firstLine="640"/>
        <w:jc w:val="both"/>
      </w:pPr>
      <w:r>
        <w:rPr>
          <w:rFonts w:ascii="仿宋_GB2312" w:hAnsi="仿宋_GB2312" w:eastAsia="仿宋_GB2312"/>
          <w:b/>
          <w:sz w:val="32"/>
        </w:rPr>
        <w:t>具体情况如下：</w:t>
      </w:r>
    </w:p>
    <w:p w14:paraId="22F292E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318A01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1485106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A70A96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050611F">
      <w:pPr>
        <w:spacing w:line="640" w:lineRule="exact"/>
        <w:ind w:firstLine="640"/>
        <w:jc w:val="both"/>
        <w:outlineLvl w:val="2"/>
      </w:pPr>
      <w:r>
        <w:rPr>
          <w:rFonts w:ascii="黑体" w:hAnsi="黑体" w:eastAsia="黑体"/>
          <w:sz w:val="32"/>
        </w:rPr>
        <w:t>十、其他重要事项的情况说明</w:t>
      </w:r>
    </w:p>
    <w:p w14:paraId="2EE6DDA7">
      <w:pPr>
        <w:spacing w:line="640" w:lineRule="exact"/>
        <w:ind w:firstLine="640"/>
        <w:jc w:val="both"/>
        <w:outlineLvl w:val="3"/>
      </w:pPr>
      <w:r>
        <w:rPr>
          <w:rFonts w:ascii="楷体_GB2312" w:hAnsi="楷体_GB2312" w:eastAsia="楷体_GB2312"/>
          <w:b/>
          <w:sz w:val="32"/>
        </w:rPr>
        <w:t>（一）机关运行经费及公用经费支出情况</w:t>
      </w:r>
    </w:p>
    <w:p w14:paraId="02F39684">
      <w:pPr>
        <w:spacing w:line="580" w:lineRule="exact"/>
        <w:ind w:firstLine="640"/>
        <w:jc w:val="both"/>
      </w:pPr>
      <w:r>
        <w:rPr>
          <w:rFonts w:ascii="仿宋_GB2312" w:hAnsi="仿宋_GB2312" w:eastAsia="仿宋_GB2312"/>
          <w:b w:val="0"/>
          <w:sz w:val="32"/>
        </w:rPr>
        <w:t>2024年度中国人民解放军新疆维吾尔自治区英吉沙县人民武装部（行政单位和参照公务员法管理事业单位）机关运行经费支出48.63万元，比上年增加38.82万元，增长395.72%，主要原因是：本年增加被装购置费，机关运行经费增加。</w:t>
      </w:r>
    </w:p>
    <w:p w14:paraId="449BA3CE">
      <w:pPr>
        <w:spacing w:line="640" w:lineRule="exact"/>
        <w:ind w:firstLine="640"/>
        <w:jc w:val="both"/>
        <w:outlineLvl w:val="3"/>
      </w:pPr>
      <w:r>
        <w:rPr>
          <w:rFonts w:ascii="楷体_GB2312" w:hAnsi="楷体_GB2312" w:eastAsia="楷体_GB2312"/>
          <w:b/>
          <w:sz w:val="32"/>
        </w:rPr>
        <w:t>（二）政府采购情况</w:t>
      </w:r>
    </w:p>
    <w:p w14:paraId="22F09BBF">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32603CDF">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2C2BF928">
      <w:pPr>
        <w:spacing w:line="640" w:lineRule="exact"/>
        <w:ind w:firstLine="640"/>
        <w:jc w:val="both"/>
        <w:outlineLvl w:val="3"/>
      </w:pPr>
      <w:r>
        <w:rPr>
          <w:rFonts w:ascii="楷体_GB2312" w:hAnsi="楷体_GB2312" w:eastAsia="楷体_GB2312"/>
          <w:b/>
          <w:sz w:val="32"/>
        </w:rPr>
        <w:t>（三）国有资产占用情况说明</w:t>
      </w:r>
    </w:p>
    <w:p w14:paraId="451BC9F8">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5E099B4">
      <w:pPr>
        <w:spacing w:line="640" w:lineRule="exact"/>
        <w:ind w:firstLine="640"/>
        <w:jc w:val="both"/>
        <w:outlineLvl w:val="2"/>
      </w:pPr>
      <w:r>
        <w:rPr>
          <w:rFonts w:ascii="黑体" w:hAnsi="黑体" w:eastAsia="黑体"/>
          <w:sz w:val="32"/>
        </w:rPr>
        <w:t>十一、预算绩效的情况说明</w:t>
      </w:r>
    </w:p>
    <w:p w14:paraId="4B575EB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w:t>
      </w:r>
      <w:r>
        <w:rPr>
          <w:rFonts w:hint="eastAsia" w:ascii="仿宋_GB2312" w:hAnsi="仿宋_GB2312" w:eastAsia="仿宋_GB2312"/>
          <w:b w:val="0"/>
          <w:sz w:val="32"/>
        </w:rPr>
        <w:t>114.62</w:t>
      </w:r>
      <w:r>
        <w:rPr>
          <w:rFonts w:ascii="仿宋_GB2312" w:hAnsi="仿宋_GB2312" w:eastAsia="仿宋_GB2312"/>
          <w:b w:val="0"/>
          <w:sz w:val="32"/>
        </w:rPr>
        <w:t>万元，实际执行总额</w:t>
      </w:r>
      <w:r>
        <w:rPr>
          <w:rFonts w:hint="eastAsia" w:ascii="仿宋_GB2312" w:hAnsi="仿宋_GB2312" w:eastAsia="仿宋_GB2312"/>
          <w:b w:val="0"/>
          <w:sz w:val="32"/>
        </w:rPr>
        <w:t>114.62</w:t>
      </w:r>
      <w:r>
        <w:rPr>
          <w:rFonts w:ascii="仿宋_GB2312" w:hAnsi="仿宋_GB2312" w:eastAsia="仿宋_GB2312"/>
          <w:b w:val="0"/>
          <w:sz w:val="32"/>
        </w:rPr>
        <w:t>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无项目绩效自评表。发现的问题及原因：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无项目绩效自评表。下一步改进措施：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无项目绩效自评表。</w:t>
      </w:r>
    </w:p>
    <w:p w14:paraId="6B091780">
      <w:r>
        <w:br w:type="page"/>
      </w:r>
    </w:p>
    <w:p w14:paraId="4595351B">
      <w:pPr>
        <w:spacing w:line="640" w:lineRule="exact"/>
        <w:ind w:firstLine="640"/>
        <w:jc w:val="both"/>
        <w:outlineLvl w:val="2"/>
      </w:pPr>
      <w:r>
        <w:rPr>
          <w:rFonts w:ascii="黑体" w:hAnsi="黑体" w:eastAsia="黑体"/>
          <w:sz w:val="32"/>
        </w:rPr>
        <w:t>十二、其他需说明的事项</w:t>
      </w:r>
    </w:p>
    <w:p w14:paraId="41502EB7">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本年度本单位整体绩效自评表不予公开。</w:t>
      </w:r>
    </w:p>
    <w:p w14:paraId="6286BE15">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399CB9BB">
      <w:r>
        <w:br w:type="page"/>
      </w:r>
    </w:p>
    <w:p w14:paraId="78A30F7A">
      <w:pPr>
        <w:spacing w:line="240" w:lineRule="auto"/>
        <w:jc w:val="center"/>
        <w:outlineLvl w:val="1"/>
      </w:pPr>
      <w:r>
        <w:rPr>
          <w:rFonts w:ascii="黑体" w:hAnsi="黑体" w:eastAsia="黑体"/>
          <w:sz w:val="32"/>
        </w:rPr>
        <w:t>第三部分 专业名词解释</w:t>
      </w:r>
    </w:p>
    <w:p w14:paraId="0B9780D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A45D66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747D10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C583F9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FACA81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F2D187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9485D6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25693A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AD1EC2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AF96B9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5172C6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FBC52E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74BDE7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24E594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750D22A">
      <w:r>
        <w:br w:type="page"/>
      </w:r>
    </w:p>
    <w:p w14:paraId="6987A705">
      <w:pPr>
        <w:spacing w:line="240" w:lineRule="auto"/>
        <w:jc w:val="center"/>
        <w:outlineLvl w:val="1"/>
      </w:pPr>
      <w:r>
        <w:rPr>
          <w:rFonts w:ascii="黑体" w:hAnsi="黑体" w:eastAsia="黑体"/>
          <w:sz w:val="32"/>
        </w:rPr>
        <w:t>第四部分 部门决算报表（见附表）</w:t>
      </w:r>
    </w:p>
    <w:p w14:paraId="30084D05">
      <w:pPr>
        <w:spacing w:line="240" w:lineRule="auto"/>
        <w:ind w:firstLine="640"/>
        <w:jc w:val="both"/>
      </w:pPr>
      <w:r>
        <w:rPr>
          <w:rFonts w:ascii="仿宋_GB2312" w:hAnsi="仿宋_GB2312" w:eastAsia="仿宋_GB2312"/>
          <w:b w:val="0"/>
          <w:sz w:val="32"/>
        </w:rPr>
        <w:t>一、《收入支出决算总表》</w:t>
      </w:r>
    </w:p>
    <w:p w14:paraId="70B2C835">
      <w:pPr>
        <w:spacing w:line="240" w:lineRule="auto"/>
        <w:ind w:firstLine="640"/>
        <w:jc w:val="both"/>
      </w:pPr>
      <w:r>
        <w:rPr>
          <w:rFonts w:ascii="仿宋_GB2312" w:hAnsi="仿宋_GB2312" w:eastAsia="仿宋_GB2312"/>
          <w:b w:val="0"/>
          <w:sz w:val="32"/>
        </w:rPr>
        <w:t>二、《收入决算表》</w:t>
      </w:r>
    </w:p>
    <w:p w14:paraId="1AA337D7">
      <w:pPr>
        <w:spacing w:line="240" w:lineRule="auto"/>
        <w:ind w:firstLine="640"/>
        <w:jc w:val="both"/>
      </w:pPr>
      <w:r>
        <w:rPr>
          <w:rFonts w:ascii="仿宋_GB2312" w:hAnsi="仿宋_GB2312" w:eastAsia="仿宋_GB2312"/>
          <w:b w:val="0"/>
          <w:sz w:val="32"/>
        </w:rPr>
        <w:t>三、《支出决算表》</w:t>
      </w:r>
    </w:p>
    <w:p w14:paraId="73749C8B">
      <w:pPr>
        <w:spacing w:line="240" w:lineRule="auto"/>
        <w:ind w:firstLine="640"/>
        <w:jc w:val="both"/>
      </w:pPr>
      <w:r>
        <w:rPr>
          <w:rFonts w:ascii="仿宋_GB2312" w:hAnsi="仿宋_GB2312" w:eastAsia="仿宋_GB2312"/>
          <w:b w:val="0"/>
          <w:sz w:val="32"/>
        </w:rPr>
        <w:t>四、《财政拨款收入支出决算总表》</w:t>
      </w:r>
    </w:p>
    <w:p w14:paraId="7C455F3C">
      <w:pPr>
        <w:spacing w:line="240" w:lineRule="auto"/>
        <w:ind w:firstLine="640"/>
        <w:jc w:val="both"/>
      </w:pPr>
      <w:r>
        <w:rPr>
          <w:rFonts w:ascii="仿宋_GB2312" w:hAnsi="仿宋_GB2312" w:eastAsia="仿宋_GB2312"/>
          <w:b w:val="0"/>
          <w:sz w:val="32"/>
        </w:rPr>
        <w:t>五、《一般公共预算财政拨款支出决算表》</w:t>
      </w:r>
    </w:p>
    <w:p w14:paraId="7093BA55">
      <w:pPr>
        <w:spacing w:line="240" w:lineRule="auto"/>
        <w:ind w:firstLine="640"/>
        <w:jc w:val="both"/>
      </w:pPr>
      <w:r>
        <w:rPr>
          <w:rFonts w:ascii="仿宋_GB2312" w:hAnsi="仿宋_GB2312" w:eastAsia="仿宋_GB2312"/>
          <w:b w:val="0"/>
          <w:sz w:val="32"/>
        </w:rPr>
        <w:t>六、《一般公共预算财政拨款基本支出决算表》</w:t>
      </w:r>
    </w:p>
    <w:p w14:paraId="14A07BF1">
      <w:pPr>
        <w:spacing w:line="240" w:lineRule="auto"/>
        <w:ind w:firstLine="640"/>
        <w:jc w:val="both"/>
      </w:pPr>
      <w:r>
        <w:rPr>
          <w:rFonts w:ascii="仿宋_GB2312" w:hAnsi="仿宋_GB2312" w:eastAsia="仿宋_GB2312"/>
          <w:b w:val="0"/>
          <w:sz w:val="32"/>
        </w:rPr>
        <w:t>七、《政府性基金预算财政拨款收入支出决算表》</w:t>
      </w:r>
    </w:p>
    <w:p w14:paraId="60B26C37">
      <w:pPr>
        <w:spacing w:line="240" w:lineRule="auto"/>
        <w:ind w:firstLine="640"/>
        <w:jc w:val="both"/>
      </w:pPr>
      <w:r>
        <w:rPr>
          <w:rFonts w:ascii="仿宋_GB2312" w:hAnsi="仿宋_GB2312" w:eastAsia="仿宋_GB2312"/>
          <w:b w:val="0"/>
          <w:sz w:val="32"/>
        </w:rPr>
        <w:t>八、《国有资本经营预算财政拨款收入支出决算表》</w:t>
      </w:r>
    </w:p>
    <w:p w14:paraId="6B4609CF">
      <w:pPr>
        <w:spacing w:line="240" w:lineRule="auto"/>
        <w:ind w:firstLine="640"/>
        <w:jc w:val="both"/>
      </w:pPr>
      <w:r>
        <w:rPr>
          <w:rFonts w:ascii="仿宋_GB2312" w:hAnsi="仿宋_GB2312" w:eastAsia="仿宋_GB2312"/>
          <w:b w:val="0"/>
          <w:sz w:val="32"/>
        </w:rPr>
        <w:t>九、《财政拨款“三公”经费支出决算表》</w:t>
      </w:r>
    </w:p>
    <w:p w14:paraId="4EC03C81">
      <w:pPr>
        <w:spacing w:line="240" w:lineRule="auto"/>
        <w:ind w:firstLine="640"/>
        <w:jc w:val="both"/>
      </w:pPr>
    </w:p>
    <w:p w14:paraId="6902DA7C">
      <w:pPr>
        <w:spacing w:line="240" w:lineRule="auto"/>
        <w:ind w:firstLine="640"/>
        <w:jc w:val="both"/>
      </w:pPr>
    </w:p>
    <w:p w14:paraId="1010429C">
      <w:pPr>
        <w:spacing w:line="240" w:lineRule="auto"/>
        <w:ind w:firstLine="640"/>
        <w:jc w:val="both"/>
      </w:pPr>
    </w:p>
    <w:p w14:paraId="287A5789">
      <w:pPr>
        <w:spacing w:line="240" w:lineRule="auto"/>
        <w:ind w:firstLine="640"/>
        <w:jc w:val="both"/>
      </w:pPr>
    </w:p>
    <w:p w14:paraId="14D4196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41F6761-7FB8-439E-9497-634D3A65C78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EC7CA70-7793-4AF9-9685-BF9F831E0E73}"/>
  </w:font>
  <w:font w:name="仿宋_GB2312">
    <w:panose1 w:val="02010609030101010101"/>
    <w:charset w:val="86"/>
    <w:family w:val="auto"/>
    <w:pitch w:val="default"/>
    <w:sig w:usb0="00000001" w:usb1="080E0000" w:usb2="00000000" w:usb3="00000000" w:csb0="00040000" w:csb1="00000000"/>
    <w:embedRegular r:id="rId3" w:fontKey="{C49A4EA4-AB72-453A-AE84-999975638CB6}"/>
  </w:font>
  <w:font w:name="楷体_GB2312">
    <w:panose1 w:val="02010609030101010101"/>
    <w:charset w:val="86"/>
    <w:family w:val="auto"/>
    <w:pitch w:val="default"/>
    <w:sig w:usb0="00000001" w:usb1="080E0000" w:usb2="00000000" w:usb3="00000000" w:csb0="00040000" w:csb1="00000000"/>
    <w:embedRegular r:id="rId4" w:fontKey="{A9A551E3-70BA-42F3-9DFB-05E96B34BBB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2F573A0"/>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7665984"/>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1EE0FE4"/>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5295</Words>
  <Characters>5952</Characters>
  <Lines>0</Lines>
  <Paragraphs>0</Paragraphs>
  <TotalTime>3</TotalTime>
  <ScaleCrop>false</ScaleCrop>
  <LinksUpToDate>false</LinksUpToDate>
  <CharactersWithSpaces>5962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2025-11-06T03:31:15Z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