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新疆英吉沙县妇女联合会2024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7C7A070">
      <w:r>
        <w:br w:type="page"/>
      </w:r>
    </w:p>
    <w:p w14:paraId="4A733035">
      <w:pPr>
        <w:spacing w:line="640" w:lineRule="exact"/>
        <w:jc w:val="center"/>
        <w:outlineLvl w:val="1"/>
      </w:pPr>
      <w:r>
        <w:rPr>
          <w:rFonts w:ascii="黑体" w:hAnsi="黑体" w:eastAsia="黑体"/>
          <w:sz w:val="32"/>
        </w:rPr>
        <w:t>第一部分 单位概况</w:t>
      </w:r>
    </w:p>
    <w:p w14:paraId="1DC600F3">
      <w:pPr>
        <w:spacing w:line="640" w:lineRule="exact"/>
        <w:ind w:firstLine="640"/>
        <w:jc w:val="both"/>
        <w:outlineLvl w:val="2"/>
      </w:pPr>
      <w:r>
        <w:rPr>
          <w:rFonts w:ascii="黑体" w:hAnsi="黑体" w:eastAsia="黑体"/>
          <w:sz w:val="32"/>
        </w:rPr>
        <w:t>一、主要职能</w:t>
      </w:r>
    </w:p>
    <w:p w14:paraId="66DF465E">
      <w:pPr>
        <w:spacing w:line="580" w:lineRule="exact"/>
        <w:ind w:firstLine="640"/>
        <w:jc w:val="both"/>
      </w:pPr>
      <w:r>
        <w:rPr>
          <w:rFonts w:ascii="仿宋_GB2312" w:hAnsi="仿宋_GB2312" w:eastAsia="仿宋_GB2312"/>
          <w:sz w:val="32"/>
        </w:rPr>
        <w:t>（1）研究、协调和推动政府有关部门做好维护妇女儿童权益的保障。</w:t>
      </w:r>
    </w:p>
    <w:p w14:paraId="5B5D213A">
      <w:pPr>
        <w:spacing w:line="580" w:lineRule="exact"/>
        <w:ind w:firstLine="640"/>
        <w:jc w:val="both"/>
      </w:pPr>
      <w:r>
        <w:rPr>
          <w:rFonts w:ascii="仿宋_GB2312" w:hAnsi="仿宋_GB2312" w:eastAsia="仿宋_GB2312"/>
          <w:sz w:val="32"/>
        </w:rPr>
        <w:t>（2）协调和推动政府有关部门贯彻落实《两纲》</w:t>
      </w:r>
      <w:r>
        <w:rPr>
          <w:rFonts w:hint="eastAsia" w:ascii="仿宋_GB2312" w:hAnsi="仿宋_GB2312" w:eastAsia="仿宋_GB2312"/>
          <w:sz w:val="32"/>
          <w:lang w:eastAsia="zh-CN"/>
        </w:rPr>
        <w:t>，制定</w:t>
      </w:r>
      <w:r>
        <w:rPr>
          <w:rFonts w:ascii="仿宋_GB2312" w:hAnsi="仿宋_GB2312" w:eastAsia="仿宋_GB2312"/>
          <w:sz w:val="32"/>
        </w:rPr>
        <w:t>和执行适合本县各族妇女儿童事业发展</w:t>
      </w:r>
      <w:r>
        <w:rPr>
          <w:rFonts w:hint="eastAsia" w:ascii="仿宋_GB2312" w:hAnsi="仿宋_GB2312" w:eastAsia="仿宋_GB2312"/>
          <w:sz w:val="32"/>
          <w:lang w:eastAsia="zh-CN"/>
        </w:rPr>
        <w:t>的规划</w:t>
      </w:r>
      <w:r>
        <w:rPr>
          <w:rFonts w:ascii="仿宋_GB2312" w:hAnsi="仿宋_GB2312" w:eastAsia="仿宋_GB2312"/>
          <w:sz w:val="32"/>
        </w:rPr>
        <w:t>。</w:t>
      </w:r>
    </w:p>
    <w:p w14:paraId="11E94822">
      <w:pPr>
        <w:spacing w:line="580" w:lineRule="exact"/>
        <w:ind w:firstLine="640"/>
        <w:jc w:val="both"/>
      </w:pPr>
      <w:r>
        <w:rPr>
          <w:rFonts w:ascii="仿宋_GB2312" w:hAnsi="仿宋_GB2312" w:eastAsia="仿宋_GB2312"/>
          <w:sz w:val="32"/>
        </w:rPr>
        <w:t>（3）协调和推动政府有关部门为妇女儿童办实事。</w:t>
      </w:r>
    </w:p>
    <w:p w14:paraId="592B58D8">
      <w:pPr>
        <w:spacing w:line="580" w:lineRule="exact"/>
        <w:ind w:firstLine="640"/>
        <w:jc w:val="both"/>
      </w:pPr>
      <w:r>
        <w:rPr>
          <w:rFonts w:ascii="仿宋_GB2312" w:hAnsi="仿宋_GB2312" w:eastAsia="仿宋_GB2312"/>
          <w:sz w:val="32"/>
        </w:rPr>
        <w:t>（4）协调和推动政府有关部门为开展各族妇女儿童工作、发展各族妇女儿童事业提供人力、物力、财力等条件。</w:t>
      </w:r>
    </w:p>
    <w:p w14:paraId="2D00CD28">
      <w:pPr>
        <w:spacing w:line="580" w:lineRule="exact"/>
        <w:ind w:firstLine="640"/>
        <w:jc w:val="both"/>
      </w:pPr>
      <w:r>
        <w:rPr>
          <w:rFonts w:ascii="仿宋_GB2312" w:hAnsi="仿宋_GB2312" w:eastAsia="仿宋_GB2312"/>
          <w:sz w:val="32"/>
        </w:rPr>
        <w:t>（5）指导、督促和检查各乡（镇）妇女儿童工作情况。</w:t>
      </w:r>
    </w:p>
    <w:p w14:paraId="580CE8CF">
      <w:pPr>
        <w:spacing w:line="640" w:lineRule="exact"/>
        <w:ind w:firstLine="640"/>
        <w:jc w:val="both"/>
        <w:outlineLvl w:val="2"/>
      </w:pPr>
      <w:r>
        <w:rPr>
          <w:rFonts w:ascii="黑体" w:hAnsi="黑体" w:eastAsia="黑体"/>
          <w:sz w:val="32"/>
        </w:rPr>
        <w:t>二、机构设置及人员情况</w:t>
      </w:r>
    </w:p>
    <w:p w14:paraId="0340CA67">
      <w:pPr>
        <w:spacing w:line="580" w:lineRule="exact"/>
        <w:ind w:firstLine="640"/>
        <w:jc w:val="both"/>
      </w:pPr>
      <w:r>
        <w:rPr>
          <w:rFonts w:ascii="仿宋_GB2312" w:hAnsi="仿宋_GB2312" w:eastAsia="仿宋_GB2312"/>
          <w:sz w:val="32"/>
        </w:rPr>
        <w:t>新疆英吉沙县妇女联合会2024年度，实有人数8人，其中：在职人员5人，增加5人；离休人员0人，增加0人；退休人员3人,增加3人。</w:t>
      </w:r>
    </w:p>
    <w:p w14:paraId="098962F8">
      <w:pPr>
        <w:spacing w:line="580" w:lineRule="exact"/>
        <w:ind w:firstLine="640"/>
        <w:jc w:val="both"/>
      </w:pPr>
      <w:r>
        <w:rPr>
          <w:rFonts w:ascii="仿宋_GB2312" w:hAnsi="仿宋_GB2312" w:eastAsia="仿宋_GB2312"/>
          <w:sz w:val="32"/>
        </w:rPr>
        <w:t>新疆英吉沙县妇女联合会无下属预算单位，下设1个科室，分别是：妇女儿童工作中心。</w:t>
      </w:r>
    </w:p>
    <w:p w14:paraId="55FC9B0F">
      <w:r>
        <w:br w:type="page"/>
      </w:r>
    </w:p>
    <w:p w14:paraId="2D6312AE">
      <w:pPr>
        <w:spacing w:line="240" w:lineRule="auto"/>
        <w:jc w:val="center"/>
        <w:outlineLvl w:val="1"/>
      </w:pPr>
      <w:r>
        <w:rPr>
          <w:rFonts w:ascii="黑体" w:hAnsi="黑体" w:eastAsia="黑体"/>
          <w:sz w:val="32"/>
        </w:rPr>
        <w:t>第二部分 部门决算情况说明</w:t>
      </w:r>
    </w:p>
    <w:p w14:paraId="340BEC54">
      <w:pPr>
        <w:spacing w:line="640" w:lineRule="exact"/>
        <w:ind w:firstLine="640"/>
        <w:jc w:val="both"/>
        <w:outlineLvl w:val="2"/>
      </w:pPr>
      <w:r>
        <w:rPr>
          <w:rFonts w:ascii="黑体" w:hAnsi="黑体" w:eastAsia="黑体"/>
          <w:sz w:val="32"/>
        </w:rPr>
        <w:t>一、收入支出决算总体情况说明</w:t>
      </w:r>
    </w:p>
    <w:p w14:paraId="15104E25">
      <w:pPr>
        <w:spacing w:line="580" w:lineRule="exact"/>
        <w:ind w:firstLine="640"/>
        <w:jc w:val="both"/>
      </w:pPr>
      <w:r>
        <w:rPr>
          <w:rFonts w:ascii="仿宋_GB2312" w:hAnsi="仿宋_GB2312" w:eastAsia="仿宋_GB2312"/>
          <w:b/>
          <w:sz w:val="32"/>
        </w:rPr>
        <w:t>2024年度收入总计265.09万元，</w:t>
      </w:r>
      <w:r>
        <w:rPr>
          <w:rFonts w:ascii="仿宋_GB2312" w:hAnsi="仿宋_GB2312" w:eastAsia="仿宋_GB2312"/>
          <w:b w:val="0"/>
          <w:sz w:val="32"/>
        </w:rPr>
        <w:t>其中：本年收入合计265.09万元，使用非财政拨款结余（含专用结余）0.00万元，年初结转和结余0.00万元。</w:t>
      </w:r>
    </w:p>
    <w:p w14:paraId="2A9B5432">
      <w:pPr>
        <w:spacing w:line="580" w:lineRule="exact"/>
        <w:ind w:firstLine="640"/>
        <w:jc w:val="both"/>
      </w:pPr>
      <w:r>
        <w:rPr>
          <w:rFonts w:ascii="仿宋_GB2312" w:hAnsi="仿宋_GB2312" w:eastAsia="仿宋_GB2312"/>
          <w:b/>
          <w:sz w:val="32"/>
        </w:rPr>
        <w:t>2024年度支出总计265.09万元，</w:t>
      </w:r>
      <w:r>
        <w:rPr>
          <w:rFonts w:ascii="仿宋_GB2312" w:hAnsi="仿宋_GB2312" w:eastAsia="仿宋_GB2312"/>
          <w:b w:val="0"/>
          <w:sz w:val="32"/>
        </w:rPr>
        <w:t>其中：本年支出合计265.09万元，结余分配0.00万元，年末结转和结余0.00万元。</w:t>
      </w:r>
    </w:p>
    <w:p w14:paraId="34D9C7B4">
      <w:pPr>
        <w:spacing w:line="580" w:lineRule="exact"/>
        <w:ind w:firstLine="640"/>
        <w:jc w:val="both"/>
      </w:pPr>
      <w:r>
        <w:rPr>
          <w:rFonts w:ascii="仿宋_GB2312" w:hAnsi="仿宋_GB2312" w:eastAsia="仿宋_GB2312"/>
          <w:b w:val="0"/>
          <w:sz w:val="32"/>
        </w:rPr>
        <w:t>收入支出总体与上年相比，增加265.09万元，增长100.00%，主要原因是：本年机构改革，上年与县委办统一编报公开，本年独立核算，无上年对比数据。</w:t>
      </w:r>
    </w:p>
    <w:p w14:paraId="4BD5C01B">
      <w:pPr>
        <w:spacing w:line="640" w:lineRule="exact"/>
        <w:ind w:firstLine="640"/>
        <w:jc w:val="both"/>
        <w:outlineLvl w:val="2"/>
      </w:pPr>
      <w:r>
        <w:rPr>
          <w:rFonts w:ascii="黑体" w:hAnsi="黑体" w:eastAsia="黑体"/>
          <w:sz w:val="32"/>
        </w:rPr>
        <w:t>二、收入决算情况说明</w:t>
      </w:r>
    </w:p>
    <w:p w14:paraId="52EFAB73">
      <w:pPr>
        <w:spacing w:line="580" w:lineRule="exact"/>
        <w:ind w:firstLine="640"/>
        <w:jc w:val="both"/>
      </w:pPr>
      <w:r>
        <w:rPr>
          <w:rFonts w:ascii="仿宋_GB2312" w:hAnsi="仿宋_GB2312" w:eastAsia="仿宋_GB2312"/>
          <w:b/>
          <w:sz w:val="32"/>
        </w:rPr>
        <w:t>本年收入265.09万元，</w:t>
      </w:r>
      <w:r>
        <w:rPr>
          <w:rFonts w:ascii="仿宋_GB2312" w:hAnsi="仿宋_GB2312" w:eastAsia="仿宋_GB2312"/>
          <w:b w:val="0"/>
          <w:sz w:val="32"/>
        </w:rPr>
        <w:t>其中：财政拨款收入92.19万元，占34.78%；上级补助收入0.00万元，占0.00%；事业收入0.00万元，占0.00%；经营收入0.00万元，占0.00%；附属单位上缴收入0.00万元，占0.00%；其他收入172.90万元，占65.22%。</w:t>
      </w:r>
    </w:p>
    <w:p w14:paraId="72EB23A0">
      <w:pPr>
        <w:spacing w:line="640" w:lineRule="exact"/>
        <w:ind w:firstLine="640"/>
        <w:jc w:val="both"/>
        <w:outlineLvl w:val="2"/>
      </w:pPr>
      <w:r>
        <w:rPr>
          <w:rFonts w:ascii="黑体" w:hAnsi="黑体" w:eastAsia="黑体"/>
          <w:sz w:val="32"/>
        </w:rPr>
        <w:t>三、支出决算情况说明</w:t>
      </w:r>
    </w:p>
    <w:p w14:paraId="247C4C0F">
      <w:pPr>
        <w:spacing w:line="580" w:lineRule="exact"/>
        <w:ind w:firstLine="640"/>
        <w:jc w:val="both"/>
      </w:pPr>
      <w:r>
        <w:rPr>
          <w:rFonts w:ascii="仿宋_GB2312" w:hAnsi="仿宋_GB2312" w:eastAsia="仿宋_GB2312"/>
          <w:b/>
          <w:sz w:val="32"/>
        </w:rPr>
        <w:t>本年支出265.09万元，</w:t>
      </w:r>
      <w:r>
        <w:rPr>
          <w:rFonts w:ascii="仿宋_GB2312" w:hAnsi="仿宋_GB2312" w:eastAsia="仿宋_GB2312"/>
          <w:b w:val="0"/>
          <w:sz w:val="32"/>
        </w:rPr>
        <w:t>其中：基本支出92.19万元，占34.78%；项目支出172.90万元，占65.22%；上缴上级支出0.00万元，占0.00%；经营支出0.00万元，占0.00%；对附属单位补助支出0.00万元，占0.00%。</w:t>
      </w:r>
    </w:p>
    <w:p w14:paraId="43097AE0">
      <w:pPr>
        <w:spacing w:line="640" w:lineRule="exact"/>
        <w:ind w:firstLine="640"/>
        <w:jc w:val="both"/>
        <w:outlineLvl w:val="2"/>
      </w:pPr>
      <w:r>
        <w:rPr>
          <w:rFonts w:ascii="黑体" w:hAnsi="黑体" w:eastAsia="黑体"/>
          <w:sz w:val="32"/>
        </w:rPr>
        <w:t>四、财政拨款收入支出决算总体情况说明</w:t>
      </w:r>
    </w:p>
    <w:p w14:paraId="5A37151E">
      <w:pPr>
        <w:spacing w:line="580" w:lineRule="exact"/>
        <w:ind w:firstLine="640"/>
        <w:jc w:val="both"/>
      </w:pPr>
      <w:r>
        <w:rPr>
          <w:rFonts w:ascii="仿宋_GB2312" w:hAnsi="仿宋_GB2312" w:eastAsia="仿宋_GB2312"/>
          <w:b/>
          <w:sz w:val="32"/>
        </w:rPr>
        <w:t>2024年度财政拨款收入总计92.19万元，</w:t>
      </w:r>
      <w:r>
        <w:rPr>
          <w:rFonts w:ascii="仿宋_GB2312" w:hAnsi="仿宋_GB2312" w:eastAsia="仿宋_GB2312"/>
          <w:b w:val="0"/>
          <w:sz w:val="32"/>
        </w:rPr>
        <w:t>其中：年初财政拨款结转和结余0.00万元，本年财政拨款收入92.19万元。</w:t>
      </w:r>
      <w:r>
        <w:rPr>
          <w:rFonts w:ascii="仿宋_GB2312" w:hAnsi="仿宋_GB2312" w:eastAsia="仿宋_GB2312"/>
          <w:b/>
          <w:sz w:val="32"/>
        </w:rPr>
        <w:t>财政拨款支出总计92.19万元，</w:t>
      </w:r>
      <w:r>
        <w:rPr>
          <w:rFonts w:ascii="仿宋_GB2312" w:hAnsi="仿宋_GB2312" w:eastAsia="仿宋_GB2312"/>
          <w:b w:val="0"/>
          <w:sz w:val="32"/>
        </w:rPr>
        <w:t>其中：年末财政拨款结转和结余0.00万元，本年财政拨款支出92.19万元。</w:t>
      </w:r>
    </w:p>
    <w:p w14:paraId="7476C608">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增加92.19万元，增长100.00%，主要原因是：本年机构改革，上年与县委办统一编报公开，本年独立核算，无上年对比数据。</w:t>
      </w:r>
      <w:r>
        <w:rPr>
          <w:rFonts w:ascii="仿宋_GB2312" w:hAnsi="仿宋_GB2312" w:eastAsia="仿宋_GB2312"/>
          <w:b/>
          <w:sz w:val="32"/>
        </w:rPr>
        <w:t>与年初预算相比，</w:t>
      </w:r>
      <w:r>
        <w:rPr>
          <w:rFonts w:ascii="仿宋_GB2312" w:hAnsi="仿宋_GB2312" w:eastAsia="仿宋_GB2312"/>
          <w:b w:val="0"/>
          <w:sz w:val="32"/>
        </w:rPr>
        <w:t>年初预算数88.17万元，决算数92.19万元，预决算差异率4.56%，主要原因是：年中追加人员工资、社保、公积金基数调增部分资金，导致预决算存在差异。</w:t>
      </w:r>
    </w:p>
    <w:p w14:paraId="0BCAFE99">
      <w:pPr>
        <w:spacing w:line="640" w:lineRule="exact"/>
        <w:ind w:firstLine="640"/>
        <w:jc w:val="both"/>
        <w:outlineLvl w:val="2"/>
      </w:pPr>
      <w:r>
        <w:rPr>
          <w:rFonts w:ascii="黑体" w:hAnsi="黑体" w:eastAsia="黑体"/>
          <w:sz w:val="32"/>
        </w:rPr>
        <w:t>五、一般公共预算财政拨款支出决算情况说明</w:t>
      </w:r>
    </w:p>
    <w:p w14:paraId="0A302D3A">
      <w:pPr>
        <w:spacing w:line="640" w:lineRule="exact"/>
        <w:ind w:firstLine="640"/>
        <w:jc w:val="both"/>
        <w:outlineLvl w:val="3"/>
      </w:pPr>
      <w:r>
        <w:rPr>
          <w:rFonts w:ascii="楷体_GB2312" w:hAnsi="楷体_GB2312" w:eastAsia="楷体_GB2312"/>
          <w:b/>
          <w:sz w:val="32"/>
        </w:rPr>
        <w:t>（一）一般公共预算财政拨款支出决算总体情况</w:t>
      </w:r>
    </w:p>
    <w:p w14:paraId="2403641F">
      <w:pPr>
        <w:spacing w:line="580" w:lineRule="exact"/>
        <w:ind w:firstLine="640"/>
        <w:jc w:val="both"/>
      </w:pPr>
      <w:r>
        <w:rPr>
          <w:rFonts w:ascii="仿宋_GB2312" w:hAnsi="仿宋_GB2312" w:eastAsia="仿宋_GB2312"/>
          <w:b/>
          <w:sz w:val="32"/>
        </w:rPr>
        <w:t>2024年度一般公共预算财政拨款支出92.19万元，</w:t>
      </w:r>
      <w:r>
        <w:rPr>
          <w:rFonts w:ascii="仿宋_GB2312" w:hAnsi="仿宋_GB2312" w:eastAsia="仿宋_GB2312"/>
          <w:b w:val="0"/>
          <w:sz w:val="32"/>
        </w:rPr>
        <w:t>占本年支出合计的34.78%。</w:t>
      </w:r>
      <w:r>
        <w:rPr>
          <w:rFonts w:ascii="仿宋_GB2312" w:hAnsi="仿宋_GB2312" w:eastAsia="仿宋_GB2312"/>
          <w:b/>
          <w:sz w:val="32"/>
        </w:rPr>
        <w:t>与上年相比，</w:t>
      </w:r>
      <w:r>
        <w:rPr>
          <w:rFonts w:ascii="仿宋_GB2312" w:hAnsi="仿宋_GB2312" w:eastAsia="仿宋_GB2312"/>
          <w:b w:val="0"/>
          <w:sz w:val="32"/>
        </w:rPr>
        <w:t>增加92.19万元，增长100.00%，主要原因是：本年机构改革，上年与县委办统一编报公开，本年独立核算，无上年对比数据。</w:t>
      </w:r>
      <w:r>
        <w:rPr>
          <w:rFonts w:ascii="仿宋_GB2312" w:hAnsi="仿宋_GB2312" w:eastAsia="仿宋_GB2312"/>
          <w:b/>
          <w:sz w:val="32"/>
        </w:rPr>
        <w:t>与年初预算相比,</w:t>
      </w:r>
      <w:r>
        <w:rPr>
          <w:rFonts w:ascii="仿宋_GB2312" w:hAnsi="仿宋_GB2312" w:eastAsia="仿宋_GB2312"/>
          <w:b w:val="0"/>
          <w:sz w:val="32"/>
        </w:rPr>
        <w:t>年初预算数88.17万元，决算数92.19万元，预决算差异率4.56%，主要原因是：年中追加人员工资、社保、公积金基数调增部分资金，导致预决算存在差异。</w:t>
      </w:r>
    </w:p>
    <w:p w14:paraId="2E5FE23B">
      <w:pPr>
        <w:spacing w:line="640" w:lineRule="exact"/>
        <w:ind w:firstLine="640"/>
        <w:jc w:val="both"/>
        <w:outlineLvl w:val="3"/>
      </w:pPr>
      <w:r>
        <w:rPr>
          <w:rFonts w:ascii="楷体_GB2312" w:hAnsi="楷体_GB2312" w:eastAsia="楷体_GB2312"/>
          <w:b/>
          <w:sz w:val="32"/>
        </w:rPr>
        <w:t>（二）一般公共预算财政拨款支出决算结构情况</w:t>
      </w:r>
    </w:p>
    <w:p w14:paraId="156D127F">
      <w:pPr>
        <w:spacing w:line="580" w:lineRule="exact"/>
        <w:ind w:firstLine="640"/>
        <w:jc w:val="both"/>
      </w:pPr>
      <w:r>
        <w:rPr>
          <w:rFonts w:ascii="仿宋_GB2312" w:hAnsi="仿宋_GB2312" w:eastAsia="仿宋_GB2312"/>
          <w:b w:val="0"/>
          <w:sz w:val="32"/>
        </w:rPr>
        <w:t>1.一般公共服务支出(类)69.95万元,占75.88%。</w:t>
      </w:r>
    </w:p>
    <w:p w14:paraId="1DDCFB86">
      <w:pPr>
        <w:spacing w:line="580" w:lineRule="exact"/>
        <w:ind w:firstLine="640"/>
        <w:jc w:val="both"/>
      </w:pPr>
      <w:r>
        <w:rPr>
          <w:rFonts w:ascii="仿宋_GB2312" w:hAnsi="仿宋_GB2312" w:eastAsia="仿宋_GB2312"/>
          <w:b w:val="0"/>
          <w:sz w:val="32"/>
        </w:rPr>
        <w:t>2.社会保障和就业支出(类)11.83万元,占12.83%。</w:t>
      </w:r>
    </w:p>
    <w:p w14:paraId="4EA9D5FB">
      <w:pPr>
        <w:spacing w:line="580" w:lineRule="exact"/>
        <w:ind w:firstLine="640"/>
        <w:jc w:val="both"/>
      </w:pPr>
      <w:r>
        <w:rPr>
          <w:rFonts w:ascii="仿宋_GB2312" w:hAnsi="仿宋_GB2312" w:eastAsia="仿宋_GB2312"/>
          <w:b w:val="0"/>
          <w:sz w:val="32"/>
        </w:rPr>
        <w:t>3.卫生健康支出(类)4.08万元,占4.43%。</w:t>
      </w:r>
    </w:p>
    <w:p w14:paraId="5DEAF277">
      <w:pPr>
        <w:spacing w:line="580" w:lineRule="exact"/>
        <w:ind w:firstLine="640"/>
        <w:jc w:val="both"/>
      </w:pPr>
      <w:r>
        <w:rPr>
          <w:rFonts w:ascii="仿宋_GB2312" w:hAnsi="仿宋_GB2312" w:eastAsia="仿宋_GB2312"/>
          <w:b w:val="0"/>
          <w:sz w:val="32"/>
        </w:rPr>
        <w:t>4.住房保障支出(类)6.33万元,占6.87%。</w:t>
      </w:r>
    </w:p>
    <w:p w14:paraId="6C13357E">
      <w:pPr>
        <w:spacing w:line="640" w:lineRule="exact"/>
        <w:ind w:firstLine="640"/>
        <w:jc w:val="both"/>
        <w:outlineLvl w:val="3"/>
      </w:pPr>
      <w:r>
        <w:rPr>
          <w:rFonts w:ascii="楷体_GB2312" w:hAnsi="楷体_GB2312" w:eastAsia="楷体_GB2312"/>
          <w:b/>
          <w:sz w:val="32"/>
        </w:rPr>
        <w:t>（三）一般公共预算财政拨款支出决算具体情况</w:t>
      </w:r>
    </w:p>
    <w:p w14:paraId="2847111C">
      <w:pPr>
        <w:spacing w:line="580" w:lineRule="exact"/>
        <w:ind w:firstLine="640"/>
        <w:jc w:val="both"/>
      </w:pPr>
      <w:r>
        <w:rPr>
          <w:rFonts w:ascii="仿宋_GB2312" w:hAnsi="仿宋_GB2312" w:eastAsia="仿宋_GB2312"/>
          <w:b w:val="0"/>
          <w:sz w:val="32"/>
        </w:rPr>
        <w:t>1.一般公共服务支出(类)群众团体事务(款)行政运行(项):支出决算数为57.02万元，比上年决算增加57.02万元，增长100.00%,主要原因是：本年机构改革，上年与县委办统一编报公开，本年独立核算，无上年对比数据。</w:t>
      </w:r>
    </w:p>
    <w:p w14:paraId="32BB5762">
      <w:pPr>
        <w:spacing w:line="580" w:lineRule="exact"/>
        <w:ind w:firstLine="640"/>
        <w:jc w:val="both"/>
      </w:pPr>
      <w:r>
        <w:rPr>
          <w:rFonts w:ascii="仿宋_GB2312" w:hAnsi="仿宋_GB2312" w:eastAsia="仿宋_GB2312"/>
          <w:b w:val="0"/>
          <w:sz w:val="32"/>
        </w:rPr>
        <w:t>2.一般公共服务支出(类)群众团体事务(款)事业运行(项):支出决算数为12.94万元，比上年决算增加12.94万元，增长100.00%,主要原因是：本年机构改革，上年与县委办统一编报公开，本年独立核算，无上年对比数据。</w:t>
      </w:r>
    </w:p>
    <w:p w14:paraId="4A9DB32A">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4.18万元，比上年决算增加4.18万元，增长100.00%,主要原因是：本年机构改革，上年与县委办统一编报公开，本年独立核算，无上年对比数据。</w:t>
      </w:r>
    </w:p>
    <w:p w14:paraId="0194F662">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7.65万元，比上年决算增加7.65万元，增长100.00%,主要原因是：本年机构改革，上年与县委办统一编报公开，本年独立核算，无上年对比数据。</w:t>
      </w:r>
    </w:p>
    <w:p w14:paraId="388DE6D7">
      <w:pPr>
        <w:spacing w:line="580" w:lineRule="exact"/>
        <w:ind w:firstLine="640"/>
        <w:jc w:val="both"/>
      </w:pPr>
      <w:r>
        <w:rPr>
          <w:rFonts w:ascii="仿宋_GB2312" w:hAnsi="仿宋_GB2312" w:eastAsia="仿宋_GB2312"/>
          <w:b w:val="0"/>
          <w:sz w:val="32"/>
        </w:rPr>
        <w:t>5.卫生健康支出(类)行政事业单位医疗(款)行政单位医疗(项):支出决算数为3.31万元，比上年决算增加3.31万元，增长100.00%,主要原因是：本年机构改革，上年与县委办统一编报公开，本年独立核算，无上年对比数据。</w:t>
      </w:r>
    </w:p>
    <w:p w14:paraId="478963FE">
      <w:pPr>
        <w:spacing w:line="580" w:lineRule="exact"/>
        <w:ind w:firstLine="640"/>
        <w:jc w:val="both"/>
      </w:pPr>
      <w:r>
        <w:rPr>
          <w:rFonts w:ascii="仿宋_GB2312" w:hAnsi="仿宋_GB2312" w:eastAsia="仿宋_GB2312"/>
          <w:b w:val="0"/>
          <w:sz w:val="32"/>
        </w:rPr>
        <w:t>6.卫生健康支出(类)行政事业单位医疗(款)公务员医疗补助(项):支出决算数为0.77万元，比上年决算增加0.77万元，增长100.00%,主要原因是：本年机构改革，上年与县委办统一编报公开，本年独立核算，无上年对比数据。</w:t>
      </w:r>
    </w:p>
    <w:p w14:paraId="290B260E">
      <w:pPr>
        <w:spacing w:line="580" w:lineRule="exact"/>
        <w:ind w:firstLine="640"/>
        <w:jc w:val="both"/>
      </w:pPr>
      <w:r>
        <w:rPr>
          <w:rFonts w:ascii="仿宋_GB2312" w:hAnsi="仿宋_GB2312" w:eastAsia="仿宋_GB2312"/>
          <w:b w:val="0"/>
          <w:sz w:val="32"/>
        </w:rPr>
        <w:t>7.住房保障支出(类)住房改革支出(款)住房公积金(项):支出决算数为6.33万元，比上年决算增加6.33万元，增长100.00%,主要原因是：本年机构改革，上年与县委办统一编报公开，本年独立核算，无上年对比数据。</w:t>
      </w:r>
    </w:p>
    <w:p w14:paraId="021C23E1">
      <w:pPr>
        <w:spacing w:line="640" w:lineRule="exact"/>
        <w:ind w:firstLine="640"/>
        <w:jc w:val="both"/>
        <w:outlineLvl w:val="2"/>
      </w:pPr>
      <w:r>
        <w:rPr>
          <w:rFonts w:ascii="黑体" w:hAnsi="黑体" w:eastAsia="黑体"/>
          <w:sz w:val="32"/>
        </w:rPr>
        <w:t>六、一般公共预算财政拨款基本支出决算情况说明</w:t>
      </w:r>
    </w:p>
    <w:p w14:paraId="4AB8FCEE">
      <w:pPr>
        <w:spacing w:line="580" w:lineRule="exact"/>
        <w:ind w:firstLine="640"/>
        <w:jc w:val="both"/>
      </w:pPr>
      <w:r>
        <w:rPr>
          <w:rFonts w:ascii="仿宋_GB2312" w:hAnsi="仿宋_GB2312" w:eastAsia="仿宋_GB2312"/>
          <w:b w:val="0"/>
          <w:sz w:val="32"/>
        </w:rPr>
        <w:t>2024年度一般公共预算财政拨款基本支出92.19万元，其中：</w:t>
      </w:r>
      <w:r>
        <w:rPr>
          <w:rFonts w:ascii="仿宋_GB2312" w:hAnsi="仿宋_GB2312" w:eastAsia="仿宋_GB2312"/>
          <w:b/>
          <w:sz w:val="32"/>
        </w:rPr>
        <w:t>人员经费90.60万元，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包括：基本工资、津贴补贴、奖金、绩效工资、机关事业单位基本养老保险缴费、职工基本医疗保险缴费、公务员医疗补助缴费、其他社会保障缴费、住房公积金、退休费。</w:t>
      </w:r>
    </w:p>
    <w:p w14:paraId="5453A8F9">
      <w:pPr>
        <w:spacing w:line="580" w:lineRule="exact"/>
        <w:ind w:firstLine="640"/>
        <w:jc w:val="both"/>
      </w:pPr>
      <w:r>
        <w:rPr>
          <w:rFonts w:ascii="仿宋_GB2312" w:hAnsi="仿宋_GB2312" w:eastAsia="仿宋_GB2312"/>
          <w:b/>
          <w:sz w:val="32"/>
        </w:rPr>
        <w:t>公用经费1.59万元，</w:t>
      </w:r>
      <w:r>
        <w:rPr>
          <w:rFonts w:ascii="仿宋_GB2312" w:hAnsi="仿宋_GB2312" w:eastAsia="仿宋_GB2312"/>
          <w:b w:val="0"/>
          <w:sz w:val="32"/>
        </w:rPr>
        <w:t>包括：办公费、邮电费、差旅费。</w:t>
      </w:r>
    </w:p>
    <w:p w14:paraId="4FF73B0C">
      <w:pPr>
        <w:spacing w:line="640" w:lineRule="exact"/>
        <w:ind w:firstLine="640"/>
        <w:jc w:val="both"/>
        <w:outlineLvl w:val="2"/>
      </w:pPr>
      <w:r>
        <w:rPr>
          <w:rFonts w:ascii="黑体" w:hAnsi="黑体" w:eastAsia="黑体"/>
          <w:sz w:val="32"/>
        </w:rPr>
        <w:t>七、政府性基金预算财政拨款收入支出决算情况说明</w:t>
      </w:r>
    </w:p>
    <w:p w14:paraId="5603975C">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2A1AE601">
      <w:pPr>
        <w:spacing w:line="640" w:lineRule="exact"/>
        <w:ind w:firstLine="640"/>
        <w:jc w:val="both"/>
        <w:outlineLvl w:val="2"/>
      </w:pPr>
      <w:r>
        <w:rPr>
          <w:rFonts w:ascii="黑体" w:hAnsi="黑体" w:eastAsia="黑体"/>
          <w:sz w:val="32"/>
        </w:rPr>
        <w:t>八、国有资本经营预算财政拨款收入支出决算情况说明</w:t>
      </w:r>
    </w:p>
    <w:p w14:paraId="61FF08BF">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B94FB76">
      <w:pPr>
        <w:spacing w:line="640" w:lineRule="exact"/>
        <w:ind w:firstLine="640"/>
        <w:jc w:val="both"/>
        <w:outlineLvl w:val="2"/>
      </w:pPr>
      <w:r>
        <w:rPr>
          <w:rFonts w:ascii="黑体" w:hAnsi="黑体" w:eastAsia="黑体"/>
          <w:sz w:val="32"/>
        </w:rPr>
        <w:t>九、财政拨款“三公”经费支出决算情况说明</w:t>
      </w:r>
    </w:p>
    <w:p w14:paraId="539A608D">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2024年未安排财政拨款“三公”经费支出。其中：因公出国（境）费支出0.00万元，占0.00%，比上年增加0.00万元，增长0.00%，主要原因是：2024年未安排因公出国（境）费支出。公务用车购置及运行维护费支出0.00万元，占0.00%，比上年增加0.00万元，增长0.00%，主要原因是：2024年未安排公务用车购置及运行维护费支出。公务接待费支出0.00万元，占0.00%，比上年增加0.00万元，增长0.00%，主要原因是：2024年未安排公务接待费支出。</w:t>
      </w:r>
    </w:p>
    <w:p w14:paraId="4205C764">
      <w:pPr>
        <w:spacing w:line="580" w:lineRule="exact"/>
        <w:ind w:firstLine="640"/>
        <w:jc w:val="both"/>
      </w:pPr>
      <w:r>
        <w:rPr>
          <w:rFonts w:ascii="仿宋_GB2312" w:hAnsi="仿宋_GB2312" w:eastAsia="仿宋_GB2312"/>
          <w:b/>
          <w:sz w:val="32"/>
        </w:rPr>
        <w:t>具体情况如下：</w:t>
      </w:r>
    </w:p>
    <w:p w14:paraId="3B3AA915">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6234D64">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19DC372C">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0CF8089">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1A4C9A5A">
      <w:pPr>
        <w:spacing w:line="640" w:lineRule="exact"/>
        <w:ind w:firstLine="640"/>
        <w:jc w:val="both"/>
        <w:outlineLvl w:val="2"/>
      </w:pPr>
      <w:r>
        <w:rPr>
          <w:rFonts w:ascii="黑体" w:hAnsi="黑体" w:eastAsia="黑体"/>
          <w:sz w:val="32"/>
        </w:rPr>
        <w:t>十、其他重要事项的情况说明</w:t>
      </w:r>
    </w:p>
    <w:p w14:paraId="2B812D85">
      <w:pPr>
        <w:spacing w:line="640" w:lineRule="exact"/>
        <w:ind w:firstLine="640"/>
        <w:jc w:val="both"/>
        <w:outlineLvl w:val="3"/>
      </w:pPr>
      <w:r>
        <w:rPr>
          <w:rFonts w:ascii="楷体_GB2312" w:hAnsi="楷体_GB2312" w:eastAsia="楷体_GB2312"/>
          <w:b/>
          <w:sz w:val="32"/>
        </w:rPr>
        <w:t>（一）机关运行经费及公用经费支出情况</w:t>
      </w:r>
    </w:p>
    <w:p w14:paraId="7CC405FB">
      <w:pPr>
        <w:spacing w:line="580" w:lineRule="exact"/>
        <w:ind w:firstLine="640"/>
        <w:jc w:val="both"/>
      </w:pPr>
      <w:r>
        <w:rPr>
          <w:rFonts w:ascii="仿宋_GB2312" w:hAnsi="仿宋_GB2312" w:eastAsia="仿宋_GB2312"/>
          <w:b w:val="0"/>
          <w:sz w:val="32"/>
        </w:rPr>
        <w:t>2024年度新疆英吉沙县妇女联合会（行政单位和参照公务员法管理事业单位）机关运行经费支出1.59万元，比上年增加1.59万元，增长100.00%，主要原因是：本年机构改革，上年与县委办统一编报公开，本年独立核算，无上年对比数据。</w:t>
      </w:r>
    </w:p>
    <w:p w14:paraId="6187C12B">
      <w:pPr>
        <w:spacing w:line="640" w:lineRule="exact"/>
        <w:ind w:firstLine="640"/>
        <w:jc w:val="both"/>
        <w:outlineLvl w:val="3"/>
      </w:pPr>
      <w:r>
        <w:rPr>
          <w:rFonts w:ascii="楷体_GB2312" w:hAnsi="楷体_GB2312" w:eastAsia="楷体_GB2312"/>
          <w:b/>
          <w:sz w:val="32"/>
        </w:rPr>
        <w:t>（二）政府采购情况</w:t>
      </w:r>
    </w:p>
    <w:p w14:paraId="7A1DDFF7">
      <w:pPr>
        <w:spacing w:line="580" w:lineRule="exact"/>
        <w:ind w:firstLine="640"/>
        <w:jc w:val="both"/>
      </w:pPr>
      <w:r>
        <w:rPr>
          <w:rFonts w:ascii="仿宋_GB2312" w:hAnsi="仿宋_GB2312" w:eastAsia="仿宋_GB2312"/>
          <w:b w:val="0"/>
          <w:sz w:val="32"/>
        </w:rPr>
        <w:t>2024年度政府采购支出总额98.90万元，其中：政府采购货物支出0.00万元、政府采购工程支出0.00万元、政府采购服务支出98.90万元。</w:t>
      </w:r>
    </w:p>
    <w:p w14:paraId="5C93D25F">
      <w:pPr>
        <w:spacing w:line="580" w:lineRule="exact"/>
        <w:ind w:firstLine="640"/>
        <w:jc w:val="both"/>
      </w:pPr>
      <w:r>
        <w:rPr>
          <w:rFonts w:ascii="仿宋_GB2312" w:hAnsi="仿宋_GB2312" w:eastAsia="仿宋_GB2312"/>
          <w:b w:val="0"/>
          <w:sz w:val="32"/>
        </w:rPr>
        <w:t>授予中小企业合同金额98.90万元，占政府采购支出总额的100.00%，其中：授予小微企业合同金额98.90万元，占政府采购支出总额的100.00%。</w:t>
      </w:r>
    </w:p>
    <w:p w14:paraId="1F941E8C">
      <w:pPr>
        <w:spacing w:line="640" w:lineRule="exact"/>
        <w:ind w:firstLine="640"/>
        <w:jc w:val="both"/>
        <w:outlineLvl w:val="3"/>
      </w:pPr>
      <w:r>
        <w:rPr>
          <w:rFonts w:ascii="楷体_GB2312" w:hAnsi="楷体_GB2312" w:eastAsia="楷体_GB2312"/>
          <w:b/>
          <w:sz w:val="32"/>
        </w:rPr>
        <w:t>（三）国有资产占用情况说明</w:t>
      </w:r>
    </w:p>
    <w:p w14:paraId="244A828E">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14EADE45">
      <w:pPr>
        <w:spacing w:line="640" w:lineRule="exact"/>
        <w:ind w:firstLine="640"/>
        <w:jc w:val="both"/>
        <w:outlineLvl w:val="2"/>
      </w:pPr>
      <w:r>
        <w:rPr>
          <w:rFonts w:ascii="黑体" w:hAnsi="黑体" w:eastAsia="黑体"/>
          <w:sz w:val="32"/>
        </w:rPr>
        <w:t>十一、预算绩效的情况说明</w:t>
      </w:r>
    </w:p>
    <w:p w14:paraId="2A288131">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265.09万元，实际执行总额265.09万元；预算绩效评价项目0个，全年预算数0.00万元，全年执行数0.00万元。预算绩效管理取得的成效：本单位无项目绩效自评表。发现的问题及原因：本单位无项目绩效自评表。下一步改进措施：本单位无项目绩效自评表。具体附整体支出绩效自评表。</w:t>
      </w:r>
    </w:p>
    <w:p w14:paraId="3129BDE1">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FBE7C4A">
        <w:tblPrEx>
          <w:tblCellMar>
            <w:top w:w="0" w:type="dxa"/>
            <w:left w:w="108" w:type="dxa"/>
            <w:bottom w:w="0" w:type="dxa"/>
            <w:right w:w="108" w:type="dxa"/>
          </w:tblCellMar>
        </w:tblPrEx>
        <w:tc>
          <w:tcPr>
            <w:tcW w:w="8847" w:type="dxa"/>
            <w:gridSpan w:val="9"/>
            <w:vAlign w:val="center"/>
          </w:tcPr>
          <w:p w14:paraId="3DAC5588">
            <w:pPr>
              <w:jc w:val="center"/>
            </w:pPr>
            <w:r>
              <w:rPr>
                <w:rFonts w:ascii="宋体" w:hAnsi="宋体" w:eastAsia="宋体"/>
                <w:sz w:val="24"/>
              </w:rPr>
              <w:t>单位整体支出绩效自评表</w:t>
            </w:r>
          </w:p>
        </w:tc>
      </w:tr>
      <w:tr w14:paraId="71ED998D">
        <w:tblPrEx>
          <w:tblCellMar>
            <w:top w:w="0" w:type="dxa"/>
            <w:left w:w="108" w:type="dxa"/>
            <w:bottom w:w="0" w:type="dxa"/>
            <w:right w:w="108" w:type="dxa"/>
          </w:tblCellMar>
        </w:tblPrEx>
        <w:tc>
          <w:tcPr>
            <w:tcW w:w="8847" w:type="dxa"/>
            <w:gridSpan w:val="9"/>
            <w:vAlign w:val="center"/>
          </w:tcPr>
          <w:p w14:paraId="2A440D91">
            <w:pPr>
              <w:jc w:val="center"/>
            </w:pPr>
            <w:r>
              <w:rPr>
                <w:rFonts w:ascii="宋体" w:hAnsi="宋体" w:eastAsia="宋体"/>
                <w:sz w:val="24"/>
              </w:rPr>
              <w:t>（2024年度）</w:t>
            </w:r>
          </w:p>
        </w:tc>
      </w:tr>
      <w:tr w14:paraId="7E88805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166BC7">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E24DDEF">
            <w:pPr>
              <w:jc w:val="center"/>
            </w:pPr>
            <w:r>
              <w:rPr>
                <w:rFonts w:ascii="宋体" w:hAnsi="宋体" w:eastAsia="宋体"/>
                <w:sz w:val="16"/>
              </w:rPr>
              <w:t>新疆英吉沙县妇女联合会</w:t>
            </w:r>
          </w:p>
        </w:tc>
      </w:tr>
      <w:tr w14:paraId="5D3D5B6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7FA1D0">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1D348A">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22942C">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9AAE72">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44CC2A">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845A59">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D3B2BD">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E926DB">
            <w:pPr>
              <w:jc w:val="center"/>
            </w:pPr>
            <w:r>
              <w:rPr>
                <w:rFonts w:ascii="宋体" w:hAnsi="宋体" w:eastAsia="宋体"/>
                <w:sz w:val="16"/>
              </w:rPr>
              <w:t>得分</w:t>
            </w:r>
          </w:p>
        </w:tc>
      </w:tr>
      <w:tr w14:paraId="14F847F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7B8C6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1EEC02">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260D2F">
            <w:pPr>
              <w:jc w:val="center"/>
            </w:pPr>
            <w:r>
              <w:rPr>
                <w:rFonts w:ascii="宋体" w:hAnsi="宋体" w:eastAsia="宋体"/>
                <w:sz w:val="16"/>
              </w:rPr>
              <w:t>88.17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D35EEB">
            <w:pPr>
              <w:jc w:val="center"/>
            </w:pPr>
            <w:r>
              <w:rPr>
                <w:rFonts w:ascii="宋体" w:hAnsi="宋体" w:eastAsia="宋体"/>
                <w:sz w:val="16"/>
              </w:rPr>
              <w:t>265.09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7C2EBF">
            <w:pPr>
              <w:jc w:val="center"/>
            </w:pPr>
            <w:r>
              <w:rPr>
                <w:rFonts w:ascii="宋体" w:hAnsi="宋体" w:eastAsia="宋体"/>
                <w:sz w:val="16"/>
              </w:rPr>
              <w:t>265.09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CB5FF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AB1962">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203E5F">
            <w:pPr>
              <w:jc w:val="center"/>
            </w:pPr>
            <w:r>
              <w:rPr>
                <w:rFonts w:ascii="宋体" w:hAnsi="宋体" w:eastAsia="宋体"/>
                <w:sz w:val="16"/>
              </w:rPr>
              <w:t>10</w:t>
            </w:r>
          </w:p>
        </w:tc>
      </w:tr>
      <w:tr w14:paraId="37E59E0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EA663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2C2092">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D273F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E5F06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9CA6B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A8F90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B5D9F6">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66218E">
            <w:pPr>
              <w:jc w:val="center"/>
            </w:pPr>
            <w:r>
              <w:rPr>
                <w:rFonts w:ascii="宋体" w:hAnsi="宋体" w:eastAsia="宋体"/>
                <w:sz w:val="16"/>
              </w:rPr>
              <w:t>—</w:t>
            </w:r>
          </w:p>
        </w:tc>
      </w:tr>
      <w:tr w14:paraId="4B9A0A6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CE087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16FE3C">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5A98AD">
            <w:pPr>
              <w:jc w:val="center"/>
            </w:pPr>
            <w:r>
              <w:rPr>
                <w:rFonts w:ascii="宋体" w:hAnsi="宋体" w:eastAsia="宋体"/>
                <w:sz w:val="16"/>
              </w:rPr>
              <w:t>88.17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1BE933">
            <w:pPr>
              <w:jc w:val="center"/>
            </w:pPr>
            <w:r>
              <w:rPr>
                <w:rFonts w:ascii="宋体" w:hAnsi="宋体" w:eastAsia="宋体"/>
                <w:sz w:val="16"/>
              </w:rPr>
              <w:t>92.19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788017">
            <w:pPr>
              <w:jc w:val="center"/>
            </w:pPr>
            <w:r>
              <w:rPr>
                <w:rFonts w:ascii="宋体" w:hAnsi="宋体" w:eastAsia="宋体"/>
                <w:sz w:val="16"/>
              </w:rPr>
              <w:t>92.19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5DCFB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03FE51">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43194E">
            <w:pPr>
              <w:jc w:val="center"/>
            </w:pPr>
            <w:r>
              <w:rPr>
                <w:rFonts w:ascii="宋体" w:hAnsi="宋体" w:eastAsia="宋体"/>
                <w:sz w:val="16"/>
              </w:rPr>
              <w:t>—</w:t>
            </w:r>
          </w:p>
        </w:tc>
      </w:tr>
      <w:tr w14:paraId="14986AD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9C04E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36433F">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92225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C1AE30">
            <w:pPr>
              <w:jc w:val="center"/>
            </w:pPr>
            <w:r>
              <w:rPr>
                <w:rFonts w:ascii="宋体" w:hAnsi="宋体" w:eastAsia="宋体"/>
                <w:sz w:val="16"/>
              </w:rPr>
              <w:t>172.90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FE4DA5">
            <w:pPr>
              <w:jc w:val="center"/>
            </w:pPr>
            <w:r>
              <w:rPr>
                <w:rFonts w:ascii="宋体" w:hAnsi="宋体" w:eastAsia="宋体"/>
                <w:sz w:val="16"/>
              </w:rPr>
              <w:t>172.90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0EB28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2F47B2">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A5E4A0">
            <w:pPr>
              <w:jc w:val="center"/>
            </w:pPr>
            <w:r>
              <w:rPr>
                <w:rFonts w:ascii="宋体" w:hAnsi="宋体" w:eastAsia="宋体"/>
                <w:sz w:val="16"/>
              </w:rPr>
              <w:t>—</w:t>
            </w:r>
          </w:p>
        </w:tc>
      </w:tr>
      <w:tr w14:paraId="0BC833B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25BA44">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0B59E4F">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0254A20">
            <w:pPr>
              <w:jc w:val="center"/>
            </w:pPr>
            <w:r>
              <w:rPr>
                <w:rFonts w:ascii="宋体" w:hAnsi="宋体" w:eastAsia="宋体"/>
                <w:sz w:val="16"/>
              </w:rPr>
              <w:t>实际完成情况</w:t>
            </w:r>
          </w:p>
        </w:tc>
      </w:tr>
      <w:tr w14:paraId="220D045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8493BD"/>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7159D7A">
            <w:pPr>
              <w:jc w:val="both"/>
            </w:pPr>
            <w:r>
              <w:rPr>
                <w:rFonts w:ascii="宋体" w:hAnsi="宋体" w:eastAsia="宋体"/>
                <w:sz w:val="16"/>
              </w:rPr>
              <w:t>2024年要继续深入实施“石榴花开耀天山”工程，开展形式多样的宣传宣讲、文化活动，铸牢中华民族共同体意识。</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第一季度以“三八”国际劳动妇女节为节点，开展系列纪念活动，宣传先进典型，做好示范引领。</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第二季度以“国际家庭日”“家庭教育周”和“六一”儿童节为节点，开展“石榴花·小手拉大手·全家一起学”家庭学用国家通用语言文字等系列家庭和儿童活动，评选“最美家庭”，深化社会主义核心价值观培育。</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第三季度组织深化共同缔造活动推进会、清廉家庭推进会，开展暑期“关爱行动”活动</w:t>
            </w:r>
            <w:r>
              <w:rPr>
                <w:rFonts w:hint="eastAsia" w:ascii="宋体" w:hAnsi="宋体"/>
                <w:sz w:val="16"/>
                <w:lang w:eastAsia="zh-CN"/>
              </w:rPr>
              <w:t>，</w:t>
            </w:r>
            <w:r>
              <w:rPr>
                <w:rFonts w:ascii="宋体" w:hAnsi="宋体" w:eastAsia="宋体"/>
                <w:sz w:val="16"/>
              </w:rPr>
              <w:t>持续做好妇联系统特色工作。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第四季度以走访慰问和关爱服务为重点，开展寒假“把爱带回家”活动，评选“最美庭院”，传递党和政府关怀温暖。</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2024年县乡村三级妇联排查婚姻家庭矛盾纠纷化解率达99%、举办妇联工作现场会不少于5次、向不少于90名妇女儿童发放救助金。</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开展为民办实事活动3</w:t>
            </w:r>
            <w:r>
              <w:rPr>
                <w:rFonts w:hint="eastAsia" w:ascii="宋体" w:hAnsi="宋体"/>
                <w:sz w:val="16"/>
                <w:lang w:val="en-US" w:eastAsia="zh-CN"/>
              </w:rPr>
              <w:t>次</w:t>
            </w:r>
            <w:r>
              <w:rPr>
                <w:rFonts w:ascii="宋体" w:hAnsi="宋体" w:eastAsia="宋体"/>
                <w:sz w:val="16"/>
              </w:rPr>
              <w:t>，妇女自我保护和依法维权的意识宣传覆盖率100%</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3ECAF10">
            <w:pPr>
              <w:jc w:val="both"/>
            </w:pPr>
            <w:r>
              <w:rPr>
                <w:rFonts w:ascii="宋体" w:hAnsi="宋体" w:eastAsia="宋体"/>
                <w:sz w:val="16"/>
              </w:rPr>
              <w:t>年初以来，英吉沙县妇联</w:t>
            </w:r>
            <w:r>
              <w:rPr>
                <w:rFonts w:hint="eastAsia" w:ascii="宋体" w:hAnsi="宋体"/>
                <w:sz w:val="16"/>
                <w:lang w:eastAsia="zh-CN"/>
              </w:rPr>
              <w:t>坚持以习近平新时代中国特色社会</w:t>
            </w:r>
            <w:r>
              <w:rPr>
                <w:rFonts w:ascii="宋体" w:hAnsi="宋体" w:eastAsia="宋体"/>
                <w:sz w:val="16"/>
              </w:rPr>
              <w:t>主义思想为指导，全面贯彻党的二十大精神，贯彻落实习近平总书记关于妇女儿童工作的重要论述及中国妇女十三大精神，牢牢扭住社会</w:t>
            </w:r>
            <w:r>
              <w:rPr>
                <w:rFonts w:hint="eastAsia" w:ascii="宋体" w:hAnsi="宋体"/>
                <w:sz w:val="16"/>
                <w:lang w:val="en-US" w:eastAsia="zh-CN"/>
              </w:rPr>
              <w:t>稳定和</w:t>
            </w:r>
            <w:r>
              <w:rPr>
                <w:rFonts w:ascii="宋体" w:hAnsi="宋体" w:eastAsia="宋体"/>
                <w:sz w:val="16"/>
              </w:rPr>
              <w:t>长治久安总目标，充分发挥妇联组织联系、服务广大妇女儿童的职能优势，加强领导，形成合力，找准妇联组织切入点，促进妇联工作高质量发展。一是加强妇联组织自身建设，提高妇联干部的综合素质和能力。二是大力开展“石榴花开耀天山”巾帼大宣讲活动。三是排查化解婚姻家庭矛盾纠纷，全力维护妇女儿童合法权益。四是开展以铸牢中华民族共同体意识为主线的系列活动。五是开展家庭文明创建活动，注重家风建设</w:t>
            </w:r>
            <w:r>
              <w:rPr>
                <w:rFonts w:hint="eastAsia" w:ascii="宋体" w:hAnsi="宋体"/>
                <w:sz w:val="16"/>
                <w:lang w:eastAsia="zh-CN"/>
              </w:rPr>
              <w:t>。</w:t>
            </w:r>
            <w:r>
              <w:rPr>
                <w:rFonts w:ascii="宋体" w:hAnsi="宋体" w:eastAsia="宋体"/>
                <w:sz w:val="16"/>
              </w:rPr>
              <w:t>六是持续关心关爱困难妇女儿童。完成妇女儿童发放救助金100人次，举办妇联工作现场会11场次，开展为民办实事活动3</w:t>
            </w:r>
            <w:r>
              <w:rPr>
                <w:rFonts w:hint="eastAsia" w:ascii="宋体" w:hAnsi="宋体"/>
                <w:sz w:val="16"/>
                <w:lang w:val="en-US" w:eastAsia="zh-CN"/>
              </w:rPr>
              <w:t>次</w:t>
            </w:r>
            <w:r>
              <w:rPr>
                <w:rFonts w:ascii="宋体" w:hAnsi="宋体" w:eastAsia="宋体"/>
                <w:sz w:val="16"/>
              </w:rPr>
              <w:t>，2024年县乡村三级妇联排查婚姻家庭矛盾纠纷化解率达到99%，妇女自我保护和依法维权的意识宣传覆盖率达到</w:t>
            </w:r>
            <w:r>
              <w:rPr>
                <w:rFonts w:hint="eastAsia" w:ascii="宋体" w:hAnsi="宋体"/>
                <w:sz w:val="16"/>
                <w:lang w:val="en-US" w:eastAsia="zh-CN"/>
              </w:rPr>
              <w:t>1</w:t>
            </w:r>
            <w:bookmarkStart w:id="0" w:name="_GoBack"/>
            <w:bookmarkEnd w:id="0"/>
            <w:r>
              <w:rPr>
                <w:rFonts w:ascii="宋体" w:hAnsi="宋体" w:eastAsia="宋体"/>
                <w:sz w:val="16"/>
              </w:rPr>
              <w:t>00%，提升了基层妇联干部</w:t>
            </w:r>
            <w:r>
              <w:rPr>
                <w:rFonts w:hint="eastAsia" w:ascii="宋体" w:hAnsi="宋体"/>
                <w:sz w:val="16"/>
                <w:lang w:eastAsia="zh-CN"/>
              </w:rPr>
              <w:t>婚姻</w:t>
            </w:r>
            <w:r>
              <w:rPr>
                <w:rFonts w:ascii="宋体" w:hAnsi="宋体" w:eastAsia="宋体"/>
                <w:sz w:val="16"/>
              </w:rPr>
              <w:t>家庭矛盾纠纷调处的能力和水平，达到各民族相互交往交流交融的效益。</w:t>
            </w:r>
          </w:p>
        </w:tc>
      </w:tr>
      <w:tr w14:paraId="7A5F88B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143408">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30858D">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326462">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3341A2">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E25973">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830721">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5135E2">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F12A4C">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52210A">
            <w:pPr>
              <w:jc w:val="center"/>
            </w:pPr>
            <w:r>
              <w:rPr>
                <w:rFonts w:ascii="宋体" w:hAnsi="宋体" w:eastAsia="宋体"/>
                <w:sz w:val="16"/>
              </w:rPr>
              <w:t>得分</w:t>
            </w:r>
          </w:p>
        </w:tc>
      </w:tr>
      <w:tr w14:paraId="38C2318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7A6A89">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7541A6">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E2B512">
            <w:pPr>
              <w:jc w:val="center"/>
            </w:pPr>
            <w:r>
              <w:rPr>
                <w:rFonts w:ascii="宋体" w:hAnsi="宋体" w:eastAsia="宋体"/>
                <w:sz w:val="16"/>
              </w:rPr>
              <w:t>举办妇联工作现场会场次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68DCDA">
            <w:pPr>
              <w:jc w:val="center"/>
            </w:pPr>
            <w:r>
              <w:rPr>
                <w:rFonts w:ascii="宋体" w:hAnsi="宋体" w:eastAsia="宋体"/>
                <w:sz w:val="16"/>
              </w:rPr>
              <w:t>&gt;=11场次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58D2F0">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C9287D">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A3B9FA">
            <w:pPr>
              <w:jc w:val="center"/>
            </w:pPr>
            <w:r>
              <w:rPr>
                <w:rFonts w:ascii="宋体" w:hAnsi="宋体" w:eastAsia="宋体"/>
                <w:sz w:val="16"/>
              </w:rPr>
              <w:t>=11场次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D336F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1D4B7D">
            <w:pPr>
              <w:jc w:val="center"/>
            </w:pPr>
            <w:r>
              <w:rPr>
                <w:rFonts w:ascii="宋体" w:hAnsi="宋体" w:eastAsia="宋体"/>
                <w:sz w:val="16"/>
              </w:rPr>
              <w:t>30</w:t>
            </w:r>
          </w:p>
        </w:tc>
      </w:tr>
      <w:tr w14:paraId="34D8A66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9CFC2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BB428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9F9267">
            <w:pPr>
              <w:jc w:val="center"/>
            </w:pPr>
            <w:r>
              <w:rPr>
                <w:rFonts w:ascii="宋体" w:hAnsi="宋体" w:eastAsia="宋体"/>
                <w:sz w:val="16"/>
              </w:rPr>
              <w:t>妇女儿童发放救助金人次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5AC5A6">
            <w:pPr>
              <w:jc w:val="center"/>
            </w:pPr>
            <w:r>
              <w:rPr>
                <w:rFonts w:ascii="宋体" w:hAnsi="宋体" w:eastAsia="宋体"/>
                <w:sz w:val="16"/>
              </w:rPr>
              <w:t>&gt;=100人次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44134D">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BD8CF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F7C77C">
            <w:pPr>
              <w:jc w:val="center"/>
            </w:pPr>
            <w:r>
              <w:rPr>
                <w:rFonts w:ascii="宋体" w:hAnsi="宋体" w:eastAsia="宋体"/>
                <w:sz w:val="16"/>
              </w:rPr>
              <w:t>=100人次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2DA66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2819B0">
            <w:pPr>
              <w:jc w:val="center"/>
            </w:pPr>
            <w:r>
              <w:rPr>
                <w:rFonts w:ascii="宋体" w:hAnsi="宋体" w:eastAsia="宋体"/>
                <w:sz w:val="16"/>
              </w:rPr>
              <w:t>20</w:t>
            </w:r>
          </w:p>
        </w:tc>
      </w:tr>
      <w:tr w14:paraId="4C7616F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9967D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4906D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91A43B">
            <w:pPr>
              <w:jc w:val="center"/>
            </w:pPr>
            <w:r>
              <w:rPr>
                <w:rFonts w:ascii="宋体" w:hAnsi="宋体" w:eastAsia="宋体"/>
                <w:sz w:val="16"/>
              </w:rPr>
              <w:t>开展为民办实事活动数量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D1F401">
            <w:pPr>
              <w:jc w:val="center"/>
            </w:pPr>
            <w:r>
              <w:rPr>
                <w:rFonts w:ascii="宋体" w:hAnsi="宋体" w:eastAsia="宋体"/>
                <w:sz w:val="16"/>
              </w:rPr>
              <w:t>&gt;=3个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1562B3">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79806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FDE2CD">
            <w:pPr>
              <w:jc w:val="center"/>
            </w:pPr>
            <w:r>
              <w:rPr>
                <w:rFonts w:ascii="宋体" w:hAnsi="宋体" w:eastAsia="宋体"/>
                <w:sz w:val="16"/>
              </w:rPr>
              <w:t>=3个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4F20B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25E6F0">
            <w:pPr>
              <w:jc w:val="center"/>
            </w:pPr>
            <w:r>
              <w:rPr>
                <w:rFonts w:ascii="宋体" w:hAnsi="宋体" w:eastAsia="宋体"/>
                <w:sz w:val="16"/>
              </w:rPr>
              <w:t>10</w:t>
            </w:r>
          </w:p>
        </w:tc>
      </w:tr>
      <w:tr w14:paraId="15BA0AF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BDE9C0"/>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0F3871">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BC1C23">
            <w:pPr>
              <w:jc w:val="center"/>
            </w:pPr>
            <w:r>
              <w:rPr>
                <w:rFonts w:ascii="宋体" w:hAnsi="宋体" w:eastAsia="宋体"/>
                <w:sz w:val="16"/>
              </w:rPr>
              <w:t>2024年县乡村三级妇联排查婚姻家庭矛盾纠纷化解率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412B85">
            <w:pPr>
              <w:jc w:val="center"/>
            </w:pPr>
            <w:r>
              <w:rPr>
                <w:rFonts w:ascii="宋体" w:hAnsi="宋体" w:eastAsia="宋体"/>
                <w:sz w:val="16"/>
              </w:rPr>
              <w:t>&gt;=99%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5A9466">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EAF533">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8199B7">
            <w:pPr>
              <w:jc w:val="center"/>
            </w:pPr>
            <w:r>
              <w:rPr>
                <w:rFonts w:ascii="宋体" w:hAnsi="宋体" w:eastAsia="宋体"/>
                <w:sz w:val="16"/>
              </w:rPr>
              <w:t>=99%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2A4CD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379D7E">
            <w:pPr>
              <w:jc w:val="center"/>
            </w:pPr>
            <w:r>
              <w:rPr>
                <w:rFonts w:ascii="宋体" w:hAnsi="宋体" w:eastAsia="宋体"/>
                <w:sz w:val="16"/>
              </w:rPr>
              <w:t>20</w:t>
            </w:r>
          </w:p>
        </w:tc>
      </w:tr>
      <w:tr w14:paraId="32C3C5A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EADAB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92EFA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F40B95">
            <w:pPr>
              <w:jc w:val="center"/>
            </w:pPr>
            <w:r>
              <w:rPr>
                <w:rFonts w:ascii="宋体" w:hAnsi="宋体" w:eastAsia="宋体"/>
                <w:sz w:val="16"/>
              </w:rPr>
              <w:t>妇女自我保护和依法维权的意识宣传覆盖率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E21C7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260DD9">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D2AD8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B2A06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60122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D11156">
            <w:pPr>
              <w:jc w:val="center"/>
            </w:pPr>
            <w:r>
              <w:rPr>
                <w:rFonts w:ascii="宋体" w:hAnsi="宋体" w:eastAsia="宋体"/>
                <w:sz w:val="16"/>
              </w:rPr>
              <w:t>10</w:t>
            </w:r>
          </w:p>
        </w:tc>
      </w:tr>
    </w:tbl>
    <w:p w14:paraId="52525165">
      <w:r>
        <w:br w:type="page"/>
      </w:r>
    </w:p>
    <w:p w14:paraId="1F1AFA60">
      <w:pPr>
        <w:spacing w:line="640" w:lineRule="exact"/>
        <w:ind w:firstLine="640"/>
        <w:jc w:val="both"/>
        <w:outlineLvl w:val="2"/>
      </w:pPr>
      <w:r>
        <w:rPr>
          <w:rFonts w:ascii="黑体" w:hAnsi="黑体" w:eastAsia="黑体"/>
          <w:sz w:val="32"/>
        </w:rPr>
        <w:t>十二、其他需说明的事项</w:t>
      </w:r>
    </w:p>
    <w:p w14:paraId="7D37B61E">
      <w:pPr>
        <w:spacing w:line="580" w:lineRule="exact"/>
        <w:ind w:firstLine="640"/>
        <w:jc w:val="both"/>
      </w:pPr>
      <w:r>
        <w:rPr>
          <w:rFonts w:ascii="仿宋_GB2312" w:hAnsi="仿宋_GB2312" w:eastAsia="仿宋_GB2312"/>
          <w:b w:val="0"/>
          <w:sz w:val="32"/>
        </w:rPr>
        <w:t>本单位无其他需说明的事项。</w:t>
      </w:r>
    </w:p>
    <w:p w14:paraId="76C3F910">
      <w:r>
        <w:br w:type="page"/>
      </w:r>
    </w:p>
    <w:p w14:paraId="4BCB6086">
      <w:pPr>
        <w:spacing w:line="240" w:lineRule="auto"/>
        <w:jc w:val="center"/>
        <w:outlineLvl w:val="1"/>
      </w:pPr>
      <w:r>
        <w:rPr>
          <w:rFonts w:ascii="黑体" w:hAnsi="黑体" w:eastAsia="黑体"/>
          <w:sz w:val="32"/>
        </w:rPr>
        <w:t>第三部分 专业名词解释</w:t>
      </w:r>
    </w:p>
    <w:p w14:paraId="6017FB03">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F97F168">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4B7C16F">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1B15368">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99FB62B">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163F962">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B3576DD">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9B15EC2">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871C82B">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1B21B35">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E28B187">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DF499A0">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76338D7">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A200BA4">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00A4B18">
      <w:r>
        <w:br w:type="page"/>
      </w:r>
    </w:p>
    <w:p w14:paraId="7DC1406A">
      <w:pPr>
        <w:spacing w:line="240" w:lineRule="auto"/>
        <w:jc w:val="center"/>
        <w:outlineLvl w:val="1"/>
      </w:pPr>
      <w:r>
        <w:rPr>
          <w:rFonts w:ascii="黑体" w:hAnsi="黑体" w:eastAsia="黑体"/>
          <w:sz w:val="32"/>
        </w:rPr>
        <w:t>第四部分 部门决算报表（见附表）</w:t>
      </w:r>
    </w:p>
    <w:p w14:paraId="54F0FBD5">
      <w:pPr>
        <w:spacing w:line="240" w:lineRule="auto"/>
        <w:ind w:firstLine="640"/>
        <w:jc w:val="both"/>
      </w:pPr>
      <w:r>
        <w:rPr>
          <w:rFonts w:ascii="仿宋_GB2312" w:hAnsi="仿宋_GB2312" w:eastAsia="仿宋_GB2312"/>
          <w:b w:val="0"/>
          <w:sz w:val="32"/>
        </w:rPr>
        <w:t>一、《收入支出决算总表》</w:t>
      </w:r>
    </w:p>
    <w:p w14:paraId="4A494268">
      <w:pPr>
        <w:spacing w:line="240" w:lineRule="auto"/>
        <w:ind w:firstLine="640"/>
        <w:jc w:val="both"/>
      </w:pPr>
      <w:r>
        <w:rPr>
          <w:rFonts w:ascii="仿宋_GB2312" w:hAnsi="仿宋_GB2312" w:eastAsia="仿宋_GB2312"/>
          <w:b w:val="0"/>
          <w:sz w:val="32"/>
        </w:rPr>
        <w:t>二、《收入决算表》</w:t>
      </w:r>
    </w:p>
    <w:p w14:paraId="77983BB1">
      <w:pPr>
        <w:spacing w:line="240" w:lineRule="auto"/>
        <w:ind w:firstLine="640"/>
        <w:jc w:val="both"/>
      </w:pPr>
      <w:r>
        <w:rPr>
          <w:rFonts w:ascii="仿宋_GB2312" w:hAnsi="仿宋_GB2312" w:eastAsia="仿宋_GB2312"/>
          <w:b w:val="0"/>
          <w:sz w:val="32"/>
        </w:rPr>
        <w:t>三、《支出决算表》</w:t>
      </w:r>
    </w:p>
    <w:p w14:paraId="1D225402">
      <w:pPr>
        <w:spacing w:line="240" w:lineRule="auto"/>
        <w:ind w:firstLine="640"/>
        <w:jc w:val="both"/>
      </w:pPr>
      <w:r>
        <w:rPr>
          <w:rFonts w:ascii="仿宋_GB2312" w:hAnsi="仿宋_GB2312" w:eastAsia="仿宋_GB2312"/>
          <w:b w:val="0"/>
          <w:sz w:val="32"/>
        </w:rPr>
        <w:t>四、《财政拨款收入支出决算总表》</w:t>
      </w:r>
    </w:p>
    <w:p w14:paraId="103CA4AE">
      <w:pPr>
        <w:spacing w:line="240" w:lineRule="auto"/>
        <w:ind w:firstLine="640"/>
        <w:jc w:val="both"/>
      </w:pPr>
      <w:r>
        <w:rPr>
          <w:rFonts w:ascii="仿宋_GB2312" w:hAnsi="仿宋_GB2312" w:eastAsia="仿宋_GB2312"/>
          <w:b w:val="0"/>
          <w:sz w:val="32"/>
        </w:rPr>
        <w:t>五、《一般公共预算财政拨款支出决算表》</w:t>
      </w:r>
    </w:p>
    <w:p w14:paraId="3DF19321">
      <w:pPr>
        <w:spacing w:line="240" w:lineRule="auto"/>
        <w:ind w:firstLine="640"/>
        <w:jc w:val="both"/>
      </w:pPr>
      <w:r>
        <w:rPr>
          <w:rFonts w:ascii="仿宋_GB2312" w:hAnsi="仿宋_GB2312" w:eastAsia="仿宋_GB2312"/>
          <w:b w:val="0"/>
          <w:sz w:val="32"/>
        </w:rPr>
        <w:t>六、《一般公共预算财政拨款基本支出决算表》</w:t>
      </w:r>
    </w:p>
    <w:p w14:paraId="33611F3E">
      <w:pPr>
        <w:spacing w:line="240" w:lineRule="auto"/>
        <w:ind w:firstLine="640"/>
        <w:jc w:val="both"/>
      </w:pPr>
      <w:r>
        <w:rPr>
          <w:rFonts w:ascii="仿宋_GB2312" w:hAnsi="仿宋_GB2312" w:eastAsia="仿宋_GB2312"/>
          <w:b w:val="0"/>
          <w:sz w:val="32"/>
        </w:rPr>
        <w:t>七、《政府性基金预算财政拨款收入支出决算表》</w:t>
      </w:r>
    </w:p>
    <w:p w14:paraId="7C9043D3">
      <w:pPr>
        <w:spacing w:line="240" w:lineRule="auto"/>
        <w:ind w:firstLine="640"/>
        <w:jc w:val="both"/>
      </w:pPr>
      <w:r>
        <w:rPr>
          <w:rFonts w:ascii="仿宋_GB2312" w:hAnsi="仿宋_GB2312" w:eastAsia="仿宋_GB2312"/>
          <w:b w:val="0"/>
          <w:sz w:val="32"/>
        </w:rPr>
        <w:t>八、《国有资本经营预算财政拨款收入支出决算表》</w:t>
      </w:r>
    </w:p>
    <w:p w14:paraId="173BA115">
      <w:pPr>
        <w:spacing w:line="240" w:lineRule="auto"/>
        <w:ind w:firstLine="640"/>
        <w:jc w:val="both"/>
      </w:pPr>
      <w:r>
        <w:rPr>
          <w:rFonts w:ascii="仿宋_GB2312" w:hAnsi="仿宋_GB2312" w:eastAsia="仿宋_GB2312"/>
          <w:b w:val="0"/>
          <w:sz w:val="32"/>
        </w:rPr>
        <w:t>九、《财政拨款“三公”经费支出决算表》</w:t>
      </w:r>
    </w:p>
    <w:p w14:paraId="213B60F3">
      <w:pPr>
        <w:spacing w:line="240" w:lineRule="auto"/>
        <w:ind w:firstLine="640"/>
        <w:jc w:val="both"/>
      </w:pPr>
    </w:p>
    <w:p w14:paraId="0A75530C">
      <w:pPr>
        <w:spacing w:line="240" w:lineRule="auto"/>
        <w:ind w:firstLine="640"/>
        <w:jc w:val="both"/>
      </w:pPr>
    </w:p>
    <w:p w14:paraId="5CDC5D65">
      <w:pPr>
        <w:spacing w:line="240" w:lineRule="auto"/>
        <w:ind w:firstLine="640"/>
        <w:jc w:val="both"/>
      </w:pPr>
    </w:p>
    <w:p w14:paraId="58763C11">
      <w:pPr>
        <w:spacing w:line="240" w:lineRule="auto"/>
        <w:ind w:firstLine="640"/>
        <w:jc w:val="both"/>
      </w:pPr>
    </w:p>
    <w:p w14:paraId="4F91E317">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M1MjNkYjVmZWQ2OTZhMTIzM2Q0N2EwOWRhYTM1NmMifQ=="/>
  </w:docVars>
  <w:rsids>
    <w:rsidRoot w:val="00000000"/>
    <w:rsid w:val="00511B0C"/>
    <w:rsid w:val="021B7195"/>
    <w:rsid w:val="02F73D26"/>
    <w:rsid w:val="034D4FEF"/>
    <w:rsid w:val="043E5B56"/>
    <w:rsid w:val="048E56D2"/>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B8B15FB"/>
    <w:rsid w:val="2C1965E9"/>
    <w:rsid w:val="2D1136DF"/>
    <w:rsid w:val="2DAE0E44"/>
    <w:rsid w:val="2FD27414"/>
    <w:rsid w:val="305C7526"/>
    <w:rsid w:val="313F1D52"/>
    <w:rsid w:val="318029AB"/>
    <w:rsid w:val="31C63837"/>
    <w:rsid w:val="326F0A17"/>
    <w:rsid w:val="3277581B"/>
    <w:rsid w:val="38006E2C"/>
    <w:rsid w:val="3914510A"/>
    <w:rsid w:val="3B1220C9"/>
    <w:rsid w:val="3BB56AC5"/>
    <w:rsid w:val="3D461AF5"/>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5065</Words>
  <Characters>5761</Characters>
  <Lines>0</Lines>
  <Paragraphs>0</Paragraphs>
  <TotalTime>13</TotalTime>
  <ScaleCrop>false</ScaleCrop>
  <LinksUpToDate>false</LinksUpToDate>
  <CharactersWithSpaces>5769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2025-12-26T03:08:50Z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eyJoZGlkIjoiNTU2MjViZmJjYjVhNzQ5YTFkM2E1YjkwZTE1NzBlMDgiLCJ1c2VySWQiOiIyMDM3MTI1NTkifQ==</vt:lpwstr>
  </property>
</Properties>
</file>