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英吉沙县人民代表大会常务委员会办公室2024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EE335A1">
      <w:r>
        <w:br w:type="page"/>
      </w:r>
    </w:p>
    <w:p w14:paraId="190967FB">
      <w:pPr>
        <w:spacing w:line="640" w:lineRule="exact"/>
        <w:jc w:val="center"/>
        <w:outlineLvl w:val="1"/>
      </w:pPr>
      <w:r>
        <w:rPr>
          <w:rFonts w:ascii="黑体" w:hAnsi="黑体" w:eastAsia="黑体"/>
          <w:sz w:val="32"/>
        </w:rPr>
        <w:t>第一部分 单位概况</w:t>
      </w:r>
    </w:p>
    <w:p w14:paraId="4AC1D79E">
      <w:pPr>
        <w:spacing w:line="640" w:lineRule="exact"/>
        <w:ind w:firstLine="640"/>
        <w:jc w:val="both"/>
        <w:outlineLvl w:val="2"/>
      </w:pPr>
      <w:r>
        <w:rPr>
          <w:rFonts w:ascii="黑体" w:hAnsi="黑体" w:eastAsia="黑体"/>
          <w:sz w:val="32"/>
        </w:rPr>
        <w:t>一、主要职能</w:t>
      </w:r>
    </w:p>
    <w:p w14:paraId="4E566DE5">
      <w:pPr>
        <w:spacing w:line="580" w:lineRule="exact"/>
        <w:ind w:firstLine="640"/>
        <w:jc w:val="both"/>
      </w:pPr>
      <w:r>
        <w:rPr>
          <w:rFonts w:ascii="仿宋_GB2312" w:hAnsi="仿宋_GB2312" w:eastAsia="仿宋_GB2312"/>
          <w:sz w:val="32"/>
        </w:rPr>
        <w:t>召集本级人民代表大会会议；在本行政区域内保证宪法、法律、行政法规和上级人民代表大会及其常务委员会决议的遵守和执行。讨论决定本行政区域内的政治、经济、教育、科学、文化、卫生、环境和资源保护、民政、民族等工作的重大事项；监督本级人民政府、人民法院和人民检察院的工作，联系本级人民代表大会代表。选举、罢免本级国家机构领导人员；完成县委交办的其他工作。</w:t>
      </w:r>
    </w:p>
    <w:p w14:paraId="046AD0D8">
      <w:pPr>
        <w:spacing w:line="640" w:lineRule="exact"/>
        <w:ind w:firstLine="640"/>
        <w:jc w:val="both"/>
        <w:outlineLvl w:val="2"/>
      </w:pPr>
      <w:r>
        <w:rPr>
          <w:rFonts w:ascii="黑体" w:hAnsi="黑体" w:eastAsia="黑体"/>
          <w:sz w:val="32"/>
        </w:rPr>
        <w:t>二、机构设置及人员情况</w:t>
      </w:r>
    </w:p>
    <w:p w14:paraId="6117399C">
      <w:pPr>
        <w:spacing w:line="580" w:lineRule="exact"/>
        <w:ind w:firstLine="640"/>
        <w:jc w:val="both"/>
      </w:pPr>
      <w:r>
        <w:rPr>
          <w:rFonts w:ascii="仿宋_GB2312" w:hAnsi="仿宋_GB2312" w:eastAsia="仿宋_GB2312"/>
          <w:sz w:val="32"/>
        </w:rPr>
        <w:t>英吉沙县人民代表大会常务委员会办公室2024年度，实有人数45人，其中：在职人员17人，减少1人；离休人员0人，增加0人；退休人员28人,增加1人。</w:t>
      </w:r>
    </w:p>
    <w:p w14:paraId="5F1A7C36">
      <w:pPr>
        <w:spacing w:line="580" w:lineRule="exact"/>
        <w:ind w:firstLine="640"/>
        <w:jc w:val="both"/>
      </w:pPr>
      <w:r>
        <w:rPr>
          <w:rFonts w:ascii="仿宋_GB2312" w:hAnsi="仿宋_GB2312" w:eastAsia="仿宋_GB2312"/>
          <w:sz w:val="32"/>
        </w:rPr>
        <w:t>英吉沙县人民代表大会常务委员会办公室无下属预算单位，下设</w:t>
      </w:r>
      <w:r>
        <w:rPr>
          <w:rFonts w:hint="eastAsia" w:ascii="仿宋_GB2312" w:hAnsi="仿宋_GB2312" w:eastAsia="仿宋_GB2312"/>
          <w:sz w:val="32"/>
          <w:lang w:val="en-US" w:eastAsia="zh-CN"/>
        </w:rPr>
        <w:t>6</w:t>
      </w:r>
      <w:r>
        <w:rPr>
          <w:rFonts w:ascii="仿宋_GB2312" w:hAnsi="仿宋_GB2312" w:eastAsia="仿宋_GB2312"/>
          <w:sz w:val="32"/>
        </w:rPr>
        <w:t>个科室，分别是：人大常委会办公室、法制工作委员会、预算工作委员会、科教文卫工作委员会、代表人事工委</w:t>
      </w:r>
      <w:r>
        <w:rPr>
          <w:rFonts w:hint="eastAsia" w:ascii="仿宋_GB2312" w:hAnsi="仿宋_GB2312" w:eastAsia="仿宋_GB2312"/>
          <w:sz w:val="32"/>
          <w:lang w:eastAsia="zh-CN"/>
        </w:rPr>
        <w:t>、</w:t>
      </w:r>
      <w:r>
        <w:rPr>
          <w:rFonts w:ascii="仿宋_GB2312" w:hAnsi="仿宋_GB2312" w:eastAsia="仿宋_GB2312"/>
          <w:sz w:val="32"/>
        </w:rPr>
        <w:t>预算联网监督服务中心。</w:t>
      </w:r>
    </w:p>
    <w:p w14:paraId="5CAC9412">
      <w:r>
        <w:br w:type="page"/>
      </w:r>
    </w:p>
    <w:p w14:paraId="1ADAFBD8">
      <w:pPr>
        <w:spacing w:line="240" w:lineRule="auto"/>
        <w:jc w:val="center"/>
        <w:outlineLvl w:val="1"/>
      </w:pPr>
      <w:r>
        <w:rPr>
          <w:rFonts w:ascii="黑体" w:hAnsi="黑体" w:eastAsia="黑体"/>
          <w:sz w:val="32"/>
        </w:rPr>
        <w:t>第二部分 部门决算情况说明</w:t>
      </w:r>
    </w:p>
    <w:p w14:paraId="28FE987B">
      <w:pPr>
        <w:spacing w:line="640" w:lineRule="exact"/>
        <w:ind w:firstLine="640"/>
        <w:jc w:val="both"/>
        <w:outlineLvl w:val="2"/>
      </w:pPr>
      <w:r>
        <w:rPr>
          <w:rFonts w:ascii="黑体" w:hAnsi="黑体" w:eastAsia="黑体"/>
          <w:sz w:val="32"/>
        </w:rPr>
        <w:t>一、收入支出决算总体情况说明</w:t>
      </w:r>
    </w:p>
    <w:p w14:paraId="519242A9">
      <w:pPr>
        <w:spacing w:line="580" w:lineRule="exact"/>
        <w:ind w:firstLine="640"/>
        <w:jc w:val="both"/>
      </w:pPr>
      <w:r>
        <w:rPr>
          <w:rFonts w:ascii="仿宋_GB2312" w:hAnsi="仿宋_GB2312" w:eastAsia="仿宋_GB2312"/>
          <w:b/>
          <w:sz w:val="32"/>
        </w:rPr>
        <w:t>2024年度收入总计602.79万元，</w:t>
      </w:r>
      <w:r>
        <w:rPr>
          <w:rFonts w:ascii="仿宋_GB2312" w:hAnsi="仿宋_GB2312" w:eastAsia="仿宋_GB2312"/>
          <w:b w:val="0"/>
          <w:sz w:val="32"/>
        </w:rPr>
        <w:t>其中：本年收入合计602.79万元，使用非财政拨款结余（含专用结余）0.00万元，年初结转和结余0.00万元。</w:t>
      </w:r>
    </w:p>
    <w:p w14:paraId="648D9E0D">
      <w:pPr>
        <w:spacing w:line="580" w:lineRule="exact"/>
        <w:ind w:firstLine="640"/>
        <w:jc w:val="both"/>
      </w:pPr>
      <w:r>
        <w:rPr>
          <w:rFonts w:ascii="仿宋_GB2312" w:hAnsi="仿宋_GB2312" w:eastAsia="仿宋_GB2312"/>
          <w:b/>
          <w:sz w:val="32"/>
        </w:rPr>
        <w:t>2024年度支出总计602.79万元，</w:t>
      </w:r>
      <w:r>
        <w:rPr>
          <w:rFonts w:ascii="仿宋_GB2312" w:hAnsi="仿宋_GB2312" w:eastAsia="仿宋_GB2312"/>
          <w:b w:val="0"/>
          <w:sz w:val="32"/>
        </w:rPr>
        <w:t>其中：本年支出合计602.79万元，结余分配0.00万元，年末结转和结余0.00万元。</w:t>
      </w:r>
    </w:p>
    <w:p w14:paraId="3A9D8679">
      <w:pPr>
        <w:spacing w:line="580" w:lineRule="exact"/>
        <w:ind w:firstLine="640"/>
        <w:jc w:val="both"/>
      </w:pPr>
      <w:r>
        <w:rPr>
          <w:rFonts w:ascii="仿宋_GB2312" w:hAnsi="仿宋_GB2312" w:eastAsia="仿宋_GB2312"/>
          <w:b w:val="0"/>
          <w:sz w:val="32"/>
        </w:rPr>
        <w:t>收入支出总体与上年相比，增加50.44万元，增长9.13%，主要原因是：本年在职工资调增，人员工资调增，人员经费增加，本年度调出外县人员较多，职业年金做实资金增加。本年增加人大代表“室”“站”补助经费、增加办公费、差旅费、会议费等经费，导致相关经费增加。</w:t>
      </w:r>
    </w:p>
    <w:p w14:paraId="611338F4">
      <w:pPr>
        <w:spacing w:line="640" w:lineRule="exact"/>
        <w:ind w:firstLine="640"/>
        <w:jc w:val="both"/>
        <w:outlineLvl w:val="2"/>
      </w:pPr>
      <w:r>
        <w:rPr>
          <w:rFonts w:ascii="黑体" w:hAnsi="黑体" w:eastAsia="黑体"/>
          <w:sz w:val="32"/>
        </w:rPr>
        <w:t>二、收入决算情况说明</w:t>
      </w:r>
    </w:p>
    <w:p w14:paraId="508CE326">
      <w:pPr>
        <w:spacing w:line="580" w:lineRule="exact"/>
        <w:ind w:firstLine="640"/>
        <w:jc w:val="both"/>
      </w:pPr>
      <w:r>
        <w:rPr>
          <w:rFonts w:ascii="仿宋_GB2312" w:hAnsi="仿宋_GB2312" w:eastAsia="仿宋_GB2312"/>
          <w:b/>
          <w:sz w:val="32"/>
        </w:rPr>
        <w:t>本年收入602.79万元，</w:t>
      </w:r>
      <w:r>
        <w:rPr>
          <w:rFonts w:ascii="仿宋_GB2312" w:hAnsi="仿宋_GB2312" w:eastAsia="仿宋_GB2312"/>
          <w:b w:val="0"/>
          <w:sz w:val="32"/>
        </w:rPr>
        <w:t>其中：财政拨款收入556.38万元，占92.30%；上级补助收入0.00万元，占0.00%；事业收入0.00万元，占0.00%；经营收入0.00万元，占0.00%；附属单位上缴收入0.00万元，占0.00%；其他收入46.41万元，占7.70%。</w:t>
      </w:r>
    </w:p>
    <w:p w14:paraId="53B1C54B">
      <w:pPr>
        <w:spacing w:line="640" w:lineRule="exact"/>
        <w:ind w:firstLine="640"/>
        <w:jc w:val="both"/>
        <w:outlineLvl w:val="2"/>
      </w:pPr>
      <w:r>
        <w:rPr>
          <w:rFonts w:ascii="黑体" w:hAnsi="黑体" w:eastAsia="黑体"/>
          <w:sz w:val="32"/>
        </w:rPr>
        <w:t>三、支出决算情况说明</w:t>
      </w:r>
    </w:p>
    <w:p w14:paraId="491DC10F">
      <w:pPr>
        <w:spacing w:line="580" w:lineRule="exact"/>
        <w:ind w:firstLine="640"/>
        <w:jc w:val="both"/>
      </w:pPr>
      <w:r>
        <w:rPr>
          <w:rFonts w:ascii="仿宋_GB2312" w:hAnsi="仿宋_GB2312" w:eastAsia="仿宋_GB2312"/>
          <w:b/>
          <w:sz w:val="32"/>
        </w:rPr>
        <w:t>本年支出602.79万元，</w:t>
      </w:r>
      <w:r>
        <w:rPr>
          <w:rFonts w:ascii="仿宋_GB2312" w:hAnsi="仿宋_GB2312" w:eastAsia="仿宋_GB2312"/>
          <w:b w:val="0"/>
          <w:sz w:val="32"/>
        </w:rPr>
        <w:t>其中：基本支出475.75万元，占78.92%；项目支出127.04万元，占21.08%；上缴上级支出0.00万元，占0.00%；经营支出0.00万元，占0.00%；对附属单位补助支出0.00万元，占0.00%。</w:t>
      </w:r>
    </w:p>
    <w:p w14:paraId="49BF355D">
      <w:pPr>
        <w:spacing w:line="640" w:lineRule="exact"/>
        <w:ind w:firstLine="640"/>
        <w:jc w:val="both"/>
        <w:outlineLvl w:val="2"/>
      </w:pPr>
      <w:r>
        <w:rPr>
          <w:rFonts w:ascii="黑体" w:hAnsi="黑体" w:eastAsia="黑体"/>
          <w:sz w:val="32"/>
        </w:rPr>
        <w:t>四、财政拨款收入支出决算总体情况说明</w:t>
      </w:r>
    </w:p>
    <w:p w14:paraId="5410D396">
      <w:pPr>
        <w:spacing w:line="580" w:lineRule="exact"/>
        <w:ind w:firstLine="640"/>
        <w:jc w:val="both"/>
      </w:pPr>
      <w:r>
        <w:rPr>
          <w:rFonts w:ascii="仿宋_GB2312" w:hAnsi="仿宋_GB2312" w:eastAsia="仿宋_GB2312"/>
          <w:b/>
          <w:sz w:val="32"/>
        </w:rPr>
        <w:t>2024年度财政拨款收入总计556.38万元，</w:t>
      </w:r>
      <w:r>
        <w:rPr>
          <w:rFonts w:ascii="仿宋_GB2312" w:hAnsi="仿宋_GB2312" w:eastAsia="仿宋_GB2312"/>
          <w:b w:val="0"/>
          <w:sz w:val="32"/>
        </w:rPr>
        <w:t>其中：年初财政拨款结转和结余0.00万元，本年财政拨款收入556.38万元。</w:t>
      </w:r>
      <w:r>
        <w:rPr>
          <w:rFonts w:ascii="仿宋_GB2312" w:hAnsi="仿宋_GB2312" w:eastAsia="仿宋_GB2312"/>
          <w:b/>
          <w:sz w:val="32"/>
        </w:rPr>
        <w:t>财政拨款支出总计556.38万元，</w:t>
      </w:r>
      <w:r>
        <w:rPr>
          <w:rFonts w:ascii="仿宋_GB2312" w:hAnsi="仿宋_GB2312" w:eastAsia="仿宋_GB2312"/>
          <w:b w:val="0"/>
          <w:sz w:val="32"/>
        </w:rPr>
        <w:t>其中：年末财政拨款结转和结余0.00万元，本年财政拨款支出556.38万元。</w:t>
      </w:r>
    </w:p>
    <w:p w14:paraId="30396AC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34.03万元，增长6.51%，主要原因是：本年在职工资调增，人员工资调增，人员经费增加，本年度调出外县人员较多，职业年金做实资金增加。本年增加人大代表“室”“站”补助经费、增加办公费、差旅费、会议费等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年初预算数525.40万元，决算数556.38万元，预决算差异率5.90%，主要原因是：年中追加人员工资、社保、公积金基数调增部分资金，导致预决算差异。</w:t>
      </w:r>
    </w:p>
    <w:p w14:paraId="676F149A">
      <w:pPr>
        <w:spacing w:line="640" w:lineRule="exact"/>
        <w:ind w:firstLine="640"/>
        <w:jc w:val="both"/>
        <w:outlineLvl w:val="2"/>
      </w:pPr>
      <w:r>
        <w:rPr>
          <w:rFonts w:ascii="黑体" w:hAnsi="黑体" w:eastAsia="黑体"/>
          <w:sz w:val="32"/>
        </w:rPr>
        <w:t>五、一般公共预算财政拨款支出决算情况说明</w:t>
      </w:r>
    </w:p>
    <w:p w14:paraId="38A118E5">
      <w:pPr>
        <w:spacing w:line="640" w:lineRule="exact"/>
        <w:ind w:firstLine="640"/>
        <w:jc w:val="both"/>
        <w:outlineLvl w:val="3"/>
      </w:pPr>
      <w:r>
        <w:rPr>
          <w:rFonts w:ascii="楷体_GB2312" w:hAnsi="楷体_GB2312" w:eastAsia="楷体_GB2312"/>
          <w:b/>
          <w:sz w:val="32"/>
        </w:rPr>
        <w:t>（一）一般公共预算财政拨款支出决算总体情况</w:t>
      </w:r>
    </w:p>
    <w:p w14:paraId="08237716">
      <w:pPr>
        <w:spacing w:line="580" w:lineRule="exact"/>
        <w:ind w:firstLine="640"/>
        <w:jc w:val="both"/>
      </w:pPr>
      <w:r>
        <w:rPr>
          <w:rFonts w:ascii="仿宋_GB2312" w:hAnsi="仿宋_GB2312" w:eastAsia="仿宋_GB2312"/>
          <w:b/>
          <w:sz w:val="32"/>
        </w:rPr>
        <w:t>2024年度一般公共预算财政拨款支出556.38万元，</w:t>
      </w:r>
      <w:r>
        <w:rPr>
          <w:rFonts w:ascii="仿宋_GB2312" w:hAnsi="仿宋_GB2312" w:eastAsia="仿宋_GB2312"/>
          <w:b w:val="0"/>
          <w:sz w:val="32"/>
        </w:rPr>
        <w:t>占本年支出合计的92.30%。</w:t>
      </w:r>
      <w:r>
        <w:rPr>
          <w:rFonts w:ascii="仿宋_GB2312" w:hAnsi="仿宋_GB2312" w:eastAsia="仿宋_GB2312"/>
          <w:b/>
          <w:sz w:val="32"/>
        </w:rPr>
        <w:t>与上年相比，</w:t>
      </w:r>
      <w:r>
        <w:rPr>
          <w:rFonts w:ascii="仿宋_GB2312" w:hAnsi="仿宋_GB2312" w:eastAsia="仿宋_GB2312"/>
          <w:b w:val="0"/>
          <w:sz w:val="32"/>
        </w:rPr>
        <w:t>增加34.03万元，增长6.51%，主要原因是：本年在职工资调增，人员工资调增，人员经费增加，本年度调出外县人员较多，职业年金做实资金增加。本年增加人大代表“室”“站”补助经费、增加办公费、差旅费、会议费等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年初预算数525.40万元，决算数556.38万元，预决算差异率5.90%，主要原因是：年中追加人员工资、社保、公积金基数调增部分资金，导致预决算差异。</w:t>
      </w:r>
    </w:p>
    <w:p w14:paraId="5E8977D8">
      <w:pPr>
        <w:spacing w:line="640" w:lineRule="exact"/>
        <w:ind w:firstLine="640"/>
        <w:jc w:val="both"/>
        <w:outlineLvl w:val="3"/>
      </w:pPr>
      <w:r>
        <w:rPr>
          <w:rFonts w:ascii="楷体_GB2312" w:hAnsi="楷体_GB2312" w:eastAsia="楷体_GB2312"/>
          <w:b/>
          <w:sz w:val="32"/>
        </w:rPr>
        <w:t>（二）一般公共预算财政拨款支出决算结构情况</w:t>
      </w:r>
    </w:p>
    <w:p w14:paraId="7A905E32">
      <w:pPr>
        <w:spacing w:line="580" w:lineRule="exact"/>
        <w:ind w:firstLine="640"/>
        <w:jc w:val="both"/>
      </w:pPr>
      <w:r>
        <w:rPr>
          <w:rFonts w:ascii="仿宋_GB2312" w:hAnsi="仿宋_GB2312" w:eastAsia="仿宋_GB2312"/>
          <w:b w:val="0"/>
          <w:sz w:val="32"/>
        </w:rPr>
        <w:t>1.一般公共服务支出(类)386.71万元,占69.50%。</w:t>
      </w:r>
    </w:p>
    <w:p w14:paraId="1B72B7CF">
      <w:pPr>
        <w:spacing w:line="580" w:lineRule="exact"/>
        <w:ind w:firstLine="640"/>
        <w:jc w:val="both"/>
      </w:pPr>
      <w:r>
        <w:rPr>
          <w:rFonts w:ascii="仿宋_GB2312" w:hAnsi="仿宋_GB2312" w:eastAsia="仿宋_GB2312"/>
          <w:b w:val="0"/>
          <w:sz w:val="32"/>
        </w:rPr>
        <w:t>2.社会保障和就业支出(类)123.75万元,占22.24%。</w:t>
      </w:r>
    </w:p>
    <w:p w14:paraId="0C9854AD">
      <w:pPr>
        <w:spacing w:line="580" w:lineRule="exact"/>
        <w:ind w:firstLine="640"/>
        <w:jc w:val="both"/>
      </w:pPr>
      <w:r>
        <w:rPr>
          <w:rFonts w:ascii="仿宋_GB2312" w:hAnsi="仿宋_GB2312" w:eastAsia="仿宋_GB2312"/>
          <w:b w:val="0"/>
          <w:sz w:val="32"/>
        </w:rPr>
        <w:t>3.卫生健康支出(类)17.44万元,占3.13%。</w:t>
      </w:r>
    </w:p>
    <w:p w14:paraId="3637EFAE">
      <w:pPr>
        <w:spacing w:line="580" w:lineRule="exact"/>
        <w:ind w:firstLine="640"/>
        <w:jc w:val="both"/>
      </w:pPr>
      <w:r>
        <w:rPr>
          <w:rFonts w:ascii="仿宋_GB2312" w:hAnsi="仿宋_GB2312" w:eastAsia="仿宋_GB2312"/>
          <w:b w:val="0"/>
          <w:sz w:val="32"/>
        </w:rPr>
        <w:t>4.住房保障支出(类)28.47万元,占5.12%。</w:t>
      </w:r>
    </w:p>
    <w:p w14:paraId="75CC05A1">
      <w:pPr>
        <w:spacing w:line="640" w:lineRule="exact"/>
        <w:ind w:firstLine="640"/>
        <w:jc w:val="both"/>
        <w:outlineLvl w:val="3"/>
      </w:pPr>
      <w:r>
        <w:rPr>
          <w:rFonts w:ascii="楷体_GB2312" w:hAnsi="楷体_GB2312" w:eastAsia="楷体_GB2312"/>
          <w:b/>
          <w:sz w:val="32"/>
        </w:rPr>
        <w:t>（三）一般公共预算财政拨款支出决算具体情况</w:t>
      </w:r>
    </w:p>
    <w:p w14:paraId="5A3D55FA">
      <w:pPr>
        <w:spacing w:line="580" w:lineRule="exact"/>
        <w:ind w:firstLine="640"/>
        <w:jc w:val="both"/>
      </w:pPr>
      <w:r>
        <w:rPr>
          <w:rFonts w:ascii="仿宋_GB2312" w:hAnsi="仿宋_GB2312" w:eastAsia="仿宋_GB2312"/>
          <w:b w:val="0"/>
          <w:sz w:val="32"/>
        </w:rPr>
        <w:t>1.一般公共服务支出(类)人大事务(款)行政运行(项):支出决算数为283.02万元，比上年决算增加33.19万元，增长13.29%,主要原因是：本年增加办公费、差旅费、会议费等经费，导致机关运行经费增加。</w:t>
      </w:r>
    </w:p>
    <w:p w14:paraId="493CAFC8">
      <w:pPr>
        <w:spacing w:line="580" w:lineRule="exact"/>
        <w:ind w:firstLine="640"/>
        <w:jc w:val="both"/>
      </w:pPr>
      <w:r>
        <w:rPr>
          <w:rFonts w:ascii="仿宋_GB2312" w:hAnsi="仿宋_GB2312" w:eastAsia="仿宋_GB2312"/>
          <w:b w:val="0"/>
          <w:sz w:val="32"/>
        </w:rPr>
        <w:t>2.一般公共服务支出(类)人大事务(款)一般行政管理事务(项):支出决算数为0.88万元，比上年决算增加0.88万元，增长100.00%,主要原因是：本年科目调整，县、乡人大视频培训网络费项目经费，上年在其他人</w:t>
      </w:r>
      <w:r>
        <w:rPr>
          <w:rFonts w:hint="eastAsia" w:ascii="仿宋_GB2312" w:hAnsi="仿宋_GB2312" w:eastAsia="仿宋_GB2312"/>
          <w:b w:val="0"/>
          <w:sz w:val="32"/>
          <w:lang w:val="en-US" w:eastAsia="zh-CN"/>
        </w:rPr>
        <w:t>大</w:t>
      </w:r>
      <w:r>
        <w:rPr>
          <w:rFonts w:ascii="仿宋_GB2312" w:hAnsi="仿宋_GB2312" w:eastAsia="仿宋_GB2312"/>
          <w:b w:val="0"/>
          <w:sz w:val="32"/>
        </w:rPr>
        <w:t>事务支出科目列支，本年调整至一般行政管理事务科目列支，导致相关经费增加。</w:t>
      </w:r>
    </w:p>
    <w:p w14:paraId="2CFDED66">
      <w:pPr>
        <w:spacing w:line="580" w:lineRule="exact"/>
        <w:ind w:firstLine="640"/>
        <w:jc w:val="both"/>
      </w:pPr>
      <w:r>
        <w:rPr>
          <w:rFonts w:ascii="仿宋_GB2312" w:hAnsi="仿宋_GB2312" w:eastAsia="仿宋_GB2312"/>
          <w:b w:val="0"/>
          <w:sz w:val="32"/>
        </w:rPr>
        <w:t>3.一般公共服务支出(类)人大事务(款)人大会议(项):支出决算数为17.12万元，比上年决算减少6.71万元，下降28.16%,主要原因是：本年减少人代会会议项目经费，导致相关经费减少。</w:t>
      </w:r>
    </w:p>
    <w:p w14:paraId="06843032">
      <w:pPr>
        <w:spacing w:line="580" w:lineRule="exact"/>
        <w:ind w:firstLine="640"/>
        <w:jc w:val="both"/>
      </w:pPr>
      <w:r>
        <w:rPr>
          <w:rFonts w:ascii="仿宋_GB2312" w:hAnsi="仿宋_GB2312" w:eastAsia="仿宋_GB2312"/>
          <w:b w:val="0"/>
          <w:sz w:val="32"/>
        </w:rPr>
        <w:t>4.一般公共服务支出(类)人大事务(款)人大监督(项):支出决算数为5.00万元，比上年决算减少5.00万元，下降50.00%,主要原因是：2023年预算联网</w:t>
      </w:r>
      <w:r>
        <w:rPr>
          <w:rFonts w:hint="eastAsia" w:ascii="仿宋_GB2312" w:hAnsi="仿宋_GB2312" w:eastAsia="仿宋_GB2312"/>
          <w:b w:val="0"/>
          <w:sz w:val="32"/>
          <w:lang w:eastAsia="zh-CN"/>
        </w:rPr>
        <w:t>监督服务平台</w:t>
      </w:r>
      <w:r>
        <w:rPr>
          <w:rFonts w:ascii="仿宋_GB2312" w:hAnsi="仿宋_GB2312" w:eastAsia="仿宋_GB2312"/>
          <w:b w:val="0"/>
          <w:sz w:val="32"/>
        </w:rPr>
        <w:t>网络服务费补发了2022年的，本年未补发，导致相关经费减少。</w:t>
      </w:r>
    </w:p>
    <w:p w14:paraId="1B82B908">
      <w:pPr>
        <w:spacing w:line="580" w:lineRule="exact"/>
        <w:ind w:firstLine="640"/>
        <w:jc w:val="both"/>
      </w:pPr>
      <w:r>
        <w:rPr>
          <w:rFonts w:ascii="仿宋_GB2312" w:hAnsi="仿宋_GB2312" w:eastAsia="仿宋_GB2312"/>
          <w:b w:val="0"/>
          <w:sz w:val="32"/>
        </w:rPr>
        <w:t>5.一般公共服务支出(类)人大事务(款)代表工作(项):支出决算数为47.62万元，比上年决算增加3.75万元，增长8.55%,主要原因是：本年增加人大代表“室”“站”补助经费，导致相关经费增加。</w:t>
      </w:r>
    </w:p>
    <w:p w14:paraId="7672F37E">
      <w:pPr>
        <w:spacing w:line="580" w:lineRule="exact"/>
        <w:ind w:firstLine="640"/>
        <w:jc w:val="both"/>
      </w:pPr>
      <w:r>
        <w:rPr>
          <w:rFonts w:ascii="仿宋_GB2312" w:hAnsi="仿宋_GB2312" w:eastAsia="仿宋_GB2312"/>
          <w:b w:val="0"/>
          <w:sz w:val="32"/>
        </w:rPr>
        <w:t>6.一般公共服务支出(类)人大事务(款)事业运行(项):支出决算数为23.06万元，比上年决算增加17.57万元，增长320.04%,主要原因是：本年在职人员工资调增，导致相关人员经费较上年有所增加。</w:t>
      </w:r>
    </w:p>
    <w:p w14:paraId="2C839326">
      <w:pPr>
        <w:spacing w:line="580" w:lineRule="exact"/>
        <w:ind w:firstLine="640"/>
        <w:jc w:val="both"/>
      </w:pPr>
      <w:r>
        <w:rPr>
          <w:rFonts w:ascii="仿宋_GB2312" w:hAnsi="仿宋_GB2312" w:eastAsia="仿宋_GB2312"/>
          <w:b w:val="0"/>
          <w:sz w:val="32"/>
        </w:rPr>
        <w:t>7.一般公共服务支出(类)人大事务(款)其他人大事务支出(项):支出决算数为10.00万元，比上年决算增加2.52万元，增长33.69%,主要原因是：本年增加基层人大补助经费，导致相关经费增加。</w:t>
      </w:r>
    </w:p>
    <w:p w14:paraId="02AE7C4E">
      <w:pPr>
        <w:spacing w:line="580" w:lineRule="exact"/>
        <w:ind w:firstLine="640"/>
        <w:jc w:val="both"/>
      </w:pPr>
      <w:r>
        <w:rPr>
          <w:rFonts w:ascii="仿宋_GB2312" w:hAnsi="仿宋_GB2312" w:eastAsia="仿宋_GB2312"/>
          <w:b w:val="0"/>
          <w:sz w:val="32"/>
        </w:rPr>
        <w:t>8.社会保障和就业支出(类)行政事业单位养老支出(款)行政单位离退休(项):支出决算数为39.10万元，比上年决算增加9.83万元，增长33.58%,主要原因是：本年退休人员增加，退休费支出增加。</w:t>
      </w:r>
    </w:p>
    <w:p w14:paraId="52BFA0E2">
      <w:pPr>
        <w:spacing w:line="580" w:lineRule="exact"/>
        <w:ind w:firstLine="640"/>
        <w:jc w:val="both"/>
      </w:pPr>
      <w:r>
        <w:rPr>
          <w:rFonts w:ascii="仿宋_GB2312" w:hAnsi="仿宋_GB2312" w:eastAsia="仿宋_GB2312"/>
          <w:b w:val="0"/>
          <w:sz w:val="32"/>
        </w:rPr>
        <w:t>9.社会保障和就业支出(类)行政事业单位养老支出(款)机关事业单位基本养老保险缴费支出(项):支出决算数为34.96万元，比上年决算增加2.63万元，增长8.13%,主要原因是：本年在职人员工资基数调增，养老缴费基数上涨，相应支出增加。</w:t>
      </w:r>
    </w:p>
    <w:p w14:paraId="23C1CCD2">
      <w:pPr>
        <w:spacing w:line="580" w:lineRule="exact"/>
        <w:ind w:firstLine="640"/>
        <w:jc w:val="both"/>
      </w:pPr>
      <w:r>
        <w:rPr>
          <w:rFonts w:ascii="仿宋_GB2312" w:hAnsi="仿宋_GB2312" w:eastAsia="仿宋_GB2312"/>
          <w:b w:val="0"/>
          <w:sz w:val="32"/>
        </w:rPr>
        <w:t>10.社会保障和就业支出(类)行政事业单位养老支出(款)机关事业单位职业年金缴费支出(项):支出决算数为49.69万元，比上年决算增加19.78万元，增长66.13%,主要原因是：本年度调出外县人员较多，职业年金做实资金增加。</w:t>
      </w:r>
    </w:p>
    <w:p w14:paraId="2829025C">
      <w:pPr>
        <w:spacing w:line="580" w:lineRule="exact"/>
        <w:ind w:firstLine="640"/>
        <w:jc w:val="both"/>
      </w:pPr>
      <w:r>
        <w:rPr>
          <w:rFonts w:ascii="仿宋_GB2312" w:hAnsi="仿宋_GB2312" w:eastAsia="仿宋_GB2312"/>
          <w:b w:val="0"/>
          <w:sz w:val="32"/>
        </w:rPr>
        <w:t>11.社会保障和就业支出(类)抚恤(款)死亡抚恤(项):支出决算数为0.00万元，比上年决算减少33.15万元，下降100.00%,主要原因是：本年无新增死亡人员，死亡抚恤支出较上年减少。</w:t>
      </w:r>
    </w:p>
    <w:p w14:paraId="000FE85A">
      <w:pPr>
        <w:spacing w:line="580" w:lineRule="exact"/>
        <w:ind w:firstLine="640"/>
        <w:jc w:val="both"/>
      </w:pPr>
      <w:r>
        <w:rPr>
          <w:rFonts w:ascii="仿宋_GB2312" w:hAnsi="仿宋_GB2312" w:eastAsia="仿宋_GB2312"/>
          <w:b w:val="0"/>
          <w:sz w:val="32"/>
        </w:rPr>
        <w:t>12.卫生健康支出(类)行政事业单位医疗(款)行政单位医疗(项):支出决算数为13.65万元，比上年决算减少12.73万元，下降48.26%,主要原因是：本年在职人员减少，行政单位医疗支出较上年减少。</w:t>
      </w:r>
    </w:p>
    <w:p w14:paraId="2F971CE7">
      <w:pPr>
        <w:spacing w:line="580" w:lineRule="exact"/>
        <w:ind w:firstLine="640"/>
        <w:jc w:val="both"/>
      </w:pPr>
      <w:r>
        <w:rPr>
          <w:rFonts w:ascii="仿宋_GB2312" w:hAnsi="仿宋_GB2312" w:eastAsia="仿宋_GB2312"/>
          <w:b w:val="0"/>
          <w:sz w:val="32"/>
        </w:rPr>
        <w:t>13.卫生健康支出(类)行政事业单位医疗(款)公务员医疗补助(项):支出决算数为3.79万元，比上年决算减少0.39万元，下降9.33%,主要原因是：本年在职人员减少，公务员医疗补助较上年减少。</w:t>
      </w:r>
    </w:p>
    <w:p w14:paraId="61F27729">
      <w:pPr>
        <w:spacing w:line="580" w:lineRule="exact"/>
        <w:ind w:firstLine="640"/>
        <w:jc w:val="both"/>
      </w:pPr>
      <w:r>
        <w:rPr>
          <w:rFonts w:ascii="仿宋_GB2312" w:hAnsi="仿宋_GB2312" w:eastAsia="仿宋_GB2312"/>
          <w:b w:val="0"/>
          <w:sz w:val="32"/>
        </w:rPr>
        <w:t>14.住房保障支出(类)住房改革支出(款)住房公积金(项):支出决算数为28.47万元，比上年决算增加1.83万元，增长6.87%,主要原因是：本年在职人员工资基数调增，公积金缴费基数上涨，相应支出增加。</w:t>
      </w:r>
    </w:p>
    <w:p w14:paraId="6E30B322">
      <w:pPr>
        <w:spacing w:line="640" w:lineRule="exact"/>
        <w:ind w:firstLine="640"/>
        <w:jc w:val="both"/>
        <w:outlineLvl w:val="2"/>
      </w:pPr>
      <w:r>
        <w:rPr>
          <w:rFonts w:ascii="黑体" w:hAnsi="黑体" w:eastAsia="黑体"/>
          <w:sz w:val="32"/>
        </w:rPr>
        <w:t>六、一般公共预算财政拨款基本支出决算情况说明</w:t>
      </w:r>
    </w:p>
    <w:p w14:paraId="348216AC">
      <w:pPr>
        <w:spacing w:line="580" w:lineRule="exact"/>
        <w:ind w:firstLine="640"/>
        <w:jc w:val="both"/>
      </w:pPr>
      <w:r>
        <w:rPr>
          <w:rFonts w:ascii="仿宋_GB2312" w:hAnsi="仿宋_GB2312" w:eastAsia="仿宋_GB2312"/>
          <w:b w:val="0"/>
          <w:sz w:val="32"/>
        </w:rPr>
        <w:t>2024年度一般公共预算财政拨款基本支出475.75万元，其中：</w:t>
      </w:r>
      <w:r>
        <w:rPr>
          <w:rFonts w:ascii="仿宋_GB2312" w:hAnsi="仿宋_GB2312" w:eastAsia="仿宋_GB2312"/>
          <w:b/>
          <w:sz w:val="32"/>
        </w:rPr>
        <w:t>人员经费445.62万元，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w:t>
      </w:r>
    </w:p>
    <w:p w14:paraId="485B41D6">
      <w:pPr>
        <w:spacing w:line="580" w:lineRule="exact"/>
        <w:ind w:firstLine="640"/>
        <w:jc w:val="both"/>
      </w:pPr>
      <w:r>
        <w:rPr>
          <w:rFonts w:ascii="仿宋_GB2312" w:hAnsi="仿宋_GB2312" w:eastAsia="仿宋_GB2312"/>
          <w:b/>
          <w:sz w:val="32"/>
        </w:rPr>
        <w:t>公用经费30.13万元，</w:t>
      </w:r>
      <w:r>
        <w:rPr>
          <w:rFonts w:ascii="仿宋_GB2312" w:hAnsi="仿宋_GB2312" w:eastAsia="仿宋_GB2312"/>
          <w:b w:val="0"/>
          <w:sz w:val="32"/>
        </w:rPr>
        <w:t>包括：办公费、邮电费、差旅费、会议费、公务接待费、公务用车运行维护费。</w:t>
      </w:r>
    </w:p>
    <w:p w14:paraId="084F064C">
      <w:pPr>
        <w:spacing w:line="640" w:lineRule="exact"/>
        <w:ind w:firstLine="640"/>
        <w:jc w:val="both"/>
        <w:outlineLvl w:val="2"/>
      </w:pPr>
      <w:r>
        <w:rPr>
          <w:rFonts w:ascii="黑体" w:hAnsi="黑体" w:eastAsia="黑体"/>
          <w:sz w:val="32"/>
        </w:rPr>
        <w:t>七、政府性基金预算财政拨款收入支出决算情况说明</w:t>
      </w:r>
    </w:p>
    <w:p w14:paraId="387C99C4">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0C10FD6">
      <w:pPr>
        <w:spacing w:line="640" w:lineRule="exact"/>
        <w:ind w:firstLine="640"/>
        <w:jc w:val="both"/>
        <w:outlineLvl w:val="2"/>
      </w:pPr>
      <w:r>
        <w:rPr>
          <w:rFonts w:ascii="黑体" w:hAnsi="黑体" w:eastAsia="黑体"/>
          <w:sz w:val="32"/>
        </w:rPr>
        <w:t>八、国有资本经营预算财政拨款收入支出决算情况说明</w:t>
      </w:r>
    </w:p>
    <w:p w14:paraId="2376749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28F0ED6">
      <w:pPr>
        <w:spacing w:line="640" w:lineRule="exact"/>
        <w:ind w:firstLine="640"/>
        <w:jc w:val="both"/>
        <w:outlineLvl w:val="2"/>
      </w:pPr>
      <w:r>
        <w:rPr>
          <w:rFonts w:ascii="黑体" w:hAnsi="黑体" w:eastAsia="黑体"/>
          <w:sz w:val="32"/>
        </w:rPr>
        <w:t>九、财政拨款“三公”经费支出决算情况说明</w:t>
      </w:r>
    </w:p>
    <w:p w14:paraId="20A3974A">
      <w:pPr>
        <w:spacing w:line="580" w:lineRule="exact"/>
        <w:ind w:firstLine="640"/>
        <w:jc w:val="both"/>
      </w:pPr>
      <w:r>
        <w:rPr>
          <w:rFonts w:ascii="仿宋_GB2312" w:hAnsi="仿宋_GB2312" w:eastAsia="仿宋_GB2312"/>
          <w:b/>
          <w:sz w:val="32"/>
        </w:rPr>
        <w:t>2024年度财政拨款“三公”经费支出9.93万元，</w:t>
      </w:r>
      <w:r>
        <w:rPr>
          <w:rFonts w:ascii="仿宋_GB2312" w:hAnsi="仿宋_GB2312" w:eastAsia="仿宋_GB2312"/>
          <w:b w:val="0"/>
          <w:sz w:val="32"/>
        </w:rPr>
        <w:t>比上年增加2.74万元，增长38.16%，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8.40万元，占84.59%，比上年增加2.68万元，增长46.85%，主要原因是：本单位公务用车日渐老化，维修维护成本增加，导致公务用车运行维护费较上年增加。公务接待费支出1.53万元，占15.41%，比上年增加0.06万元，增长4.08%，主要原因是：本年因业务需求，增加公务接待工作，导致公务接待费较上年增加。</w:t>
      </w:r>
    </w:p>
    <w:p w14:paraId="5EDBB057">
      <w:pPr>
        <w:spacing w:line="580" w:lineRule="exact"/>
        <w:ind w:firstLine="640"/>
        <w:jc w:val="both"/>
      </w:pPr>
      <w:r>
        <w:rPr>
          <w:rFonts w:ascii="仿宋_GB2312" w:hAnsi="仿宋_GB2312" w:eastAsia="仿宋_GB2312"/>
          <w:b/>
          <w:sz w:val="32"/>
        </w:rPr>
        <w:t>具体情况如下：</w:t>
      </w:r>
    </w:p>
    <w:p w14:paraId="4C70DD7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674F2F9">
      <w:pPr>
        <w:spacing w:line="580" w:lineRule="exact"/>
        <w:ind w:firstLine="640"/>
        <w:jc w:val="both"/>
      </w:pPr>
      <w:r>
        <w:rPr>
          <w:rFonts w:ascii="仿宋_GB2312" w:hAnsi="仿宋_GB2312" w:eastAsia="仿宋_GB2312"/>
          <w:b w:val="0"/>
          <w:sz w:val="32"/>
        </w:rPr>
        <w:t>公务用车购置及运行维护费8.40万元，其中：公务用车购置费0.00万元，公务用车运行维护费8.40万元。公务用车运行维护费开支内容包括车辆加油费、维修费、保险费、审车费、过路费。公务用车购置数0辆，公务用车保有量5辆。国有资产占用情况中固定资产车辆5辆，与公务用车保有量差异原因是：本单位固定资产车辆与公务用车保有量一致无差异。</w:t>
      </w:r>
    </w:p>
    <w:p w14:paraId="748F1637">
      <w:pPr>
        <w:spacing w:line="580" w:lineRule="exact"/>
        <w:ind w:firstLine="640"/>
        <w:jc w:val="both"/>
      </w:pPr>
      <w:r>
        <w:rPr>
          <w:rFonts w:ascii="仿宋_GB2312" w:hAnsi="仿宋_GB2312" w:eastAsia="仿宋_GB2312"/>
          <w:b w:val="0"/>
          <w:sz w:val="32"/>
        </w:rPr>
        <w:t>公务接待费1.53万元，开支内容包括因工作需要，接待上级单位领导调研、视察、学习产生的就餐费。单位全年安排的国内公务接待10批次，197人次。</w:t>
      </w:r>
    </w:p>
    <w:p w14:paraId="7E54671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9.93万元，决算数9.93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8.40万元，决算数8.40万元，预决算差异率0.00%，主要原因是：严格按照预算执行，预决算无差异。公务接待费全年预算数1.53万元，决算数1.53万元，预决算差异率0.00%，主要原因是：严格按照预算执行，预决算无差异。</w:t>
      </w:r>
    </w:p>
    <w:p w14:paraId="4AEA5EA4">
      <w:pPr>
        <w:spacing w:line="640" w:lineRule="exact"/>
        <w:ind w:firstLine="640"/>
        <w:jc w:val="both"/>
        <w:outlineLvl w:val="2"/>
      </w:pPr>
      <w:r>
        <w:rPr>
          <w:rFonts w:ascii="黑体" w:hAnsi="黑体" w:eastAsia="黑体"/>
          <w:sz w:val="32"/>
        </w:rPr>
        <w:t>十、其他重要事项的情况说明</w:t>
      </w:r>
    </w:p>
    <w:p w14:paraId="68F0D5C2">
      <w:pPr>
        <w:spacing w:line="640" w:lineRule="exact"/>
        <w:ind w:firstLine="640"/>
        <w:jc w:val="both"/>
        <w:outlineLvl w:val="3"/>
      </w:pPr>
      <w:r>
        <w:rPr>
          <w:rFonts w:ascii="楷体_GB2312" w:hAnsi="楷体_GB2312" w:eastAsia="楷体_GB2312"/>
          <w:b/>
          <w:sz w:val="32"/>
        </w:rPr>
        <w:t>（一）机关运行经费及公用经费支出情况</w:t>
      </w:r>
    </w:p>
    <w:p w14:paraId="125ED5D4">
      <w:pPr>
        <w:spacing w:line="580" w:lineRule="exact"/>
        <w:ind w:firstLine="640"/>
        <w:jc w:val="both"/>
      </w:pPr>
      <w:r>
        <w:rPr>
          <w:rFonts w:ascii="仿宋_GB2312" w:hAnsi="仿宋_GB2312" w:eastAsia="仿宋_GB2312"/>
          <w:b w:val="0"/>
          <w:sz w:val="32"/>
        </w:rPr>
        <w:t>2024年度英吉沙县人民代表大会常务委员会办公室（行政单位和参照公务员法管理事业单位）机关运行经费支出30.13万元，比上年增加17.13万元，增长131.77%，主要原因是：本年增加办公费、差旅费、会议费等经费，导致机关运行经费增加。</w:t>
      </w:r>
    </w:p>
    <w:p w14:paraId="489B88C6">
      <w:pPr>
        <w:spacing w:line="640" w:lineRule="exact"/>
        <w:ind w:firstLine="640"/>
        <w:jc w:val="both"/>
        <w:outlineLvl w:val="3"/>
      </w:pPr>
      <w:r>
        <w:rPr>
          <w:rFonts w:ascii="楷体_GB2312" w:hAnsi="楷体_GB2312" w:eastAsia="楷体_GB2312"/>
          <w:b/>
          <w:sz w:val="32"/>
        </w:rPr>
        <w:t>（二）政府采购情况</w:t>
      </w:r>
    </w:p>
    <w:p w14:paraId="0A00E6F9">
      <w:pPr>
        <w:spacing w:line="580" w:lineRule="exact"/>
        <w:ind w:firstLine="640"/>
        <w:jc w:val="both"/>
      </w:pPr>
      <w:r>
        <w:rPr>
          <w:rFonts w:ascii="仿宋_GB2312" w:hAnsi="仿宋_GB2312" w:eastAsia="仿宋_GB2312"/>
          <w:b w:val="0"/>
          <w:sz w:val="32"/>
        </w:rPr>
        <w:t>2024年度政府采购支出总额34.08万元，其中：政府采购货物支出32.23万元、政府采购工程支出0.00万元、政府采购服务支出1.85万元。</w:t>
      </w:r>
    </w:p>
    <w:p w14:paraId="1820867C">
      <w:pPr>
        <w:spacing w:line="580" w:lineRule="exact"/>
        <w:ind w:firstLine="640"/>
        <w:jc w:val="both"/>
      </w:pPr>
      <w:r>
        <w:rPr>
          <w:rFonts w:ascii="仿宋_GB2312" w:hAnsi="仿宋_GB2312" w:eastAsia="仿宋_GB2312"/>
          <w:b w:val="0"/>
          <w:sz w:val="32"/>
        </w:rPr>
        <w:t>授予中小企业合同金额1.95万元，占政府采购支出总额的5.72%，其中：授予小微企业合同金额1.95万元，占政府采购支出总额的5.72%。</w:t>
      </w:r>
    </w:p>
    <w:p w14:paraId="79C5681C">
      <w:pPr>
        <w:spacing w:line="640" w:lineRule="exact"/>
        <w:ind w:firstLine="640"/>
        <w:jc w:val="both"/>
        <w:outlineLvl w:val="3"/>
      </w:pPr>
      <w:r>
        <w:rPr>
          <w:rFonts w:ascii="楷体_GB2312" w:hAnsi="楷体_GB2312" w:eastAsia="楷体_GB2312"/>
          <w:b/>
          <w:sz w:val="32"/>
        </w:rPr>
        <w:t>（三）国有资产占用情况说明</w:t>
      </w:r>
    </w:p>
    <w:p w14:paraId="6BEBFCE2">
      <w:pPr>
        <w:spacing w:line="580" w:lineRule="exact"/>
        <w:ind w:firstLine="640"/>
        <w:jc w:val="both"/>
      </w:pPr>
      <w:r>
        <w:rPr>
          <w:rFonts w:ascii="仿宋_GB2312" w:hAnsi="仿宋_GB2312" w:eastAsia="仿宋_GB2312"/>
          <w:b w:val="0"/>
          <w:sz w:val="32"/>
        </w:rPr>
        <w:t>截至2024年12月31日，房屋0.00平方米，价值0.00万元。车辆5辆，价值82.67万元，其中：副部（省）级及以上领导用车0辆、主要负责人用车0辆、机要通信用车0辆、应急保障用车0辆、执法执勤用车0辆、特种专业技术用车0辆、离退休干部服务用车0辆、其他用车5辆，其他用车主要是：一般公务用车。单价100万元（含）以上设备（不含车辆）0台（套）。</w:t>
      </w:r>
    </w:p>
    <w:p w14:paraId="38AEDEF4">
      <w:pPr>
        <w:spacing w:line="640" w:lineRule="exact"/>
        <w:ind w:firstLine="640"/>
        <w:jc w:val="both"/>
        <w:outlineLvl w:val="2"/>
      </w:pPr>
      <w:r>
        <w:rPr>
          <w:rFonts w:ascii="黑体" w:hAnsi="黑体" w:eastAsia="黑体"/>
          <w:sz w:val="32"/>
        </w:rPr>
        <w:t>十一、预算绩效的情况说明</w:t>
      </w:r>
    </w:p>
    <w:p w14:paraId="27BE250C">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602.78万元，实际执行总额602.78万元；预算绩效评价项目3个，全年预算数108.87万元，全年执行数108.87万元。预算绩效管理取得的成效：一是本单位为加强预算管理，规范财务行为，已制定《英吉沙县人民代表大会常务委员会办公室部门单位预算绩效管理工作实施办法》，《英吉沙县人民代表大会常务委员会办公室单位财务管理制度》等健全完整的各项管理制度，有效保障了</w:t>
      </w:r>
      <w:r>
        <w:rPr>
          <w:rFonts w:hint="eastAsia" w:ascii="仿宋_GB2312" w:hAnsi="仿宋_GB2312" w:eastAsia="仿宋_GB2312"/>
          <w:b w:val="0"/>
          <w:sz w:val="32"/>
          <w:lang w:val="en-US" w:eastAsia="zh-CN"/>
        </w:rPr>
        <w:t>本</w:t>
      </w:r>
      <w:r>
        <w:rPr>
          <w:rFonts w:ascii="仿宋_GB2312" w:hAnsi="仿宋_GB2312" w:eastAsia="仿宋_GB2312"/>
          <w:b w:val="0"/>
          <w:sz w:val="32"/>
        </w:rPr>
        <w:t>单位高效地履行工作职能，较好地促进事业发展。二是部门预算资金使用符合国家法规和财务管理制度；预算资金拨付有完整的审批程序和手续，符合项目预算批复或合同规定的用途；不存在截留、挤占、挪用、虚列支出等情况，确保我单位预算资金规范运行。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加大绩效工作宣传力度，强化绩效理念。完善绩效指标，提高整体绩效目标质量。提升预算精细化管理水平。继续完善预算绩效管理相关工作制度，建立全过程预算绩效管理链条，有效贯彻落实全面实施绩效管理的精神。具体附整体支出绩效自评表，项目支出绩效自评表和评价报告。</w:t>
      </w:r>
    </w:p>
    <w:p w14:paraId="290195EE">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D681E42">
        <w:tblPrEx>
          <w:tblCellMar>
            <w:top w:w="0" w:type="dxa"/>
            <w:left w:w="108" w:type="dxa"/>
            <w:bottom w:w="0" w:type="dxa"/>
            <w:right w:w="108" w:type="dxa"/>
          </w:tblCellMar>
        </w:tblPrEx>
        <w:tc>
          <w:tcPr>
            <w:tcW w:w="8847" w:type="dxa"/>
            <w:gridSpan w:val="9"/>
            <w:vAlign w:val="center"/>
          </w:tcPr>
          <w:p w14:paraId="7C8A6FF2">
            <w:pPr>
              <w:jc w:val="center"/>
            </w:pPr>
            <w:r>
              <w:rPr>
                <w:rFonts w:ascii="宋体" w:hAnsi="宋体" w:eastAsia="宋体"/>
                <w:sz w:val="24"/>
              </w:rPr>
              <w:t>单位整体支出绩效自评表</w:t>
            </w:r>
          </w:p>
        </w:tc>
      </w:tr>
      <w:tr w14:paraId="45319878">
        <w:tblPrEx>
          <w:tblCellMar>
            <w:top w:w="0" w:type="dxa"/>
            <w:left w:w="108" w:type="dxa"/>
            <w:bottom w:w="0" w:type="dxa"/>
            <w:right w:w="108" w:type="dxa"/>
          </w:tblCellMar>
        </w:tblPrEx>
        <w:tc>
          <w:tcPr>
            <w:tcW w:w="8847" w:type="dxa"/>
            <w:gridSpan w:val="9"/>
            <w:vAlign w:val="center"/>
          </w:tcPr>
          <w:p w14:paraId="4110BED6">
            <w:pPr>
              <w:jc w:val="center"/>
            </w:pPr>
            <w:r>
              <w:rPr>
                <w:rFonts w:ascii="宋体" w:hAnsi="宋体" w:eastAsia="宋体"/>
                <w:sz w:val="24"/>
              </w:rPr>
              <w:t>（2024年度）</w:t>
            </w:r>
          </w:p>
        </w:tc>
      </w:tr>
      <w:tr w14:paraId="5A13B8F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B6C534">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E08D83A">
            <w:pPr>
              <w:jc w:val="center"/>
            </w:pPr>
            <w:r>
              <w:rPr>
                <w:rFonts w:ascii="宋体" w:hAnsi="宋体" w:eastAsia="宋体"/>
                <w:sz w:val="16"/>
              </w:rPr>
              <w:t>英吉沙县人民代表大会常务委员会办公室</w:t>
            </w:r>
          </w:p>
        </w:tc>
      </w:tr>
      <w:tr w14:paraId="63C8F26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5D951C">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803C03">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D6209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C7E338">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54A666">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43DFF9">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487171">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81B81">
            <w:pPr>
              <w:jc w:val="center"/>
            </w:pPr>
            <w:r>
              <w:rPr>
                <w:rFonts w:ascii="宋体" w:hAnsi="宋体" w:eastAsia="宋体"/>
                <w:sz w:val="16"/>
              </w:rPr>
              <w:t>得分</w:t>
            </w:r>
          </w:p>
        </w:tc>
      </w:tr>
      <w:tr w14:paraId="06037E8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102D9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DAB5F9">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6D2D96">
            <w:pPr>
              <w:jc w:val="center"/>
            </w:pPr>
            <w:r>
              <w:rPr>
                <w:rFonts w:ascii="宋体" w:hAnsi="宋体" w:eastAsia="宋体"/>
                <w:sz w:val="16"/>
              </w:rPr>
              <w:t>525.40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750891">
            <w:pPr>
              <w:jc w:val="center"/>
            </w:pPr>
            <w:r>
              <w:rPr>
                <w:rFonts w:ascii="宋体" w:hAnsi="宋体" w:eastAsia="宋体"/>
                <w:sz w:val="16"/>
              </w:rPr>
              <w:t>602.78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9F7FF7">
            <w:pPr>
              <w:jc w:val="center"/>
            </w:pPr>
            <w:r>
              <w:rPr>
                <w:rFonts w:ascii="宋体" w:hAnsi="宋体" w:eastAsia="宋体"/>
                <w:sz w:val="16"/>
              </w:rPr>
              <w:t>602.78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13AD3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424B09">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0377A">
            <w:pPr>
              <w:jc w:val="center"/>
            </w:pPr>
            <w:r>
              <w:rPr>
                <w:rFonts w:ascii="宋体" w:hAnsi="宋体" w:eastAsia="宋体"/>
                <w:sz w:val="16"/>
              </w:rPr>
              <w:t>10</w:t>
            </w:r>
          </w:p>
        </w:tc>
      </w:tr>
      <w:tr w14:paraId="07B2D45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E397E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E04B9A">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90551B">
            <w:pPr>
              <w:jc w:val="center"/>
            </w:pPr>
            <w:r>
              <w:rPr>
                <w:rFonts w:ascii="宋体" w:hAnsi="宋体" w:eastAsia="宋体"/>
                <w:sz w:val="16"/>
              </w:rPr>
              <w:t>58.55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A96817">
            <w:pPr>
              <w:jc w:val="center"/>
            </w:pPr>
            <w:r>
              <w:rPr>
                <w:rFonts w:ascii="宋体" w:hAnsi="宋体" w:eastAsia="宋体"/>
                <w:sz w:val="16"/>
              </w:rPr>
              <w:t>15.68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C7278D">
            <w:pPr>
              <w:jc w:val="center"/>
            </w:pPr>
            <w:r>
              <w:rPr>
                <w:rFonts w:ascii="宋体" w:hAnsi="宋体" w:eastAsia="宋体"/>
                <w:sz w:val="16"/>
              </w:rPr>
              <w:t>15.68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1B81F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6A3D1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1F9A8">
            <w:pPr>
              <w:jc w:val="center"/>
            </w:pPr>
            <w:r>
              <w:rPr>
                <w:rFonts w:ascii="宋体" w:hAnsi="宋体" w:eastAsia="宋体"/>
                <w:sz w:val="16"/>
              </w:rPr>
              <w:t>—</w:t>
            </w:r>
          </w:p>
        </w:tc>
      </w:tr>
      <w:tr w14:paraId="4D7B4D6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6FD22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BAA3B">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76DD5A">
            <w:pPr>
              <w:jc w:val="center"/>
            </w:pPr>
            <w:r>
              <w:rPr>
                <w:rFonts w:ascii="宋体" w:hAnsi="宋体" w:eastAsia="宋体"/>
                <w:sz w:val="16"/>
              </w:rPr>
              <w:t>466.85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3BA2C5">
            <w:pPr>
              <w:jc w:val="center"/>
            </w:pPr>
            <w:r>
              <w:rPr>
                <w:rFonts w:ascii="宋体" w:hAnsi="宋体" w:eastAsia="宋体"/>
                <w:sz w:val="16"/>
              </w:rPr>
              <w:t>540.69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A1BBEA">
            <w:pPr>
              <w:jc w:val="center"/>
            </w:pPr>
            <w:r>
              <w:rPr>
                <w:rFonts w:ascii="宋体" w:hAnsi="宋体" w:eastAsia="宋体"/>
                <w:sz w:val="16"/>
              </w:rPr>
              <w:t>540.69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BA551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48709D">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E97CD">
            <w:pPr>
              <w:jc w:val="center"/>
            </w:pPr>
            <w:r>
              <w:rPr>
                <w:rFonts w:ascii="宋体" w:hAnsi="宋体" w:eastAsia="宋体"/>
                <w:sz w:val="16"/>
              </w:rPr>
              <w:t>—</w:t>
            </w:r>
          </w:p>
        </w:tc>
      </w:tr>
      <w:tr w14:paraId="75F113A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7EA5E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40252D">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1F2BC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A247E0">
            <w:pPr>
              <w:jc w:val="center"/>
            </w:pPr>
            <w:r>
              <w:rPr>
                <w:rFonts w:ascii="宋体" w:hAnsi="宋体" w:eastAsia="宋体"/>
                <w:sz w:val="16"/>
              </w:rPr>
              <w:t>46.41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B886D1">
            <w:pPr>
              <w:jc w:val="center"/>
            </w:pPr>
            <w:r>
              <w:rPr>
                <w:rFonts w:ascii="宋体" w:hAnsi="宋体" w:eastAsia="宋体"/>
                <w:sz w:val="16"/>
              </w:rPr>
              <w:t>46.41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E2593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D960B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4AD5A">
            <w:pPr>
              <w:jc w:val="center"/>
            </w:pPr>
            <w:r>
              <w:rPr>
                <w:rFonts w:ascii="宋体" w:hAnsi="宋体" w:eastAsia="宋体"/>
                <w:sz w:val="16"/>
              </w:rPr>
              <w:t>—</w:t>
            </w:r>
          </w:p>
        </w:tc>
      </w:tr>
      <w:tr w14:paraId="7EF1D5A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E41E4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FCC33B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5B59768">
            <w:pPr>
              <w:jc w:val="center"/>
            </w:pPr>
            <w:r>
              <w:rPr>
                <w:rFonts w:ascii="宋体" w:hAnsi="宋体" w:eastAsia="宋体"/>
                <w:sz w:val="16"/>
              </w:rPr>
              <w:t>实际完成情况</w:t>
            </w:r>
          </w:p>
        </w:tc>
      </w:tr>
      <w:tr w14:paraId="169295D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AB8361"/>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AD19D55">
            <w:pPr>
              <w:jc w:val="both"/>
            </w:pPr>
            <w:r>
              <w:rPr>
                <w:rFonts w:ascii="宋体" w:hAnsi="宋体" w:eastAsia="宋体"/>
                <w:sz w:val="16"/>
              </w:rPr>
              <w:t>2024年，计划召开县人民代表大会1次，人大常委会6次，主任会议12次，党组会议12次，乡级召开2次人民代表大会；组织开展专题调研3次，会前调研11次，执法检查2次，代表视察4次；召开代表“室站”现场推进会1</w:t>
            </w:r>
            <w:r>
              <w:rPr>
                <w:rFonts w:hint="eastAsia" w:ascii="宋体" w:hAnsi="宋体"/>
                <w:sz w:val="16"/>
                <w:lang w:eastAsia="zh-CN"/>
              </w:rPr>
              <w:t>～</w:t>
            </w:r>
            <w:r>
              <w:rPr>
                <w:rFonts w:ascii="宋体" w:hAnsi="宋体" w:eastAsia="宋体"/>
                <w:sz w:val="16"/>
              </w:rPr>
              <w:t>2次，组织代表培训4次(县级代表201名，乡级代表827名)，组织1期人大代表、人大干部赴内地培训交流。</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9FC005">
            <w:pPr>
              <w:jc w:val="both"/>
            </w:pPr>
            <w:r>
              <w:rPr>
                <w:rFonts w:ascii="宋体" w:hAnsi="宋体" w:eastAsia="宋体"/>
                <w:sz w:val="16"/>
              </w:rPr>
              <w:t>该项目实际执行602.78万元，主要用于召开人民代表大会1次，党组会议16次，主任会议12次，</w:t>
            </w:r>
            <w:r>
              <w:rPr>
                <w:rFonts w:hint="eastAsia" w:ascii="宋体" w:hAnsi="宋体"/>
                <w:sz w:val="16"/>
                <w:lang w:eastAsia="zh-CN"/>
              </w:rPr>
              <w:t>常委会会议</w:t>
            </w:r>
            <w:r>
              <w:rPr>
                <w:rFonts w:ascii="宋体" w:hAnsi="宋体" w:eastAsia="宋体"/>
                <w:sz w:val="16"/>
              </w:rPr>
              <w:t>7次，听取和审议“一府一委两院”专项工作报告21个，召开乡级</w:t>
            </w:r>
            <w:r>
              <w:rPr>
                <w:rFonts w:hint="eastAsia" w:ascii="宋体" w:hAnsi="宋体"/>
                <w:sz w:val="16"/>
                <w:lang w:eastAsia="zh-CN"/>
              </w:rPr>
              <w:t>人大常务委员会</w:t>
            </w:r>
            <w:r>
              <w:rPr>
                <w:rFonts w:ascii="宋体" w:hAnsi="宋体" w:eastAsia="宋体"/>
                <w:sz w:val="16"/>
              </w:rPr>
              <w:t>议2次，保障县级人大代表201人，保障乡级人大代表827人，组织代表培训5人，召开县级人大常委会会议7次，推动县委决策全面贯彻实施。聚焦发展所需群众所盼开展调查研究，形成调研报告15篇，为县委科学决策提供了有益参考。另外，县人大常委会班子成员积极投身社会</w:t>
            </w:r>
            <w:r>
              <w:rPr>
                <w:rFonts w:hint="eastAsia" w:ascii="宋体" w:hAnsi="宋体"/>
                <w:sz w:val="16"/>
                <w:lang w:val="en-US" w:eastAsia="zh-CN"/>
              </w:rPr>
              <w:t>建设</w:t>
            </w:r>
            <w:r>
              <w:rPr>
                <w:rFonts w:ascii="宋体" w:hAnsi="宋体" w:eastAsia="宋体"/>
                <w:sz w:val="16"/>
              </w:rPr>
              <w:t>，铸牢中华民族共同体意识，乡村振兴，项目建设，</w:t>
            </w:r>
            <w:r>
              <w:rPr>
                <w:rFonts w:hint="eastAsia" w:ascii="宋体" w:hAnsi="宋体"/>
                <w:sz w:val="16"/>
                <w:lang w:eastAsia="zh-CN"/>
              </w:rPr>
              <w:t>招</w:t>
            </w:r>
            <w:r>
              <w:rPr>
                <w:rFonts w:ascii="宋体" w:hAnsi="宋体" w:eastAsia="宋体"/>
                <w:sz w:val="16"/>
              </w:rPr>
              <w:t>商引资，安全生产等重点工作，及时协调解决相关问题，做到县委有部署，人大有行动。</w:t>
            </w:r>
          </w:p>
        </w:tc>
      </w:tr>
      <w:tr w14:paraId="6B0D8B9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0AD34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B670F3">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85DAC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49B07D">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C1E23A">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7B820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FA191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FF20A0">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A561E3">
            <w:pPr>
              <w:jc w:val="center"/>
            </w:pPr>
            <w:r>
              <w:rPr>
                <w:rFonts w:ascii="宋体" w:hAnsi="宋体" w:eastAsia="宋体"/>
                <w:sz w:val="16"/>
              </w:rPr>
              <w:t>得分</w:t>
            </w:r>
          </w:p>
        </w:tc>
      </w:tr>
      <w:tr w14:paraId="5AC2A71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D16F69">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A12791">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8D05E5">
            <w:pPr>
              <w:jc w:val="center"/>
            </w:pPr>
            <w:r>
              <w:rPr>
                <w:rFonts w:ascii="宋体" w:hAnsi="宋体" w:eastAsia="宋体"/>
                <w:sz w:val="16"/>
              </w:rPr>
              <w:t>召开乡级</w:t>
            </w:r>
            <w:r>
              <w:rPr>
                <w:rFonts w:hint="eastAsia" w:ascii="宋体" w:hAnsi="宋体"/>
                <w:sz w:val="16"/>
                <w:lang w:eastAsia="zh-CN"/>
              </w:rPr>
              <w:t>人大常务委员会</w:t>
            </w:r>
            <w:r>
              <w:rPr>
                <w:rFonts w:ascii="宋体" w:hAnsi="宋体" w:eastAsia="宋体"/>
                <w:sz w:val="16"/>
              </w:rPr>
              <w:t>议次数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CAE865">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0FB52C">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B2934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91DB26">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EF4BE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2BDFCC">
            <w:pPr>
              <w:jc w:val="center"/>
            </w:pPr>
            <w:r>
              <w:rPr>
                <w:rFonts w:ascii="宋体" w:hAnsi="宋体" w:eastAsia="宋体"/>
                <w:sz w:val="16"/>
              </w:rPr>
              <w:t>20</w:t>
            </w:r>
          </w:p>
        </w:tc>
      </w:tr>
      <w:tr w14:paraId="3648D92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14D55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62E93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AF5889">
            <w:pPr>
              <w:jc w:val="center"/>
            </w:pPr>
            <w:r>
              <w:rPr>
                <w:rFonts w:ascii="宋体" w:hAnsi="宋体" w:eastAsia="宋体"/>
                <w:sz w:val="16"/>
              </w:rPr>
              <w:t>保障县级人大代表人数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79321C">
            <w:pPr>
              <w:jc w:val="center"/>
            </w:pPr>
            <w:r>
              <w:rPr>
                <w:rFonts w:ascii="宋体" w:hAnsi="宋体" w:eastAsia="宋体"/>
                <w:sz w:val="16"/>
              </w:rPr>
              <w:t>=201人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7C7747">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74B36F">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383D8E">
            <w:pPr>
              <w:jc w:val="center"/>
            </w:pPr>
            <w:r>
              <w:rPr>
                <w:rFonts w:ascii="宋体" w:hAnsi="宋体" w:eastAsia="宋体"/>
                <w:sz w:val="16"/>
              </w:rPr>
              <w:t>=201人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9713C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2CE863">
            <w:pPr>
              <w:jc w:val="center"/>
            </w:pPr>
            <w:r>
              <w:rPr>
                <w:rFonts w:ascii="宋体" w:hAnsi="宋体" w:eastAsia="宋体"/>
                <w:sz w:val="16"/>
              </w:rPr>
              <w:t>25</w:t>
            </w:r>
          </w:p>
        </w:tc>
      </w:tr>
      <w:tr w14:paraId="3BC5A20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CD0C2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1400F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8EDEED">
            <w:pPr>
              <w:jc w:val="center"/>
            </w:pPr>
            <w:r>
              <w:rPr>
                <w:rFonts w:ascii="宋体" w:hAnsi="宋体" w:eastAsia="宋体"/>
                <w:sz w:val="16"/>
              </w:rPr>
              <w:t>保障乡级人大代表数量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044563">
            <w:pPr>
              <w:jc w:val="center"/>
            </w:pPr>
            <w:r>
              <w:rPr>
                <w:rFonts w:ascii="宋体" w:hAnsi="宋体" w:eastAsia="宋体"/>
                <w:sz w:val="16"/>
              </w:rPr>
              <w:t>=827人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5AEEF1">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7D970F">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C556F3">
            <w:pPr>
              <w:jc w:val="center"/>
            </w:pPr>
            <w:r>
              <w:rPr>
                <w:rFonts w:ascii="宋体" w:hAnsi="宋体" w:eastAsia="宋体"/>
                <w:sz w:val="16"/>
              </w:rPr>
              <w:t>=827人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6A270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649A35">
            <w:pPr>
              <w:jc w:val="center"/>
            </w:pPr>
            <w:r>
              <w:rPr>
                <w:rFonts w:ascii="宋体" w:hAnsi="宋体" w:eastAsia="宋体"/>
                <w:sz w:val="16"/>
              </w:rPr>
              <w:t>25</w:t>
            </w:r>
          </w:p>
        </w:tc>
      </w:tr>
      <w:tr w14:paraId="558838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4DD8B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E7275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6DEB80">
            <w:pPr>
              <w:jc w:val="center"/>
            </w:pPr>
            <w:r>
              <w:rPr>
                <w:rFonts w:ascii="宋体" w:hAnsi="宋体" w:eastAsia="宋体"/>
                <w:sz w:val="16"/>
              </w:rPr>
              <w:t>组织代表培训次数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08ED0E">
            <w:pPr>
              <w:jc w:val="center"/>
            </w:pPr>
            <w:r>
              <w:rPr>
                <w:rFonts w:ascii="宋体" w:hAnsi="宋体" w:eastAsia="宋体"/>
                <w:sz w:val="16"/>
              </w:rPr>
              <w:t>&gt;=4次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F13393">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37B11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C7F4C7">
            <w:pPr>
              <w:jc w:val="center"/>
            </w:pPr>
            <w:r>
              <w:rPr>
                <w:rFonts w:ascii="宋体" w:hAnsi="宋体" w:eastAsia="宋体"/>
                <w:sz w:val="16"/>
              </w:rPr>
              <w:t>=5次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AA7B80">
            <w:pPr>
              <w:jc w:val="center"/>
            </w:pPr>
            <w:r>
              <w:rPr>
                <w:rFonts w:ascii="宋体" w:hAnsi="宋体" w:eastAsia="宋体"/>
                <w:sz w:val="16"/>
              </w:rPr>
              <w:t>125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09749D">
            <w:pPr>
              <w:jc w:val="center"/>
            </w:pPr>
            <w:r>
              <w:rPr>
                <w:rFonts w:ascii="宋体" w:hAnsi="宋体" w:eastAsia="宋体"/>
                <w:sz w:val="16"/>
              </w:rPr>
              <w:t>10</w:t>
            </w:r>
          </w:p>
        </w:tc>
      </w:tr>
      <w:tr w14:paraId="78F1BC5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F7D9F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B6386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834EEF">
            <w:pPr>
              <w:jc w:val="center"/>
            </w:pPr>
            <w:r>
              <w:rPr>
                <w:rFonts w:ascii="宋体" w:hAnsi="宋体" w:eastAsia="宋体"/>
                <w:sz w:val="16"/>
              </w:rPr>
              <w:t>召开县级人大常委会会议次数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4A0E5C">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EEB792">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19605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DCA019">
            <w:pPr>
              <w:jc w:val="center"/>
            </w:pPr>
            <w:r>
              <w:rPr>
                <w:rFonts w:ascii="宋体" w:hAnsi="宋体" w:eastAsia="宋体"/>
                <w:sz w:val="16"/>
              </w:rPr>
              <w:t>=7次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8AFB70">
            <w:pPr>
              <w:jc w:val="center"/>
            </w:pPr>
            <w:r>
              <w:rPr>
                <w:rFonts w:ascii="宋体" w:hAnsi="宋体" w:eastAsia="宋体"/>
                <w:sz w:val="16"/>
              </w:rPr>
              <w:t>700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1308D3">
            <w:pPr>
              <w:jc w:val="center"/>
            </w:pPr>
            <w:r>
              <w:rPr>
                <w:rFonts w:ascii="宋体" w:hAnsi="宋体" w:eastAsia="宋体"/>
                <w:sz w:val="16"/>
              </w:rPr>
              <w:t>10</w:t>
            </w:r>
          </w:p>
        </w:tc>
      </w:tr>
    </w:tbl>
    <w:p w14:paraId="378CF91D">
      <w:r>
        <w:br w:type="page"/>
      </w:r>
    </w:p>
    <w:tbl>
      <w:tblPr>
        <w:tblStyle w:val="9"/>
        <w:tblW w:w="0" w:type="auto"/>
        <w:tblInd w:w="0" w:type="dxa"/>
        <w:tblLayout w:type="autofit"/>
        <w:tblCellMar>
          <w:top w:w="0" w:type="dxa"/>
          <w:left w:w="108" w:type="dxa"/>
          <w:bottom w:w="0" w:type="dxa"/>
          <w:right w:w="108" w:type="dxa"/>
        </w:tblCellMar>
      </w:tblPr>
      <w:tblGrid>
        <w:gridCol w:w="607"/>
        <w:gridCol w:w="568"/>
        <w:gridCol w:w="568"/>
        <w:gridCol w:w="1176"/>
        <w:gridCol w:w="776"/>
        <w:gridCol w:w="568"/>
        <w:gridCol w:w="628"/>
        <w:gridCol w:w="588"/>
        <w:gridCol w:w="568"/>
        <w:gridCol w:w="568"/>
        <w:gridCol w:w="696"/>
        <w:gridCol w:w="632"/>
        <w:gridCol w:w="489"/>
        <w:gridCol w:w="628"/>
      </w:tblGrid>
      <w:tr w14:paraId="2D553E14">
        <w:tblPrEx>
          <w:tblCellMar>
            <w:top w:w="0" w:type="dxa"/>
            <w:left w:w="108" w:type="dxa"/>
            <w:bottom w:w="0" w:type="dxa"/>
            <w:right w:w="108" w:type="dxa"/>
          </w:tblCellMar>
        </w:tblPrEx>
        <w:tc>
          <w:tcPr>
            <w:tcW w:w="8848" w:type="dxa"/>
            <w:gridSpan w:val="14"/>
            <w:vAlign w:val="center"/>
          </w:tcPr>
          <w:p w14:paraId="6EB75942">
            <w:pPr>
              <w:jc w:val="center"/>
            </w:pPr>
            <w:r>
              <w:rPr>
                <w:rFonts w:ascii="宋体" w:hAnsi="宋体" w:eastAsia="宋体"/>
                <w:sz w:val="24"/>
              </w:rPr>
              <w:t>项目支出绩效自评表</w:t>
            </w:r>
          </w:p>
        </w:tc>
      </w:tr>
      <w:tr w14:paraId="295AC088">
        <w:tblPrEx>
          <w:tblCellMar>
            <w:top w:w="0" w:type="dxa"/>
            <w:left w:w="108" w:type="dxa"/>
            <w:bottom w:w="0" w:type="dxa"/>
            <w:right w:w="108" w:type="dxa"/>
          </w:tblCellMar>
        </w:tblPrEx>
        <w:tc>
          <w:tcPr>
            <w:tcW w:w="8848" w:type="dxa"/>
            <w:gridSpan w:val="14"/>
            <w:vAlign w:val="center"/>
          </w:tcPr>
          <w:p w14:paraId="4C45A141">
            <w:pPr>
              <w:jc w:val="center"/>
            </w:pPr>
            <w:r>
              <w:rPr>
                <w:rFonts w:ascii="宋体" w:hAnsi="宋体" w:eastAsia="宋体"/>
                <w:sz w:val="24"/>
              </w:rPr>
              <w:t>(2024年度)</w:t>
            </w:r>
          </w:p>
        </w:tc>
      </w:tr>
      <w:tr w14:paraId="243E8A7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9FD6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804515D">
            <w:pPr>
              <w:jc w:val="center"/>
            </w:pPr>
            <w:r>
              <w:rPr>
                <w:rFonts w:ascii="宋体" w:hAnsi="宋体" w:eastAsia="宋体"/>
                <w:sz w:val="16"/>
              </w:rPr>
              <w:t>2024年人大业务经费项目</w:t>
            </w:r>
          </w:p>
        </w:tc>
      </w:tr>
      <w:tr w14:paraId="4D7F62AB">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9C4B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9C94FC">
            <w:pPr>
              <w:jc w:val="center"/>
            </w:pPr>
            <w:r>
              <w:rPr>
                <w:rFonts w:ascii="宋体" w:hAnsi="宋体" w:eastAsia="宋体"/>
                <w:sz w:val="16"/>
              </w:rPr>
              <w:t>英吉沙县人民代表大会常务委员会办公室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EFD5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85E686">
            <w:pPr>
              <w:jc w:val="center"/>
            </w:pPr>
            <w:r>
              <w:rPr>
                <w:rFonts w:ascii="宋体" w:hAnsi="宋体" w:eastAsia="宋体"/>
                <w:sz w:val="16"/>
              </w:rPr>
              <w:t>英吉沙县人民代表大会常务委员会办公室</w:t>
            </w:r>
          </w:p>
        </w:tc>
      </w:tr>
      <w:tr w14:paraId="35508AB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2B55D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4A5F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B8FC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DED2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68EB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D153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5DD7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B755E">
            <w:pPr>
              <w:jc w:val="center"/>
            </w:pPr>
            <w:r>
              <w:rPr>
                <w:rFonts w:ascii="宋体" w:hAnsi="宋体" w:eastAsia="宋体"/>
                <w:sz w:val="16"/>
              </w:rPr>
              <w:t>得分</w:t>
            </w:r>
          </w:p>
        </w:tc>
      </w:tr>
      <w:tr w14:paraId="2A656A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7CF5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07F5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2CDBD">
            <w:pPr>
              <w:jc w:val="center"/>
            </w:pPr>
            <w:r>
              <w:rPr>
                <w:rFonts w:ascii="宋体" w:hAnsi="宋体" w:eastAsia="宋体"/>
                <w:sz w:val="16"/>
              </w:rPr>
              <w:t>79.19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F2927">
            <w:pPr>
              <w:jc w:val="center"/>
            </w:pPr>
            <w:r>
              <w:rPr>
                <w:rFonts w:ascii="宋体" w:hAnsi="宋体" w:eastAsia="宋体"/>
                <w:sz w:val="16"/>
              </w:rPr>
              <w:t>64.94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7EFC5">
            <w:pPr>
              <w:jc w:val="center"/>
            </w:pPr>
            <w:r>
              <w:rPr>
                <w:rFonts w:ascii="宋体" w:hAnsi="宋体" w:eastAsia="宋体"/>
                <w:sz w:val="16"/>
              </w:rPr>
              <w:t>64.94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8D8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A0B6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2B627">
            <w:pPr>
              <w:jc w:val="center"/>
            </w:pPr>
            <w:r>
              <w:rPr>
                <w:rFonts w:ascii="宋体" w:hAnsi="宋体" w:eastAsia="宋体"/>
                <w:sz w:val="16"/>
              </w:rPr>
              <w:t>10.00分</w:t>
            </w:r>
          </w:p>
        </w:tc>
      </w:tr>
      <w:tr w14:paraId="69A0AA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41A2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32A7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C01A0">
            <w:pPr>
              <w:jc w:val="center"/>
            </w:pPr>
            <w:r>
              <w:rPr>
                <w:rFonts w:ascii="宋体" w:hAnsi="宋体" w:eastAsia="宋体"/>
                <w:sz w:val="16"/>
              </w:rPr>
              <w:t>79.19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C9765">
            <w:pPr>
              <w:jc w:val="center"/>
            </w:pPr>
            <w:r>
              <w:rPr>
                <w:rFonts w:ascii="宋体" w:hAnsi="宋体" w:eastAsia="宋体"/>
                <w:sz w:val="16"/>
              </w:rPr>
              <w:t>64.94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57C4E">
            <w:pPr>
              <w:jc w:val="center"/>
            </w:pPr>
            <w:r>
              <w:rPr>
                <w:rFonts w:ascii="宋体" w:hAnsi="宋体" w:eastAsia="宋体"/>
                <w:sz w:val="16"/>
              </w:rPr>
              <w:t>64.94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ED22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293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9F65D">
            <w:pPr>
              <w:jc w:val="center"/>
            </w:pPr>
            <w:r>
              <w:rPr>
                <w:rFonts w:ascii="宋体" w:hAnsi="宋体" w:eastAsia="宋体"/>
                <w:sz w:val="16"/>
              </w:rPr>
              <w:t>—</w:t>
            </w:r>
          </w:p>
        </w:tc>
      </w:tr>
      <w:tr w14:paraId="3AF646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8DF09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5E37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7F1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E535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8BD5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9FF0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F9C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F2C11">
            <w:pPr>
              <w:jc w:val="center"/>
            </w:pPr>
            <w:r>
              <w:rPr>
                <w:rFonts w:ascii="宋体" w:hAnsi="宋体" w:eastAsia="宋体"/>
                <w:sz w:val="16"/>
              </w:rPr>
              <w:t>—</w:t>
            </w:r>
          </w:p>
        </w:tc>
      </w:tr>
      <w:tr w14:paraId="1F2A3C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35379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662C7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4AD176">
            <w:pPr>
              <w:jc w:val="center"/>
            </w:pPr>
            <w:r>
              <w:rPr>
                <w:rFonts w:ascii="宋体" w:hAnsi="宋体" w:eastAsia="宋体"/>
                <w:sz w:val="16"/>
              </w:rPr>
              <w:t>实际完成情况</w:t>
            </w:r>
          </w:p>
        </w:tc>
      </w:tr>
      <w:tr w14:paraId="7E616B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15C1C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92BD9D">
            <w:pPr>
              <w:jc w:val="both"/>
            </w:pPr>
            <w:r>
              <w:rPr>
                <w:rFonts w:ascii="宋体" w:hAnsi="宋体" w:eastAsia="宋体"/>
                <w:sz w:val="16"/>
              </w:rPr>
              <w:t>该项目计划投入资金64.94万元，用于县、乡</w:t>
            </w:r>
            <w:r>
              <w:rPr>
                <w:rFonts w:hint="eastAsia" w:ascii="宋体" w:hAnsi="宋体"/>
                <w:sz w:val="16"/>
                <w:lang w:eastAsia="zh-CN"/>
              </w:rPr>
              <w:t>两级人大常委会</w:t>
            </w:r>
            <w:r>
              <w:rPr>
                <w:rFonts w:ascii="宋体" w:hAnsi="宋体" w:eastAsia="宋体"/>
                <w:sz w:val="16"/>
              </w:rPr>
              <w:t>会议的召开，召开县、乡人代会会议2次，保障代表联络“站”数量74个，维护网络系统数量2个，通过项目的实施，保障基层人大工作正常开展。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96309E">
            <w:pPr>
              <w:jc w:val="both"/>
            </w:pPr>
            <w:r>
              <w:rPr>
                <w:rFonts w:hint="eastAsia" w:ascii="宋体" w:hAnsi="宋体"/>
                <w:sz w:val="16"/>
                <w:lang w:eastAsia="zh-CN"/>
              </w:rPr>
              <w:t>截至</w:t>
            </w:r>
            <w:r>
              <w:rPr>
                <w:rFonts w:ascii="宋体" w:hAnsi="宋体" w:eastAsia="宋体"/>
                <w:sz w:val="16"/>
              </w:rPr>
              <w:t>2024年12月31日。项目实际投入64.94万元，用于县、乡</w:t>
            </w:r>
            <w:r>
              <w:rPr>
                <w:rFonts w:hint="eastAsia" w:ascii="宋体" w:hAnsi="宋体"/>
                <w:sz w:val="16"/>
                <w:lang w:eastAsia="zh-CN"/>
              </w:rPr>
              <w:t>两级人大常委会</w:t>
            </w:r>
            <w:r>
              <w:rPr>
                <w:rFonts w:ascii="宋体" w:hAnsi="宋体" w:eastAsia="宋体"/>
                <w:sz w:val="16"/>
              </w:rPr>
              <w:t>会议的召开，召开县、乡人代会会议2次，保障代表联络“站”数量74个，维护网络系统数量2个，通过项目的实施，保障基层人大工作正常开展。</w:t>
            </w:r>
          </w:p>
        </w:tc>
      </w:tr>
      <w:tr w14:paraId="2645556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30BAD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5C12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1826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E0C2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367F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65CC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E456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9930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7D61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1EBA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D410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EA3A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7492B">
            <w:pPr>
              <w:jc w:val="center"/>
            </w:pPr>
            <w:r>
              <w:rPr>
                <w:rFonts w:ascii="宋体" w:hAnsi="宋体" w:eastAsia="宋体"/>
                <w:sz w:val="16"/>
              </w:rPr>
              <w:t>偏差原因分析及改进措施</w:t>
            </w:r>
          </w:p>
        </w:tc>
      </w:tr>
      <w:tr w14:paraId="7E7B546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A7104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83787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625C5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4A34F">
            <w:pPr>
              <w:jc w:val="center"/>
            </w:pPr>
            <w:r>
              <w:rPr>
                <w:rFonts w:ascii="宋体" w:hAnsi="宋体" w:eastAsia="宋体"/>
                <w:sz w:val="16"/>
              </w:rPr>
              <w:t>召开县、乡人代会会议次数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F3BDA">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8C8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6D2C3">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3F6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EE8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195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2E26A">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777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DFCA7">
            <w:pPr>
              <w:jc w:val="center"/>
            </w:pPr>
          </w:p>
        </w:tc>
      </w:tr>
      <w:tr w14:paraId="3681DF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9609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2E04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A253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E72CF">
            <w:pPr>
              <w:jc w:val="center"/>
            </w:pPr>
            <w:r>
              <w:rPr>
                <w:rFonts w:ascii="宋体" w:hAnsi="宋体" w:eastAsia="宋体"/>
                <w:sz w:val="16"/>
              </w:rPr>
              <w:t>保障代表联络“站”数量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EDD5D">
            <w:pPr>
              <w:jc w:val="center"/>
            </w:pPr>
            <w:r>
              <w:rPr>
                <w:rFonts w:ascii="宋体" w:hAnsi="宋体" w:eastAsia="宋体"/>
                <w:sz w:val="16"/>
              </w:rPr>
              <w:t>&gt;=74个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BAC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29BDA">
            <w:pPr>
              <w:jc w:val="center"/>
            </w:pPr>
            <w:r>
              <w:rPr>
                <w:rFonts w:ascii="宋体" w:hAnsi="宋体" w:eastAsia="宋体"/>
                <w:sz w:val="16"/>
              </w:rPr>
              <w:t>74个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3EA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2CB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ACF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1123E">
            <w:pPr>
              <w:jc w:val="center"/>
            </w:pPr>
            <w:r>
              <w:rPr>
                <w:rFonts w:ascii="宋体" w:hAnsi="宋体" w:eastAsia="宋体"/>
                <w:sz w:val="16"/>
              </w:rPr>
              <w:t>=74个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BDE6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293F1">
            <w:pPr>
              <w:jc w:val="center"/>
            </w:pPr>
          </w:p>
        </w:tc>
      </w:tr>
      <w:tr w14:paraId="7ACAB2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BEF9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A8E0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786A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C5D37">
            <w:pPr>
              <w:jc w:val="center"/>
            </w:pPr>
            <w:r>
              <w:rPr>
                <w:rFonts w:ascii="宋体" w:hAnsi="宋体" w:eastAsia="宋体"/>
                <w:sz w:val="16"/>
              </w:rPr>
              <w:t>维护网络系统数量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A2E19">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BCA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A8B17">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C84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1AF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4EC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3BC99">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515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0DD71">
            <w:pPr>
              <w:jc w:val="center"/>
            </w:pPr>
          </w:p>
        </w:tc>
      </w:tr>
      <w:tr w14:paraId="4D5857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1305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6971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8FD0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1E091">
            <w:pPr>
              <w:jc w:val="center"/>
            </w:pPr>
            <w:r>
              <w:rPr>
                <w:rFonts w:ascii="宋体" w:hAnsi="宋体" w:eastAsia="宋体"/>
                <w:sz w:val="16"/>
              </w:rPr>
              <w:t>资金足额保障率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6EF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F37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11B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AC50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5F28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B7E8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967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9FC9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A460C">
            <w:pPr>
              <w:jc w:val="center"/>
            </w:pPr>
          </w:p>
        </w:tc>
      </w:tr>
      <w:tr w14:paraId="3BD3191A">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BADA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6331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8A8D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77CA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5392F">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991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891BF">
            <w:pPr>
              <w:jc w:val="center"/>
            </w:pPr>
            <w:r>
              <w:rPr>
                <w:rFonts w:ascii="宋体" w:hAnsi="宋体" w:eastAsia="宋体"/>
                <w:sz w:val="16"/>
              </w:rPr>
              <w:t>2023年12月24日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BF7E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792D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BAC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6609F">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E619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E7870">
            <w:pPr>
              <w:jc w:val="center"/>
            </w:pPr>
          </w:p>
        </w:tc>
      </w:tr>
      <w:tr w14:paraId="72C816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221DD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2AC51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A99DD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1724A">
            <w:pPr>
              <w:jc w:val="center"/>
            </w:pPr>
            <w:r>
              <w:rPr>
                <w:rFonts w:ascii="宋体" w:hAnsi="宋体" w:eastAsia="宋体"/>
                <w:sz w:val="16"/>
              </w:rPr>
              <w:t>人代会会议费支出成本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65CE2">
            <w:pPr>
              <w:jc w:val="center"/>
            </w:pPr>
            <w:r>
              <w:rPr>
                <w:rFonts w:ascii="宋体" w:hAnsi="宋体" w:eastAsia="宋体"/>
                <w:sz w:val="16"/>
              </w:rPr>
              <w:t>&lt;=24.81万元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5EC2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7ED2C">
            <w:pPr>
              <w:jc w:val="center"/>
            </w:pPr>
            <w:r>
              <w:rPr>
                <w:rFonts w:ascii="宋体" w:hAnsi="宋体" w:eastAsia="宋体"/>
                <w:sz w:val="16"/>
              </w:rPr>
              <w:t>23.84万元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B86B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AE5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16CE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935A8">
            <w:pPr>
              <w:jc w:val="center"/>
            </w:pPr>
            <w:r>
              <w:rPr>
                <w:rFonts w:ascii="宋体" w:hAnsi="宋体" w:eastAsia="宋体"/>
                <w:sz w:val="16"/>
              </w:rPr>
              <w:t>=24.81万元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E443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E219E">
            <w:pPr>
              <w:jc w:val="center"/>
            </w:pPr>
          </w:p>
        </w:tc>
      </w:tr>
      <w:tr w14:paraId="6A24A6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8C19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9DCD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1E37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B4720">
            <w:pPr>
              <w:jc w:val="center"/>
            </w:pPr>
            <w:r>
              <w:rPr>
                <w:rFonts w:ascii="宋体" w:hAnsi="宋体" w:eastAsia="宋体"/>
                <w:sz w:val="16"/>
              </w:rPr>
              <w:t>代表“室”“站”改造成本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ADEAF">
            <w:pPr>
              <w:jc w:val="center"/>
            </w:pPr>
            <w:r>
              <w:rPr>
                <w:rFonts w:ascii="宋体" w:hAnsi="宋体" w:eastAsia="宋体"/>
                <w:sz w:val="16"/>
              </w:rPr>
              <w:t>&lt;=48.5万元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A897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7CC92">
            <w:pPr>
              <w:jc w:val="center"/>
            </w:pPr>
            <w:r>
              <w:rPr>
                <w:rFonts w:ascii="宋体" w:hAnsi="宋体" w:eastAsia="宋体"/>
                <w:sz w:val="16"/>
              </w:rPr>
              <w:t>38.48万元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2DF6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A54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3F80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74405">
            <w:pPr>
              <w:jc w:val="center"/>
            </w:pPr>
            <w:r>
              <w:rPr>
                <w:rFonts w:ascii="宋体" w:hAnsi="宋体" w:eastAsia="宋体"/>
                <w:sz w:val="16"/>
              </w:rPr>
              <w:t>=48.5万元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19FB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90023">
            <w:pPr>
              <w:jc w:val="center"/>
            </w:pPr>
          </w:p>
        </w:tc>
      </w:tr>
      <w:tr w14:paraId="7126E0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71E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338B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5ED7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01E66">
            <w:pPr>
              <w:jc w:val="center"/>
            </w:pPr>
            <w:r>
              <w:rPr>
                <w:rFonts w:ascii="宋体" w:hAnsi="宋体" w:eastAsia="宋体"/>
                <w:sz w:val="16"/>
              </w:rPr>
              <w:t>预算联网监督系统运营维护费成本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4713B">
            <w:pPr>
              <w:jc w:val="center"/>
            </w:pPr>
            <w:r>
              <w:rPr>
                <w:rFonts w:ascii="宋体" w:hAnsi="宋体" w:eastAsia="宋体"/>
                <w:sz w:val="16"/>
              </w:rPr>
              <w:t>&lt;=5万元/年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3B73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FBF6F">
            <w:pPr>
              <w:jc w:val="center"/>
            </w:pPr>
            <w:r>
              <w:rPr>
                <w:rFonts w:ascii="宋体" w:hAnsi="宋体" w:eastAsia="宋体"/>
                <w:sz w:val="16"/>
              </w:rPr>
              <w:t>5万元/年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EF41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311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F86F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437F0">
            <w:pPr>
              <w:jc w:val="center"/>
            </w:pPr>
            <w:r>
              <w:rPr>
                <w:rFonts w:ascii="宋体" w:hAnsi="宋体" w:eastAsia="宋体"/>
                <w:sz w:val="16"/>
              </w:rPr>
              <w:t>=5万元/年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8C4E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5DC15">
            <w:pPr>
              <w:jc w:val="center"/>
            </w:pPr>
          </w:p>
        </w:tc>
      </w:tr>
      <w:tr w14:paraId="4B6CB4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72D6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1BBF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B972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2E9E8">
            <w:pPr>
              <w:jc w:val="center"/>
            </w:pPr>
            <w:r>
              <w:rPr>
                <w:rFonts w:ascii="宋体" w:hAnsi="宋体" w:eastAsia="宋体"/>
                <w:sz w:val="16"/>
              </w:rPr>
              <w:t>县、乡人大代表视频培训系统网络年费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24E8F">
            <w:pPr>
              <w:jc w:val="center"/>
            </w:pPr>
            <w:r>
              <w:rPr>
                <w:rFonts w:ascii="宋体" w:hAnsi="宋体" w:eastAsia="宋体"/>
                <w:sz w:val="16"/>
              </w:rPr>
              <w:t>&lt;=0.882万元/年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6AE7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B37A6">
            <w:pPr>
              <w:jc w:val="center"/>
            </w:pPr>
            <w:r>
              <w:rPr>
                <w:rFonts w:ascii="宋体" w:hAnsi="宋体" w:eastAsia="宋体"/>
                <w:sz w:val="16"/>
              </w:rPr>
              <w:t>0.882万元/年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5C46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B58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B3CE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BFEF0">
            <w:pPr>
              <w:jc w:val="center"/>
            </w:pPr>
            <w:r>
              <w:rPr>
                <w:rFonts w:ascii="宋体" w:hAnsi="宋体" w:eastAsia="宋体"/>
                <w:sz w:val="16"/>
              </w:rPr>
              <w:t>=0.882万元/年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B4BA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37FF1">
            <w:pPr>
              <w:jc w:val="center"/>
            </w:pPr>
          </w:p>
        </w:tc>
      </w:tr>
      <w:tr w14:paraId="1DAD94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2693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69C9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25A8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55964">
            <w:pPr>
              <w:jc w:val="center"/>
            </w:pPr>
            <w:r>
              <w:rPr>
                <w:rFonts w:ascii="宋体" w:hAnsi="宋体" w:eastAsia="宋体"/>
                <w:sz w:val="16"/>
              </w:rPr>
              <w:t>保障基层人大工作正常开展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97EE5">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80F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F921A">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D4AC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47B7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822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4AB60">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C084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8CFCA">
            <w:pPr>
              <w:jc w:val="center"/>
            </w:pPr>
          </w:p>
        </w:tc>
      </w:tr>
      <w:tr w14:paraId="2BDB31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A7DB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DEBD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0DE4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C0651">
            <w:pPr>
              <w:jc w:val="center"/>
            </w:pPr>
            <w:r>
              <w:rPr>
                <w:rFonts w:ascii="宋体" w:hAnsi="宋体" w:eastAsia="宋体"/>
                <w:sz w:val="16"/>
              </w:rPr>
              <w:t>受益干部满意度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0A25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3CC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6A73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A6A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E5D1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AC2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AD04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357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7041F">
            <w:pPr>
              <w:jc w:val="center"/>
            </w:pPr>
          </w:p>
        </w:tc>
      </w:tr>
      <w:tr w14:paraId="6789B855">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40987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78E9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318FB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4108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6E9B75E"/>
        </w:tc>
      </w:tr>
    </w:tbl>
    <w:p w14:paraId="60254A9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96"/>
        <w:gridCol w:w="632"/>
        <w:gridCol w:w="632"/>
        <w:gridCol w:w="632"/>
        <w:gridCol w:w="632"/>
        <w:gridCol w:w="632"/>
        <w:gridCol w:w="632"/>
        <w:gridCol w:w="632"/>
      </w:tblGrid>
      <w:tr w14:paraId="657020D1">
        <w:tblPrEx>
          <w:tblCellMar>
            <w:top w:w="0" w:type="dxa"/>
            <w:left w:w="108" w:type="dxa"/>
            <w:bottom w:w="0" w:type="dxa"/>
            <w:right w:w="108" w:type="dxa"/>
          </w:tblCellMar>
        </w:tblPrEx>
        <w:tc>
          <w:tcPr>
            <w:tcW w:w="8848" w:type="dxa"/>
            <w:gridSpan w:val="14"/>
            <w:vAlign w:val="center"/>
          </w:tcPr>
          <w:p w14:paraId="58C8C28F">
            <w:pPr>
              <w:jc w:val="center"/>
            </w:pPr>
            <w:r>
              <w:rPr>
                <w:rFonts w:ascii="宋体" w:hAnsi="宋体" w:eastAsia="宋体"/>
                <w:sz w:val="24"/>
              </w:rPr>
              <w:t>项目支出绩效自评表</w:t>
            </w:r>
          </w:p>
        </w:tc>
      </w:tr>
      <w:tr w14:paraId="04BFEB99">
        <w:tblPrEx>
          <w:tblCellMar>
            <w:top w:w="0" w:type="dxa"/>
            <w:left w:w="108" w:type="dxa"/>
            <w:bottom w:w="0" w:type="dxa"/>
            <w:right w:w="108" w:type="dxa"/>
          </w:tblCellMar>
        </w:tblPrEx>
        <w:tc>
          <w:tcPr>
            <w:tcW w:w="8848" w:type="dxa"/>
            <w:gridSpan w:val="14"/>
            <w:vAlign w:val="center"/>
          </w:tcPr>
          <w:p w14:paraId="3F809598">
            <w:pPr>
              <w:jc w:val="center"/>
            </w:pPr>
            <w:r>
              <w:rPr>
                <w:rFonts w:ascii="宋体" w:hAnsi="宋体" w:eastAsia="宋体"/>
                <w:sz w:val="24"/>
              </w:rPr>
              <w:t>(2024年度)</w:t>
            </w:r>
          </w:p>
        </w:tc>
      </w:tr>
      <w:tr w14:paraId="3A52E26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EF80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FFE482F">
            <w:pPr>
              <w:jc w:val="center"/>
            </w:pPr>
            <w:r>
              <w:rPr>
                <w:rFonts w:ascii="宋体" w:hAnsi="宋体" w:eastAsia="宋体"/>
                <w:sz w:val="16"/>
              </w:rPr>
              <w:t>2024年人大代表活动经费</w:t>
            </w:r>
          </w:p>
        </w:tc>
      </w:tr>
      <w:tr w14:paraId="6C2958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3097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B4C77D">
            <w:pPr>
              <w:jc w:val="center"/>
            </w:pPr>
            <w:r>
              <w:rPr>
                <w:rFonts w:ascii="宋体" w:hAnsi="宋体" w:eastAsia="宋体"/>
                <w:sz w:val="16"/>
              </w:rPr>
              <w:t>英吉沙县人民代表大会常务委员会办公室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B778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1FA290">
            <w:pPr>
              <w:jc w:val="center"/>
            </w:pPr>
            <w:r>
              <w:rPr>
                <w:rFonts w:ascii="宋体" w:hAnsi="宋体" w:eastAsia="宋体"/>
                <w:sz w:val="16"/>
              </w:rPr>
              <w:t>英吉沙县人民代表大会常务委员会办公室</w:t>
            </w:r>
          </w:p>
        </w:tc>
      </w:tr>
      <w:tr w14:paraId="359D5C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41F10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28D8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D262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B811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95C7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2336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AC6F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E78B4">
            <w:pPr>
              <w:jc w:val="center"/>
            </w:pPr>
            <w:r>
              <w:rPr>
                <w:rFonts w:ascii="宋体" w:hAnsi="宋体" w:eastAsia="宋体"/>
                <w:sz w:val="16"/>
              </w:rPr>
              <w:t>得分</w:t>
            </w:r>
          </w:p>
        </w:tc>
      </w:tr>
      <w:tr w14:paraId="73C326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6408A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D5FC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5278B">
            <w:pPr>
              <w:jc w:val="center"/>
            </w:pPr>
            <w:r>
              <w:rPr>
                <w:rFonts w:ascii="宋体" w:hAnsi="宋体" w:eastAsia="宋体"/>
                <w:sz w:val="16"/>
              </w:rPr>
              <w:t>48.55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94422">
            <w:pPr>
              <w:jc w:val="center"/>
            </w:pPr>
            <w:r>
              <w:rPr>
                <w:rFonts w:ascii="宋体" w:hAnsi="宋体" w:eastAsia="宋体"/>
                <w:sz w:val="16"/>
              </w:rPr>
              <w:t>33.93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80769">
            <w:pPr>
              <w:jc w:val="center"/>
            </w:pPr>
            <w:r>
              <w:rPr>
                <w:rFonts w:ascii="宋体" w:hAnsi="宋体" w:eastAsia="宋体"/>
                <w:sz w:val="16"/>
              </w:rPr>
              <w:t>33.93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B311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F320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E3E0A">
            <w:pPr>
              <w:jc w:val="center"/>
            </w:pPr>
            <w:r>
              <w:rPr>
                <w:rFonts w:ascii="宋体" w:hAnsi="宋体" w:eastAsia="宋体"/>
                <w:sz w:val="16"/>
              </w:rPr>
              <w:t>10.00分</w:t>
            </w:r>
          </w:p>
        </w:tc>
      </w:tr>
      <w:tr w14:paraId="5E0CD0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54567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010F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2EB33">
            <w:pPr>
              <w:jc w:val="center"/>
            </w:pPr>
            <w:r>
              <w:rPr>
                <w:rFonts w:ascii="宋体" w:hAnsi="宋体" w:eastAsia="宋体"/>
                <w:sz w:val="16"/>
              </w:rPr>
              <w:t>48.55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EEEBD">
            <w:pPr>
              <w:jc w:val="center"/>
            </w:pPr>
            <w:r>
              <w:rPr>
                <w:rFonts w:ascii="宋体" w:hAnsi="宋体" w:eastAsia="宋体"/>
                <w:sz w:val="16"/>
              </w:rPr>
              <w:t>33.93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E79B5">
            <w:pPr>
              <w:jc w:val="center"/>
            </w:pPr>
            <w:r>
              <w:rPr>
                <w:rFonts w:ascii="宋体" w:hAnsi="宋体" w:eastAsia="宋体"/>
                <w:sz w:val="16"/>
              </w:rPr>
              <w:t>33.93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F4B7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FC5D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04759">
            <w:pPr>
              <w:jc w:val="center"/>
            </w:pPr>
            <w:r>
              <w:rPr>
                <w:rFonts w:ascii="宋体" w:hAnsi="宋体" w:eastAsia="宋体"/>
                <w:sz w:val="16"/>
              </w:rPr>
              <w:t>—</w:t>
            </w:r>
          </w:p>
        </w:tc>
      </w:tr>
      <w:tr w14:paraId="257189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A7C4F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6495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F614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AF1F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00A5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9AD2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A1D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5867D">
            <w:pPr>
              <w:jc w:val="center"/>
            </w:pPr>
            <w:r>
              <w:rPr>
                <w:rFonts w:ascii="宋体" w:hAnsi="宋体" w:eastAsia="宋体"/>
                <w:sz w:val="16"/>
              </w:rPr>
              <w:t>—</w:t>
            </w:r>
          </w:p>
        </w:tc>
      </w:tr>
      <w:tr w14:paraId="202D49A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68D5C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E3A23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A3B229">
            <w:pPr>
              <w:jc w:val="center"/>
            </w:pPr>
            <w:r>
              <w:rPr>
                <w:rFonts w:ascii="宋体" w:hAnsi="宋体" w:eastAsia="宋体"/>
                <w:sz w:val="16"/>
              </w:rPr>
              <w:t>实际完成情况</w:t>
            </w:r>
          </w:p>
        </w:tc>
      </w:tr>
      <w:tr w14:paraId="424522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47540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51D359">
            <w:pPr>
              <w:jc w:val="both"/>
            </w:pPr>
            <w:r>
              <w:rPr>
                <w:rFonts w:ascii="宋体" w:hAnsi="宋体" w:eastAsia="宋体"/>
                <w:sz w:val="16"/>
              </w:rPr>
              <w:t>项目资金33.93万元，用于人大代表开展集中视察、专题调研、学习培训、参加代表“室”“站”集体活动等，其中县级代表201人，保障标准675元/人，乡级人大代表827人，保障标准423元/人。通过项目的实施，充分尊重代表主体地位，充分发挥代表作用，提升代表履职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50DED5">
            <w:pPr>
              <w:jc w:val="both"/>
            </w:pPr>
            <w:r>
              <w:rPr>
                <w:rFonts w:hint="eastAsia" w:ascii="宋体" w:hAnsi="宋体"/>
                <w:sz w:val="16"/>
                <w:lang w:eastAsia="zh-CN"/>
              </w:rPr>
              <w:t>截至2024</w:t>
            </w:r>
            <w:r>
              <w:rPr>
                <w:rFonts w:ascii="宋体" w:hAnsi="宋体" w:eastAsia="宋体"/>
                <w:sz w:val="16"/>
              </w:rPr>
              <w:t>年12月31日，项目已完成支出33.93万元，用于人大代表开展集中视察、专题调研、学习培训、参加代表“室”“站”集体活动等，其中县级代表201人，保障标准675元/人，乡级人大代表827人，保障标准423元/人。通过项目的实施，充分尊重代表主体地位，充分发挥代表作用，提升代表履职能力。</w:t>
            </w:r>
          </w:p>
        </w:tc>
      </w:tr>
      <w:tr w14:paraId="46EAF23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ED6CD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CD60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7B49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8FD6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539F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D9DC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E336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AE1E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B25D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B76F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8AD6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1A45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04927">
            <w:pPr>
              <w:jc w:val="center"/>
            </w:pPr>
            <w:r>
              <w:rPr>
                <w:rFonts w:ascii="宋体" w:hAnsi="宋体" w:eastAsia="宋体"/>
                <w:sz w:val="16"/>
              </w:rPr>
              <w:t>偏差原因分析及改进措施</w:t>
            </w:r>
          </w:p>
        </w:tc>
      </w:tr>
      <w:tr w14:paraId="0B73B23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7C122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DB62B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F269F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F8E1A">
            <w:pPr>
              <w:jc w:val="center"/>
            </w:pPr>
            <w:r>
              <w:rPr>
                <w:rFonts w:ascii="宋体" w:hAnsi="宋体" w:eastAsia="宋体"/>
                <w:sz w:val="16"/>
              </w:rPr>
              <w:t>保障县级人大代表人数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0BF1B">
            <w:pPr>
              <w:jc w:val="center"/>
            </w:pPr>
            <w:r>
              <w:rPr>
                <w:rFonts w:ascii="宋体" w:hAnsi="宋体" w:eastAsia="宋体"/>
                <w:sz w:val="16"/>
              </w:rPr>
              <w:t>&gt;=201人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A10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E683C">
            <w:pPr>
              <w:jc w:val="center"/>
            </w:pPr>
            <w:r>
              <w:rPr>
                <w:rFonts w:ascii="宋体" w:hAnsi="宋体" w:eastAsia="宋体"/>
                <w:sz w:val="16"/>
              </w:rPr>
              <w:t>201人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4D0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D65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595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FEF0D">
            <w:pPr>
              <w:jc w:val="center"/>
            </w:pPr>
            <w:r>
              <w:rPr>
                <w:rFonts w:ascii="宋体" w:hAnsi="宋体" w:eastAsia="宋体"/>
                <w:sz w:val="16"/>
              </w:rPr>
              <w:t>=201人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3D5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8BC6C">
            <w:pPr>
              <w:jc w:val="center"/>
            </w:pPr>
          </w:p>
        </w:tc>
      </w:tr>
      <w:tr w14:paraId="5EE2DE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1BF1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385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9802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CB323">
            <w:pPr>
              <w:jc w:val="center"/>
            </w:pPr>
            <w:r>
              <w:rPr>
                <w:rFonts w:ascii="宋体" w:hAnsi="宋体" w:eastAsia="宋体"/>
                <w:sz w:val="16"/>
              </w:rPr>
              <w:t>保障乡级人大代表人数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03F5D">
            <w:pPr>
              <w:jc w:val="center"/>
            </w:pPr>
            <w:r>
              <w:rPr>
                <w:rFonts w:ascii="宋体" w:hAnsi="宋体" w:eastAsia="宋体"/>
                <w:sz w:val="16"/>
              </w:rPr>
              <w:t>&gt;=827人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098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D59C3">
            <w:pPr>
              <w:jc w:val="center"/>
            </w:pPr>
            <w:r>
              <w:rPr>
                <w:rFonts w:ascii="宋体" w:hAnsi="宋体" w:eastAsia="宋体"/>
                <w:sz w:val="16"/>
              </w:rPr>
              <w:t>827人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C43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109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F32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04E85">
            <w:pPr>
              <w:jc w:val="center"/>
            </w:pPr>
            <w:r>
              <w:rPr>
                <w:rFonts w:ascii="宋体" w:hAnsi="宋体" w:eastAsia="宋体"/>
                <w:sz w:val="16"/>
              </w:rPr>
              <w:t>=827人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C3A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D353D2">
            <w:pPr>
              <w:jc w:val="center"/>
            </w:pPr>
          </w:p>
        </w:tc>
      </w:tr>
      <w:tr w14:paraId="28D6C2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1C5D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2672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CA8C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34CA6">
            <w:pPr>
              <w:jc w:val="center"/>
            </w:pPr>
            <w:r>
              <w:rPr>
                <w:rFonts w:ascii="宋体" w:hAnsi="宋体" w:eastAsia="宋体"/>
                <w:sz w:val="16"/>
              </w:rPr>
              <w:t>资金足额保障率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DDF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091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DD9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C70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642D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C348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23D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E593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2B680">
            <w:pPr>
              <w:jc w:val="center"/>
            </w:pPr>
          </w:p>
        </w:tc>
      </w:tr>
      <w:tr w14:paraId="047C1C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CF9F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62A0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6382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F016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DACF9">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845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2AC29">
            <w:pPr>
              <w:jc w:val="center"/>
            </w:pPr>
            <w:r>
              <w:rPr>
                <w:rFonts w:ascii="宋体" w:hAnsi="宋体" w:eastAsia="宋体"/>
                <w:sz w:val="16"/>
              </w:rPr>
              <w:t>2023年12月24日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E9D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2419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857D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A32F4">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62C1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A9880">
            <w:pPr>
              <w:jc w:val="center"/>
            </w:pPr>
          </w:p>
        </w:tc>
      </w:tr>
      <w:tr w14:paraId="7193C2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5B40D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4E732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D9234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68304">
            <w:pPr>
              <w:jc w:val="center"/>
            </w:pPr>
            <w:r>
              <w:rPr>
                <w:rFonts w:ascii="宋体" w:hAnsi="宋体" w:eastAsia="宋体"/>
                <w:sz w:val="16"/>
              </w:rPr>
              <w:t>保障县级人大代表活动经费标准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BE66F">
            <w:pPr>
              <w:jc w:val="center"/>
            </w:pPr>
            <w:r>
              <w:rPr>
                <w:rFonts w:ascii="宋体" w:hAnsi="宋体" w:eastAsia="宋体"/>
                <w:sz w:val="16"/>
              </w:rPr>
              <w:t>&lt;=675元/人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B2C4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72502">
            <w:pPr>
              <w:jc w:val="center"/>
            </w:pPr>
            <w:r>
              <w:rPr>
                <w:rFonts w:ascii="宋体" w:hAnsi="宋体" w:eastAsia="宋体"/>
                <w:sz w:val="16"/>
              </w:rPr>
              <w:t>276.67元/人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425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098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BE3B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B9ED7">
            <w:pPr>
              <w:jc w:val="center"/>
            </w:pPr>
            <w:r>
              <w:rPr>
                <w:rFonts w:ascii="宋体" w:hAnsi="宋体" w:eastAsia="宋体"/>
                <w:sz w:val="16"/>
              </w:rPr>
              <w:t>=675元/人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E55B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6319B">
            <w:pPr>
              <w:jc w:val="center"/>
            </w:pPr>
          </w:p>
        </w:tc>
      </w:tr>
      <w:tr w14:paraId="593550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5202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E68B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378B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D1CB9">
            <w:pPr>
              <w:jc w:val="center"/>
            </w:pPr>
            <w:r>
              <w:rPr>
                <w:rFonts w:ascii="宋体" w:hAnsi="宋体" w:eastAsia="宋体"/>
                <w:sz w:val="16"/>
              </w:rPr>
              <w:t>保障乡级人大代表活动经费标准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7FE49">
            <w:pPr>
              <w:jc w:val="center"/>
            </w:pPr>
            <w:r>
              <w:rPr>
                <w:rFonts w:ascii="宋体" w:hAnsi="宋体" w:eastAsia="宋体"/>
                <w:sz w:val="16"/>
              </w:rPr>
              <w:t>&lt;=423元/人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BD95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CCBD3">
            <w:pPr>
              <w:jc w:val="center"/>
            </w:pPr>
            <w:r>
              <w:rPr>
                <w:rFonts w:ascii="宋体" w:hAnsi="宋体" w:eastAsia="宋体"/>
                <w:sz w:val="16"/>
              </w:rPr>
              <w:t>90.18元/人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F77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7B1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62F8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562C9">
            <w:pPr>
              <w:jc w:val="center"/>
            </w:pPr>
            <w:r>
              <w:rPr>
                <w:rFonts w:ascii="宋体" w:hAnsi="宋体" w:eastAsia="宋体"/>
                <w:sz w:val="16"/>
              </w:rPr>
              <w:t>=423元/人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8E5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080E5">
            <w:pPr>
              <w:jc w:val="center"/>
            </w:pPr>
          </w:p>
        </w:tc>
      </w:tr>
      <w:tr w14:paraId="1BBBCC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B1AD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4729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C0EF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718E1">
            <w:pPr>
              <w:jc w:val="center"/>
            </w:pPr>
            <w:r>
              <w:rPr>
                <w:rFonts w:ascii="宋体" w:hAnsi="宋体" w:eastAsia="宋体"/>
                <w:sz w:val="16"/>
              </w:rPr>
              <w:t>充分发挥代表履职效能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4CF64">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C56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EFE4C">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8539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4AF7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BC0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2F33E">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409D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A39D6">
            <w:pPr>
              <w:jc w:val="center"/>
            </w:pPr>
          </w:p>
        </w:tc>
      </w:tr>
      <w:tr w14:paraId="01FCF2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B1EE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0C55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25F5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3017F">
            <w:pPr>
              <w:jc w:val="center"/>
            </w:pPr>
            <w:r>
              <w:rPr>
                <w:rFonts w:ascii="宋体" w:hAnsi="宋体" w:eastAsia="宋体"/>
                <w:sz w:val="16"/>
              </w:rPr>
              <w:t>县、乡两级人大代表满意度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9AD5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662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A62B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724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8FFE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849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E04D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BD4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CB566">
            <w:pPr>
              <w:jc w:val="center"/>
            </w:pPr>
          </w:p>
        </w:tc>
      </w:tr>
      <w:tr w14:paraId="5E22B0F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5FE37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A62E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1D01B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816E9">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82E20DD"/>
        </w:tc>
      </w:tr>
    </w:tbl>
    <w:p w14:paraId="48CFE938">
      <w:r>
        <w:br w:type="page"/>
      </w:r>
    </w:p>
    <w:tbl>
      <w:tblPr>
        <w:tblStyle w:val="9"/>
        <w:tblW w:w="0" w:type="auto"/>
        <w:tblInd w:w="0" w:type="dxa"/>
        <w:tblLayout w:type="autofit"/>
        <w:tblCellMar>
          <w:top w:w="0" w:type="dxa"/>
          <w:left w:w="108" w:type="dxa"/>
          <w:bottom w:w="0" w:type="dxa"/>
          <w:right w:w="108" w:type="dxa"/>
        </w:tblCellMar>
      </w:tblPr>
      <w:tblGrid>
        <w:gridCol w:w="618"/>
        <w:gridCol w:w="596"/>
        <w:gridCol w:w="596"/>
        <w:gridCol w:w="856"/>
        <w:gridCol w:w="696"/>
        <w:gridCol w:w="597"/>
        <w:gridCol w:w="696"/>
        <w:gridCol w:w="608"/>
        <w:gridCol w:w="597"/>
        <w:gridCol w:w="597"/>
        <w:gridCol w:w="776"/>
        <w:gridCol w:w="632"/>
        <w:gridCol w:w="565"/>
        <w:gridCol w:w="630"/>
      </w:tblGrid>
      <w:tr w14:paraId="058FA432">
        <w:tblPrEx>
          <w:tblCellMar>
            <w:top w:w="0" w:type="dxa"/>
            <w:left w:w="108" w:type="dxa"/>
            <w:bottom w:w="0" w:type="dxa"/>
            <w:right w:w="108" w:type="dxa"/>
          </w:tblCellMar>
        </w:tblPrEx>
        <w:tc>
          <w:tcPr>
            <w:tcW w:w="8848" w:type="dxa"/>
            <w:gridSpan w:val="14"/>
            <w:vAlign w:val="center"/>
          </w:tcPr>
          <w:p w14:paraId="1AB6708A">
            <w:pPr>
              <w:jc w:val="center"/>
            </w:pPr>
            <w:r>
              <w:rPr>
                <w:rFonts w:ascii="宋体" w:hAnsi="宋体" w:eastAsia="宋体"/>
                <w:sz w:val="24"/>
              </w:rPr>
              <w:t>项目支出绩效自评表</w:t>
            </w:r>
          </w:p>
        </w:tc>
      </w:tr>
      <w:tr w14:paraId="73EE23B1">
        <w:tblPrEx>
          <w:tblCellMar>
            <w:top w:w="0" w:type="dxa"/>
            <w:left w:w="108" w:type="dxa"/>
            <w:bottom w:w="0" w:type="dxa"/>
            <w:right w:w="108" w:type="dxa"/>
          </w:tblCellMar>
        </w:tblPrEx>
        <w:tc>
          <w:tcPr>
            <w:tcW w:w="8848" w:type="dxa"/>
            <w:gridSpan w:val="14"/>
            <w:vAlign w:val="center"/>
          </w:tcPr>
          <w:p w14:paraId="712D4359">
            <w:pPr>
              <w:jc w:val="center"/>
            </w:pPr>
            <w:r>
              <w:rPr>
                <w:rFonts w:ascii="宋体" w:hAnsi="宋体" w:eastAsia="宋体"/>
                <w:sz w:val="24"/>
              </w:rPr>
              <w:t>(2024年度)</w:t>
            </w:r>
          </w:p>
        </w:tc>
      </w:tr>
      <w:tr w14:paraId="0604D7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0543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4B3AF76">
            <w:pPr>
              <w:jc w:val="center"/>
            </w:pPr>
            <w:r>
              <w:rPr>
                <w:rFonts w:ascii="宋体" w:hAnsi="宋体" w:eastAsia="宋体"/>
                <w:sz w:val="16"/>
              </w:rPr>
              <w:t>2024年基层人大补助经费</w:t>
            </w:r>
          </w:p>
        </w:tc>
      </w:tr>
      <w:tr w14:paraId="1F3F561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5B3D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3C1C85">
            <w:pPr>
              <w:jc w:val="center"/>
            </w:pPr>
            <w:r>
              <w:rPr>
                <w:rFonts w:ascii="宋体" w:hAnsi="宋体" w:eastAsia="宋体"/>
                <w:sz w:val="16"/>
              </w:rPr>
              <w:t>英吉沙县人民代表大会常务委员会办公室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D787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4B5884">
            <w:pPr>
              <w:jc w:val="center"/>
            </w:pPr>
            <w:r>
              <w:rPr>
                <w:rFonts w:ascii="宋体" w:hAnsi="宋体" w:eastAsia="宋体"/>
                <w:sz w:val="16"/>
              </w:rPr>
              <w:t>英吉沙县人民代表大会常务委员会办公室</w:t>
            </w:r>
          </w:p>
        </w:tc>
      </w:tr>
      <w:tr w14:paraId="5D35381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49520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CF1B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0592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41DA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E4A1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31A3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A778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37EB0">
            <w:pPr>
              <w:jc w:val="center"/>
            </w:pPr>
            <w:r>
              <w:rPr>
                <w:rFonts w:ascii="宋体" w:hAnsi="宋体" w:eastAsia="宋体"/>
                <w:sz w:val="16"/>
              </w:rPr>
              <w:t>得分</w:t>
            </w:r>
          </w:p>
        </w:tc>
      </w:tr>
      <w:tr w14:paraId="7975D8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ACA95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B3B8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9D45C">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5C14F">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8FED2">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6B3F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8EDB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A9C7C">
            <w:pPr>
              <w:jc w:val="center"/>
            </w:pPr>
            <w:r>
              <w:rPr>
                <w:rFonts w:ascii="宋体" w:hAnsi="宋体" w:eastAsia="宋体"/>
                <w:sz w:val="16"/>
              </w:rPr>
              <w:t>10.00分</w:t>
            </w:r>
          </w:p>
        </w:tc>
      </w:tr>
      <w:tr w14:paraId="7D12A8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00F8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A16B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2DB0D3">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577A9">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78874">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98B6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2E059">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080CF">
            <w:pPr>
              <w:jc w:val="center"/>
            </w:pPr>
            <w:r>
              <w:rPr>
                <w:rFonts w:ascii="宋体" w:hAnsi="宋体" w:eastAsia="宋体"/>
                <w:sz w:val="16"/>
              </w:rPr>
              <w:t>—</w:t>
            </w:r>
          </w:p>
        </w:tc>
      </w:tr>
      <w:tr w14:paraId="5969FB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95E7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6634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F208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994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38D2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A259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1030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84997">
            <w:pPr>
              <w:jc w:val="center"/>
            </w:pPr>
            <w:r>
              <w:rPr>
                <w:rFonts w:ascii="宋体" w:hAnsi="宋体" w:eastAsia="宋体"/>
                <w:sz w:val="16"/>
              </w:rPr>
              <w:t>—</w:t>
            </w:r>
          </w:p>
        </w:tc>
      </w:tr>
      <w:tr w14:paraId="799C4A3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989BC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3E786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5C8163">
            <w:pPr>
              <w:jc w:val="center"/>
            </w:pPr>
            <w:r>
              <w:rPr>
                <w:rFonts w:ascii="宋体" w:hAnsi="宋体" w:eastAsia="宋体"/>
                <w:sz w:val="16"/>
              </w:rPr>
              <w:t>实际完成情况</w:t>
            </w:r>
          </w:p>
        </w:tc>
      </w:tr>
      <w:tr w14:paraId="44422E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BB8CE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6429CA">
            <w:pPr>
              <w:jc w:val="both"/>
            </w:pPr>
            <w:r>
              <w:rPr>
                <w:rFonts w:ascii="宋体" w:hAnsi="宋体" w:eastAsia="宋体"/>
                <w:sz w:val="16"/>
              </w:rPr>
              <w:t>1</w:t>
            </w:r>
            <w:r>
              <w:rPr>
                <w:rFonts w:hint="eastAsia" w:ascii="宋体" w:hAnsi="宋体"/>
                <w:sz w:val="16"/>
                <w:lang w:eastAsia="zh-CN"/>
              </w:rPr>
              <w:t>、</w:t>
            </w:r>
            <w:r>
              <w:rPr>
                <w:rFonts w:ascii="宋体" w:hAnsi="宋体" w:eastAsia="宋体"/>
                <w:sz w:val="16"/>
              </w:rPr>
              <w:t>改善人大办公条件7.6</w:t>
            </w:r>
            <w:r>
              <w:rPr>
                <w:rFonts w:hint="eastAsia" w:ascii="宋体" w:hAnsi="宋体"/>
                <w:sz w:val="16"/>
                <w:lang w:val="en-US" w:eastAsia="zh-CN"/>
              </w:rPr>
              <w:t>万</w:t>
            </w:r>
            <w:r>
              <w:rPr>
                <w:rFonts w:ascii="宋体" w:hAnsi="宋体" w:eastAsia="宋体"/>
                <w:sz w:val="16"/>
              </w:rPr>
              <w:t>元。2</w:t>
            </w:r>
            <w:r>
              <w:rPr>
                <w:rFonts w:hint="eastAsia" w:ascii="宋体" w:hAnsi="宋体"/>
                <w:sz w:val="16"/>
                <w:lang w:eastAsia="zh-CN"/>
              </w:rPr>
              <w:t>、</w:t>
            </w:r>
            <w:bookmarkStart w:id="0" w:name="_GoBack"/>
            <w:bookmarkEnd w:id="0"/>
            <w:r>
              <w:rPr>
                <w:rFonts w:ascii="宋体" w:hAnsi="宋体" w:eastAsia="宋体"/>
                <w:sz w:val="16"/>
              </w:rPr>
              <w:t>2.4万元左右用于加强基层人大建设，推动人大代表联络“室站”工作补助等。通过项目实施，改善县级人大代表联络站室条件，保障基层人大工作正常开展。通过项目实施。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741B7D">
            <w:pPr>
              <w:jc w:val="both"/>
            </w:pPr>
            <w:r>
              <w:rPr>
                <w:rFonts w:hint="eastAsia" w:ascii="宋体" w:hAnsi="宋体"/>
                <w:sz w:val="16"/>
                <w:lang w:eastAsia="zh-CN"/>
              </w:rPr>
              <w:t>截至2024</w:t>
            </w:r>
            <w:r>
              <w:rPr>
                <w:rFonts w:ascii="宋体" w:hAnsi="宋体" w:eastAsia="宋体"/>
                <w:sz w:val="16"/>
              </w:rPr>
              <w:t>年12月31日，该项目执行资金10万元，项目资金执行率为100%，用于完成人大代表工作室、站的改造；落实了三察（查）三实调研4次以上，资金支付10万元，有效改善了基层人大工作条件，完善了代表工作室、工作站改造升级，保障基层人大工作正常开展。</w:t>
            </w:r>
          </w:p>
        </w:tc>
      </w:tr>
      <w:tr w14:paraId="2C24F8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4F310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E449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6E39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FE01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2193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E537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DF9C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FF2D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60B0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A7F6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32AC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5CEF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A7BBD">
            <w:pPr>
              <w:jc w:val="center"/>
            </w:pPr>
            <w:r>
              <w:rPr>
                <w:rFonts w:ascii="宋体" w:hAnsi="宋体" w:eastAsia="宋体"/>
                <w:sz w:val="16"/>
              </w:rPr>
              <w:t>偏差原因分析及改进措施</w:t>
            </w:r>
          </w:p>
        </w:tc>
      </w:tr>
      <w:tr w14:paraId="7F5FC6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8D71A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1AA91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78769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8DB48">
            <w:pPr>
              <w:jc w:val="center"/>
            </w:pPr>
            <w:r>
              <w:rPr>
                <w:rFonts w:ascii="宋体" w:hAnsi="宋体" w:eastAsia="宋体"/>
                <w:sz w:val="16"/>
              </w:rPr>
              <w:t>改善县人大办公条件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77C6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561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ECDC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4B4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9D4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A5D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2A1E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8FA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9FB0D">
            <w:pPr>
              <w:jc w:val="center"/>
            </w:pPr>
          </w:p>
        </w:tc>
      </w:tr>
      <w:tr w14:paraId="7EB035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8615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11DB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ADF9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1D515">
            <w:pPr>
              <w:jc w:val="center"/>
            </w:pPr>
            <w:r>
              <w:rPr>
                <w:rFonts w:ascii="宋体" w:hAnsi="宋体" w:eastAsia="宋体"/>
                <w:sz w:val="16"/>
              </w:rPr>
              <w:t>开展三查（察）和双联系次数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FA172">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99A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C7DB2">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BA8A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898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AF9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434C4">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5238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E48D0">
            <w:pPr>
              <w:jc w:val="center"/>
            </w:pPr>
          </w:p>
        </w:tc>
      </w:tr>
      <w:tr w14:paraId="153529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A4E1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74B8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D245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34AC0">
            <w:pPr>
              <w:jc w:val="center"/>
            </w:pPr>
            <w:r>
              <w:rPr>
                <w:rFonts w:ascii="宋体" w:hAnsi="宋体" w:eastAsia="宋体"/>
                <w:sz w:val="16"/>
              </w:rPr>
              <w:t>乡人大代表工作站补助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5EFBC">
            <w:pPr>
              <w:jc w:val="center"/>
            </w:pPr>
            <w:r>
              <w:rPr>
                <w:rFonts w:ascii="宋体" w:hAnsi="宋体" w:eastAsia="宋体"/>
                <w:sz w:val="16"/>
              </w:rPr>
              <w:t>&gt;=14个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87C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7C4B1">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55C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AF04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274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CAB88">
            <w:pPr>
              <w:jc w:val="center"/>
            </w:pPr>
            <w:r>
              <w:rPr>
                <w:rFonts w:ascii="宋体" w:hAnsi="宋体" w:eastAsia="宋体"/>
                <w:sz w:val="16"/>
              </w:rPr>
              <w:t>=14个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07B3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66A8E">
            <w:pPr>
              <w:jc w:val="center"/>
            </w:pPr>
          </w:p>
        </w:tc>
      </w:tr>
      <w:tr w14:paraId="11CE62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E683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5B76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E930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ADF09">
            <w:pPr>
              <w:jc w:val="center"/>
            </w:pPr>
            <w:r>
              <w:rPr>
                <w:rFonts w:ascii="宋体" w:hAnsi="宋体" w:eastAsia="宋体"/>
                <w:sz w:val="16"/>
              </w:rPr>
              <w:t>资金足额保障率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114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35D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810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9D7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2AD6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D14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C19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EEA3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FFD19">
            <w:pPr>
              <w:jc w:val="center"/>
            </w:pPr>
          </w:p>
        </w:tc>
      </w:tr>
      <w:tr w14:paraId="5DC79E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047C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579A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1F50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8B8F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68057">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666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3FBD2">
            <w:pPr>
              <w:jc w:val="center"/>
            </w:pPr>
            <w:r>
              <w:rPr>
                <w:rFonts w:ascii="宋体" w:hAnsi="宋体" w:eastAsia="宋体"/>
                <w:sz w:val="16"/>
              </w:rPr>
              <w:t>2023年12月24日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B5D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CEA9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79D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CA4FC">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3BDA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6DBC3">
            <w:pPr>
              <w:jc w:val="center"/>
            </w:pPr>
          </w:p>
        </w:tc>
      </w:tr>
      <w:tr w14:paraId="36BBAB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6E97C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87329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2D54E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7C633">
            <w:pPr>
              <w:jc w:val="center"/>
            </w:pPr>
            <w:r>
              <w:rPr>
                <w:rFonts w:ascii="宋体" w:hAnsi="宋体" w:eastAsia="宋体"/>
                <w:sz w:val="16"/>
              </w:rPr>
              <w:t>县人大办公条件改造成本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B1394">
            <w:pPr>
              <w:jc w:val="center"/>
            </w:pPr>
            <w:r>
              <w:rPr>
                <w:rFonts w:ascii="宋体" w:hAnsi="宋体" w:eastAsia="宋体"/>
                <w:sz w:val="16"/>
              </w:rPr>
              <w:t>&lt;=7.52万元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D63F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0D61F">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3C31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9DE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9072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91CE0">
            <w:pPr>
              <w:jc w:val="center"/>
            </w:pPr>
            <w:r>
              <w:rPr>
                <w:rFonts w:ascii="宋体" w:hAnsi="宋体" w:eastAsia="宋体"/>
                <w:sz w:val="16"/>
              </w:rPr>
              <w:t>=7.52万元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9468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55FDF">
            <w:pPr>
              <w:jc w:val="center"/>
            </w:pPr>
          </w:p>
        </w:tc>
      </w:tr>
      <w:tr w14:paraId="612785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007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3F0B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4FAA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00BA9">
            <w:pPr>
              <w:jc w:val="center"/>
            </w:pPr>
            <w:r>
              <w:rPr>
                <w:rFonts w:ascii="宋体" w:hAnsi="宋体" w:eastAsia="宋体"/>
                <w:sz w:val="16"/>
              </w:rPr>
              <w:t>“三查（察）”和“双联系”成本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C3945">
            <w:pPr>
              <w:jc w:val="center"/>
            </w:pPr>
            <w:r>
              <w:rPr>
                <w:rFonts w:ascii="宋体" w:hAnsi="宋体" w:eastAsia="宋体"/>
                <w:sz w:val="16"/>
              </w:rPr>
              <w:t>&lt;=0.02万元/次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991D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31A10">
            <w:pPr>
              <w:jc w:val="center"/>
            </w:pPr>
            <w:r>
              <w:rPr>
                <w:rFonts w:ascii="宋体" w:hAnsi="宋体" w:eastAsia="宋体"/>
                <w:sz w:val="16"/>
              </w:rPr>
              <w:t>0.25万元/次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FAAD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178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2867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DDF7A">
            <w:pPr>
              <w:jc w:val="center"/>
            </w:pPr>
            <w:r>
              <w:rPr>
                <w:rFonts w:ascii="宋体" w:hAnsi="宋体" w:eastAsia="宋体"/>
                <w:sz w:val="16"/>
              </w:rPr>
              <w:t>=0.02万元/次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D52D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9CFCD">
            <w:pPr>
              <w:jc w:val="center"/>
            </w:pPr>
          </w:p>
        </w:tc>
      </w:tr>
      <w:tr w14:paraId="3AD213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98B6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D461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C3F8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7BE5A">
            <w:pPr>
              <w:jc w:val="center"/>
            </w:pPr>
            <w:r>
              <w:rPr>
                <w:rFonts w:ascii="宋体" w:hAnsi="宋体" w:eastAsia="宋体"/>
                <w:sz w:val="16"/>
              </w:rPr>
              <w:t>乡代表工作站补助经费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36230">
            <w:pPr>
              <w:jc w:val="center"/>
            </w:pPr>
            <w:r>
              <w:rPr>
                <w:rFonts w:ascii="宋体" w:hAnsi="宋体" w:eastAsia="宋体"/>
                <w:sz w:val="16"/>
              </w:rPr>
              <w:t>&lt;=0.17万元/个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EBC4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AA44C">
            <w:pPr>
              <w:jc w:val="center"/>
            </w:pPr>
            <w:r>
              <w:rPr>
                <w:rFonts w:ascii="宋体" w:hAnsi="宋体" w:eastAsia="宋体"/>
                <w:sz w:val="16"/>
              </w:rPr>
              <w:t>0.5万元/个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A1D7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E10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755D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C1D17">
            <w:pPr>
              <w:jc w:val="center"/>
            </w:pPr>
            <w:r>
              <w:rPr>
                <w:rFonts w:ascii="宋体" w:hAnsi="宋体" w:eastAsia="宋体"/>
                <w:sz w:val="16"/>
              </w:rPr>
              <w:t>=0.17万元/个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6EE9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0E98E">
            <w:pPr>
              <w:jc w:val="center"/>
            </w:pPr>
          </w:p>
        </w:tc>
      </w:tr>
      <w:tr w14:paraId="4EEFA9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503D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EF7A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6111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0EACF">
            <w:pPr>
              <w:jc w:val="center"/>
            </w:pPr>
            <w:r>
              <w:rPr>
                <w:rFonts w:ascii="宋体" w:hAnsi="宋体" w:eastAsia="宋体"/>
                <w:sz w:val="16"/>
              </w:rPr>
              <w:t>保障基层人大工作正常开展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D550C">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766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BC813">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D6FD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7EA7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B8F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68016">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E843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E9EE0">
            <w:pPr>
              <w:jc w:val="center"/>
            </w:pPr>
          </w:p>
        </w:tc>
      </w:tr>
      <w:tr w14:paraId="1A2B14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E11F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9A13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ED5F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9DBDC">
            <w:pPr>
              <w:jc w:val="center"/>
            </w:pPr>
            <w:r>
              <w:rPr>
                <w:rFonts w:ascii="宋体" w:hAnsi="宋体" w:eastAsia="宋体"/>
                <w:sz w:val="16"/>
              </w:rPr>
              <w:t>基层人大代表满意度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D3E1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17C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2EACB">
            <w:pPr>
              <w:jc w:val="center"/>
            </w:pPr>
            <w:r>
              <w:rPr>
                <w:rFonts w:ascii="宋体" w:hAnsi="宋体" w:eastAsia="宋体"/>
                <w:sz w:val="16"/>
              </w:rPr>
              <w:t>96.77%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2FC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27FD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399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B6F3E">
            <w:pPr>
              <w:jc w:val="center"/>
            </w:pPr>
            <w:r>
              <w:rPr>
                <w:rFonts w:ascii="宋体" w:hAnsi="宋体" w:eastAsia="宋体"/>
                <w:sz w:val="16"/>
              </w:rPr>
              <w:t>=94.61%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7DDF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CB6C0">
            <w:pPr>
              <w:jc w:val="center"/>
            </w:pPr>
            <w:r>
              <w:rPr>
                <w:rFonts w:ascii="宋体" w:hAnsi="宋体" w:eastAsia="宋体"/>
                <w:sz w:val="16"/>
              </w:rPr>
              <w:t>偏差原因：实际满意度未达95%，满意度调查问卷以</w:t>
            </w:r>
            <w:r>
              <w:rPr>
                <w:rFonts w:hint="eastAsia" w:ascii="宋体" w:hAnsi="宋体"/>
                <w:sz w:val="16"/>
                <w:lang w:val="en-US" w:eastAsia="zh-CN"/>
              </w:rPr>
              <w:t>本</w:t>
            </w:r>
            <w:r>
              <w:rPr>
                <w:rFonts w:ascii="宋体" w:hAnsi="宋体" w:eastAsia="宋体"/>
                <w:sz w:val="16"/>
              </w:rPr>
              <w:t>单位多个项目为基数做的调查，存在一定偏差。改进措施：以后年度根据项目实际情况设置满意度调查问卷。</w:t>
            </w:r>
          </w:p>
        </w:tc>
      </w:tr>
      <w:tr w14:paraId="6D849BE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0BE49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DDCA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9A3AB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48ABD">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40E3039"/>
        </w:tc>
      </w:tr>
    </w:tbl>
    <w:p w14:paraId="72AD6A68">
      <w:r>
        <w:br w:type="page"/>
      </w:r>
    </w:p>
    <w:p w14:paraId="5085A406">
      <w:pPr>
        <w:spacing w:line="640" w:lineRule="exact"/>
        <w:ind w:firstLine="640"/>
        <w:jc w:val="both"/>
        <w:outlineLvl w:val="2"/>
      </w:pPr>
      <w:r>
        <w:rPr>
          <w:rFonts w:ascii="黑体" w:hAnsi="黑体" w:eastAsia="黑体"/>
          <w:sz w:val="32"/>
        </w:rPr>
        <w:t>十二、其他需说明的事项</w:t>
      </w:r>
    </w:p>
    <w:p w14:paraId="3011547D">
      <w:pPr>
        <w:spacing w:line="580" w:lineRule="exact"/>
        <w:ind w:firstLine="640"/>
        <w:jc w:val="both"/>
      </w:pPr>
      <w:r>
        <w:rPr>
          <w:rFonts w:ascii="仿宋_GB2312" w:hAnsi="仿宋_GB2312" w:eastAsia="仿宋_GB2312"/>
          <w:b w:val="0"/>
          <w:sz w:val="32"/>
        </w:rPr>
        <w:t>本单位无其他需说明的事项。</w:t>
      </w:r>
    </w:p>
    <w:p w14:paraId="5DB4104C">
      <w:r>
        <w:br w:type="page"/>
      </w:r>
    </w:p>
    <w:p w14:paraId="1F23642E">
      <w:pPr>
        <w:spacing w:line="240" w:lineRule="auto"/>
        <w:jc w:val="center"/>
        <w:outlineLvl w:val="1"/>
      </w:pPr>
      <w:r>
        <w:rPr>
          <w:rFonts w:ascii="黑体" w:hAnsi="黑体" w:eastAsia="黑体"/>
          <w:sz w:val="32"/>
        </w:rPr>
        <w:t>第三部分 专业名词解释</w:t>
      </w:r>
    </w:p>
    <w:p w14:paraId="1F26772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5800D2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9484B2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38BD47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39A6A9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0FB502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E24798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6428B7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DD0C14B">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F5712C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3DD509A">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363EB4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49899B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450F71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CDD722D">
      <w:r>
        <w:br w:type="page"/>
      </w:r>
    </w:p>
    <w:p w14:paraId="5045BC66">
      <w:pPr>
        <w:spacing w:line="240" w:lineRule="auto"/>
        <w:jc w:val="center"/>
        <w:outlineLvl w:val="1"/>
      </w:pPr>
      <w:r>
        <w:rPr>
          <w:rFonts w:ascii="黑体" w:hAnsi="黑体" w:eastAsia="黑体"/>
          <w:sz w:val="32"/>
        </w:rPr>
        <w:t>第四部分 部门决算报表（见附表）</w:t>
      </w:r>
    </w:p>
    <w:p w14:paraId="6D954E48">
      <w:pPr>
        <w:spacing w:line="240" w:lineRule="auto"/>
        <w:ind w:firstLine="640"/>
        <w:jc w:val="both"/>
      </w:pPr>
      <w:r>
        <w:rPr>
          <w:rFonts w:ascii="仿宋_GB2312" w:hAnsi="仿宋_GB2312" w:eastAsia="仿宋_GB2312"/>
          <w:b w:val="0"/>
          <w:sz w:val="32"/>
        </w:rPr>
        <w:t>一、《收入支出决算总表》</w:t>
      </w:r>
    </w:p>
    <w:p w14:paraId="26383251">
      <w:pPr>
        <w:spacing w:line="240" w:lineRule="auto"/>
        <w:ind w:firstLine="640"/>
        <w:jc w:val="both"/>
      </w:pPr>
      <w:r>
        <w:rPr>
          <w:rFonts w:ascii="仿宋_GB2312" w:hAnsi="仿宋_GB2312" w:eastAsia="仿宋_GB2312"/>
          <w:b w:val="0"/>
          <w:sz w:val="32"/>
        </w:rPr>
        <w:t>二、《收入决算表》</w:t>
      </w:r>
    </w:p>
    <w:p w14:paraId="782C9F64">
      <w:pPr>
        <w:spacing w:line="240" w:lineRule="auto"/>
        <w:ind w:firstLine="640"/>
        <w:jc w:val="both"/>
      </w:pPr>
      <w:r>
        <w:rPr>
          <w:rFonts w:ascii="仿宋_GB2312" w:hAnsi="仿宋_GB2312" w:eastAsia="仿宋_GB2312"/>
          <w:b w:val="0"/>
          <w:sz w:val="32"/>
        </w:rPr>
        <w:t>三、《支出决算表》</w:t>
      </w:r>
    </w:p>
    <w:p w14:paraId="0206CA76">
      <w:pPr>
        <w:spacing w:line="240" w:lineRule="auto"/>
        <w:ind w:firstLine="640"/>
        <w:jc w:val="both"/>
      </w:pPr>
      <w:r>
        <w:rPr>
          <w:rFonts w:ascii="仿宋_GB2312" w:hAnsi="仿宋_GB2312" w:eastAsia="仿宋_GB2312"/>
          <w:b w:val="0"/>
          <w:sz w:val="32"/>
        </w:rPr>
        <w:t>四、《财政拨款收入支出决算总表》</w:t>
      </w:r>
    </w:p>
    <w:p w14:paraId="44654BC8">
      <w:pPr>
        <w:spacing w:line="240" w:lineRule="auto"/>
        <w:ind w:firstLine="640"/>
        <w:jc w:val="both"/>
      </w:pPr>
      <w:r>
        <w:rPr>
          <w:rFonts w:ascii="仿宋_GB2312" w:hAnsi="仿宋_GB2312" w:eastAsia="仿宋_GB2312"/>
          <w:b w:val="0"/>
          <w:sz w:val="32"/>
        </w:rPr>
        <w:t>五、《一般公共预算财政拨款支出决算表》</w:t>
      </w:r>
    </w:p>
    <w:p w14:paraId="2AEF53E0">
      <w:pPr>
        <w:spacing w:line="240" w:lineRule="auto"/>
        <w:ind w:firstLine="640"/>
        <w:jc w:val="both"/>
      </w:pPr>
      <w:r>
        <w:rPr>
          <w:rFonts w:ascii="仿宋_GB2312" w:hAnsi="仿宋_GB2312" w:eastAsia="仿宋_GB2312"/>
          <w:b w:val="0"/>
          <w:sz w:val="32"/>
        </w:rPr>
        <w:t>六、《一般公共预算财政拨款基本支出决算表》</w:t>
      </w:r>
    </w:p>
    <w:p w14:paraId="557E1426">
      <w:pPr>
        <w:spacing w:line="240" w:lineRule="auto"/>
        <w:ind w:firstLine="640"/>
        <w:jc w:val="both"/>
      </w:pPr>
      <w:r>
        <w:rPr>
          <w:rFonts w:ascii="仿宋_GB2312" w:hAnsi="仿宋_GB2312" w:eastAsia="仿宋_GB2312"/>
          <w:b w:val="0"/>
          <w:sz w:val="32"/>
        </w:rPr>
        <w:t>七、《政府性基金预算财政拨款收入支出决算表》</w:t>
      </w:r>
    </w:p>
    <w:p w14:paraId="7C018C7F">
      <w:pPr>
        <w:spacing w:line="240" w:lineRule="auto"/>
        <w:ind w:firstLine="640"/>
        <w:jc w:val="both"/>
      </w:pPr>
      <w:r>
        <w:rPr>
          <w:rFonts w:ascii="仿宋_GB2312" w:hAnsi="仿宋_GB2312" w:eastAsia="仿宋_GB2312"/>
          <w:b w:val="0"/>
          <w:sz w:val="32"/>
        </w:rPr>
        <w:t>八、《国有资本经营预算财政拨款收入支出决算表》</w:t>
      </w:r>
    </w:p>
    <w:p w14:paraId="5D9650BB">
      <w:pPr>
        <w:spacing w:line="240" w:lineRule="auto"/>
        <w:ind w:firstLine="640"/>
        <w:jc w:val="both"/>
      </w:pPr>
      <w:r>
        <w:rPr>
          <w:rFonts w:ascii="仿宋_GB2312" w:hAnsi="仿宋_GB2312" w:eastAsia="仿宋_GB2312"/>
          <w:b w:val="0"/>
          <w:sz w:val="32"/>
        </w:rPr>
        <w:t>九、《财政拨款“三公”经费支出决算表》</w:t>
      </w:r>
    </w:p>
    <w:p w14:paraId="40AF8C04">
      <w:pPr>
        <w:spacing w:line="240" w:lineRule="auto"/>
        <w:ind w:firstLine="640"/>
        <w:jc w:val="both"/>
      </w:pPr>
    </w:p>
    <w:p w14:paraId="415DE1F8">
      <w:pPr>
        <w:spacing w:line="240" w:lineRule="auto"/>
        <w:ind w:firstLine="640"/>
        <w:jc w:val="both"/>
      </w:pPr>
    </w:p>
    <w:p w14:paraId="4874A63C">
      <w:pPr>
        <w:spacing w:line="240" w:lineRule="auto"/>
        <w:ind w:firstLine="640"/>
        <w:jc w:val="both"/>
      </w:pPr>
    </w:p>
    <w:p w14:paraId="0ACFEE6C">
      <w:pPr>
        <w:spacing w:line="240" w:lineRule="auto"/>
        <w:ind w:firstLine="640"/>
        <w:jc w:val="both"/>
      </w:pPr>
    </w:p>
    <w:p w14:paraId="4ED6DC2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1MjNkYjVmZWQ2OTZhMTIzM2Q0N2EwOWRhYTM1NmM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C549BD"/>
    <w:rsid w:val="11E15093"/>
    <w:rsid w:val="120E0809"/>
    <w:rsid w:val="168E50BE"/>
    <w:rsid w:val="19071D6C"/>
    <w:rsid w:val="19B5554D"/>
    <w:rsid w:val="1B8F2D19"/>
    <w:rsid w:val="1C317E4F"/>
    <w:rsid w:val="1C472464"/>
    <w:rsid w:val="1DAF458D"/>
    <w:rsid w:val="1E086ACE"/>
    <w:rsid w:val="1E4B5CA5"/>
    <w:rsid w:val="1E640CE9"/>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0B8618C"/>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7493480"/>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8316D"/>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6176</Words>
  <Characters>7063</Characters>
  <Lines>0</Lines>
  <Paragraphs>0</Paragraphs>
  <TotalTime>9</TotalTime>
  <ScaleCrop>false</ScaleCrop>
  <LinksUpToDate>false</LinksUpToDate>
  <CharactersWithSpaces>7071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2025-12-26T03:41:52Z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eyJoZGlkIjoiNTU2MjViZmJjYjVhNzQ5YTFkM2E1YjkwZTE1NzBlMDgiLCJ1c2VySWQiOiIyMDM3MTI1NTkifQ==</vt:lpwstr>
  </property>
</Properties>
</file>