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B65288">
      <w:r>
        <w:br w:type="page"/>
      </w:r>
    </w:p>
    <w:p w14:paraId="5CFD0EF4">
      <w:pPr>
        <w:spacing w:line="640" w:lineRule="exact"/>
        <w:jc w:val="center"/>
        <w:outlineLvl w:val="1"/>
      </w:pPr>
      <w:r>
        <w:rPr>
          <w:rFonts w:ascii="黑体" w:hAnsi="黑体" w:eastAsia="黑体"/>
          <w:sz w:val="32"/>
        </w:rPr>
        <w:t>第一部分 单位概况</w:t>
      </w:r>
    </w:p>
    <w:p w14:paraId="46953F05">
      <w:pPr>
        <w:spacing w:line="640" w:lineRule="exact"/>
        <w:ind w:firstLine="640"/>
        <w:jc w:val="both"/>
        <w:outlineLvl w:val="2"/>
      </w:pPr>
      <w:r>
        <w:rPr>
          <w:rFonts w:ascii="黑体" w:hAnsi="黑体" w:eastAsia="黑体"/>
          <w:sz w:val="32"/>
        </w:rPr>
        <w:t>一、主要职能</w:t>
      </w:r>
    </w:p>
    <w:p w14:paraId="454B56B9">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一)认真学习研究党的基本理论、基本路线、基本纲领，紧密联系本县实际，为县政府提出贯彻落实的意见，提供科学决策的依据和决策方案。增强“为领导服务、为机关服务、为基层服务”的三大职能，全面做好综合服务工作，确保信息畅通，上情及时下达、下情及时上达。</w:t>
      </w:r>
    </w:p>
    <w:p w14:paraId="4DD115A3">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二)围绕县委、县政府各个时期的中心工作，领导关注的重大问题，开展调查研究，做好信息收集和反馈工作。</w:t>
      </w:r>
    </w:p>
    <w:p w14:paraId="782AAD28">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三)做好上级文件收发</w:t>
      </w:r>
      <w:r>
        <w:rPr>
          <w:rFonts w:hint="eastAsia" w:ascii="仿宋_GB2312" w:hAnsi="仿宋_GB2312" w:eastAsia="仿宋_GB2312"/>
          <w:sz w:val="32"/>
          <w:lang w:eastAsia="zh-CN"/>
        </w:rPr>
        <w:t>、传递、阅办</w:t>
      </w:r>
      <w:r>
        <w:rPr>
          <w:rFonts w:ascii="仿宋_GB2312" w:hAnsi="仿宋_GB2312" w:eastAsia="仿宋_GB2312"/>
          <w:sz w:val="32"/>
        </w:rPr>
        <w:t>及县政府公文的起草</w:t>
      </w:r>
      <w:r>
        <w:rPr>
          <w:rFonts w:hint="eastAsia" w:ascii="仿宋_GB2312" w:hAnsi="仿宋_GB2312" w:eastAsia="仿宋_GB2312"/>
          <w:sz w:val="32"/>
          <w:lang w:eastAsia="zh-CN"/>
        </w:rPr>
        <w:t>、审定、印发、</w:t>
      </w:r>
      <w:r>
        <w:rPr>
          <w:rFonts w:ascii="仿宋_GB2312" w:hAnsi="仿宋_GB2312" w:eastAsia="仿宋_GB2312"/>
          <w:sz w:val="32"/>
        </w:rPr>
        <w:t>分发立卷、归档工作，推进公文工作的</w:t>
      </w:r>
      <w:r>
        <w:rPr>
          <w:rFonts w:hint="eastAsia" w:ascii="仿宋_GB2312" w:hAnsi="仿宋_GB2312" w:eastAsia="仿宋_GB2312"/>
          <w:sz w:val="32"/>
          <w:lang w:eastAsia="zh-CN"/>
        </w:rPr>
        <w:t>制度化、规范化、科学化</w:t>
      </w:r>
      <w:r>
        <w:rPr>
          <w:rFonts w:ascii="仿宋_GB2312" w:hAnsi="仿宋_GB2312" w:eastAsia="仿宋_GB2312"/>
          <w:sz w:val="32"/>
        </w:rPr>
        <w:t>。</w:t>
      </w:r>
    </w:p>
    <w:p w14:paraId="0B11AEA3">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四)负责政府系统的机要、保密工作，做好政府机关要电和普通电传的收发、呈送、传阅、立卷、归档工作。严格执行保密规定，严防失泄密事件的发生。</w:t>
      </w:r>
    </w:p>
    <w:p w14:paraId="6EB95AF6">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五)负责县政府全体会议、县长办公会议、政府常务会议、政府党组会议、政府民主生活会</w:t>
      </w:r>
      <w:r>
        <w:rPr>
          <w:rFonts w:hint="eastAsia" w:ascii="仿宋_GB2312" w:hAnsi="仿宋_GB2312" w:eastAsia="仿宋_GB2312"/>
          <w:sz w:val="32"/>
          <w:lang w:eastAsia="zh-CN"/>
        </w:rPr>
        <w:t>以及</w:t>
      </w:r>
      <w:r>
        <w:rPr>
          <w:rFonts w:ascii="仿宋_GB2312" w:hAnsi="仿宋_GB2312" w:eastAsia="仿宋_GB2312"/>
          <w:sz w:val="32"/>
        </w:rPr>
        <w:t>县政府召开的各类工作会议的秘书、翻译、会务服务工作，组织实施会议决议。</w:t>
      </w:r>
    </w:p>
    <w:p w14:paraId="27A852E5">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六)根据领导指示和办文办会的需要，认真协调政府机关和各单位之间的关系，更好</w:t>
      </w:r>
      <w:r>
        <w:rPr>
          <w:rFonts w:hint="eastAsia" w:ascii="仿宋_GB2312" w:hAnsi="仿宋_GB2312" w:eastAsia="仿宋_GB2312"/>
          <w:sz w:val="32"/>
          <w:lang w:eastAsia="zh-CN"/>
        </w:rPr>
        <w:t>地</w:t>
      </w:r>
      <w:r>
        <w:rPr>
          <w:rFonts w:ascii="仿宋_GB2312" w:hAnsi="仿宋_GB2312" w:eastAsia="仿宋_GB2312"/>
          <w:sz w:val="32"/>
        </w:rPr>
        <w:t>完成县委、县政府的各项任务。</w:t>
      </w:r>
    </w:p>
    <w:p w14:paraId="774303EC">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七)负责人大代表、政协委员对政府的建议、批评意见及提案的办理和答复工作。</w:t>
      </w:r>
    </w:p>
    <w:p w14:paraId="5197075F">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八)负责法制办公室的工作。</w:t>
      </w:r>
    </w:p>
    <w:p w14:paraId="77824A6B">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九)统一管理政府机关的经费预算、物资分配、房产基建</w:t>
      </w:r>
      <w:bookmarkStart w:id="0" w:name="_GoBack"/>
      <w:bookmarkEnd w:id="0"/>
      <w:r>
        <w:rPr>
          <w:rFonts w:ascii="仿宋_GB2312" w:hAnsi="仿宋_GB2312" w:eastAsia="仿宋_GB2312"/>
          <w:sz w:val="32"/>
        </w:rPr>
        <w:t>及</w:t>
      </w:r>
      <w:r>
        <w:rPr>
          <w:rFonts w:hint="eastAsia" w:ascii="仿宋_GB2312" w:hAnsi="仿宋_GB2312" w:eastAsia="仿宋_GB2312"/>
          <w:sz w:val="32"/>
          <w:lang w:eastAsia="zh-CN"/>
        </w:rPr>
        <w:t>其他</w:t>
      </w:r>
      <w:r>
        <w:rPr>
          <w:rFonts w:ascii="仿宋_GB2312" w:hAnsi="仿宋_GB2312" w:eastAsia="仿宋_GB2312"/>
          <w:sz w:val="32"/>
        </w:rPr>
        <w:t>行政事务，负责机关纪律、机关政治学习、机关安全保卫工作。</w:t>
      </w:r>
    </w:p>
    <w:p w14:paraId="6E4BAC5A">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十)做好文书处理、会务接待工作。</w:t>
      </w:r>
    </w:p>
    <w:p w14:paraId="58C98585">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十一)负责协调相关单位做好我县各类突发公共事件的应急处理。</w:t>
      </w:r>
    </w:p>
    <w:p w14:paraId="609C9A65">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十二)负责外事侨务工作。</w:t>
      </w:r>
    </w:p>
    <w:p w14:paraId="3DBA24B1">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十三)负责全县的语言文字</w:t>
      </w:r>
      <w:r>
        <w:rPr>
          <w:rFonts w:hint="eastAsia" w:ascii="仿宋_GB2312" w:hAnsi="仿宋_GB2312" w:eastAsia="仿宋_GB2312"/>
          <w:sz w:val="32"/>
          <w:lang w:eastAsia="zh-CN"/>
        </w:rPr>
        <w:t>工作</w:t>
      </w:r>
      <w:r>
        <w:rPr>
          <w:rFonts w:ascii="仿宋_GB2312" w:hAnsi="仿宋_GB2312" w:eastAsia="仿宋_GB2312"/>
          <w:sz w:val="32"/>
        </w:rPr>
        <w:t>。</w:t>
      </w:r>
    </w:p>
    <w:p w14:paraId="48DCC8F7">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十四)协助县政府领导处理突发事件和县政府领导交办的临时工作。</w:t>
      </w:r>
    </w:p>
    <w:p w14:paraId="61E2308B">
      <w:pPr>
        <w:spacing w:line="640" w:lineRule="exact"/>
        <w:ind w:firstLine="640"/>
        <w:jc w:val="both"/>
        <w:outlineLvl w:val="2"/>
      </w:pPr>
      <w:r>
        <w:rPr>
          <w:rFonts w:ascii="黑体" w:hAnsi="黑体" w:eastAsia="黑体"/>
          <w:sz w:val="32"/>
        </w:rPr>
        <w:t>二、机构设置及人员情况</w:t>
      </w:r>
    </w:p>
    <w:p w14:paraId="7263B039">
      <w:pPr>
        <w:spacing w:line="580" w:lineRule="exact"/>
        <w:ind w:firstLine="640"/>
        <w:jc w:val="both"/>
      </w:pPr>
      <w:r>
        <w:rPr>
          <w:rFonts w:ascii="仿宋_GB2312" w:hAnsi="仿宋_GB2312" w:eastAsia="仿宋_GB2312"/>
          <w:sz w:val="32"/>
        </w:rPr>
        <w:t>英吉沙县人民政府办公室2024年度，实有人数50人，其中：在职人员32人，减少8人；离休人员0人，增加0人；退休人员18人,减少6人。</w:t>
      </w:r>
    </w:p>
    <w:p w14:paraId="06A1331D">
      <w:pPr>
        <w:spacing w:line="580" w:lineRule="exact"/>
        <w:ind w:firstLine="640"/>
        <w:jc w:val="both"/>
      </w:pPr>
      <w:r>
        <w:rPr>
          <w:rFonts w:ascii="仿宋_GB2312" w:hAnsi="仿宋_GB2312" w:eastAsia="仿宋_GB2312"/>
          <w:sz w:val="32"/>
        </w:rPr>
        <w:t>英吉沙县人民政府办公室无下属预算单位，下设5个科室，分别是：文秘室、机关服务中心、电子政务室、财务室、政府采购中心。</w:t>
      </w:r>
    </w:p>
    <w:p w14:paraId="55A106B6">
      <w:r>
        <w:br w:type="page"/>
      </w:r>
    </w:p>
    <w:p w14:paraId="2E45CD57">
      <w:pPr>
        <w:spacing w:line="240" w:lineRule="auto"/>
        <w:jc w:val="center"/>
        <w:outlineLvl w:val="1"/>
      </w:pPr>
      <w:r>
        <w:rPr>
          <w:rFonts w:ascii="黑体" w:hAnsi="黑体" w:eastAsia="黑体"/>
          <w:sz w:val="32"/>
        </w:rPr>
        <w:t>第二部分 部门决算情况说明</w:t>
      </w:r>
    </w:p>
    <w:p w14:paraId="398D01C7">
      <w:pPr>
        <w:spacing w:line="640" w:lineRule="exact"/>
        <w:ind w:firstLine="640"/>
        <w:jc w:val="both"/>
        <w:outlineLvl w:val="2"/>
      </w:pPr>
      <w:r>
        <w:rPr>
          <w:rFonts w:ascii="黑体" w:hAnsi="黑体" w:eastAsia="黑体"/>
          <w:sz w:val="32"/>
        </w:rPr>
        <w:t>一、收入支出决算总体情况说明</w:t>
      </w:r>
    </w:p>
    <w:p w14:paraId="2B869019">
      <w:pPr>
        <w:spacing w:line="580" w:lineRule="exact"/>
        <w:ind w:firstLine="640"/>
        <w:jc w:val="both"/>
      </w:pPr>
      <w:r>
        <w:rPr>
          <w:rFonts w:ascii="仿宋_GB2312" w:hAnsi="仿宋_GB2312" w:eastAsia="仿宋_GB2312"/>
          <w:b/>
          <w:sz w:val="32"/>
        </w:rPr>
        <w:t>2024年度收入总计905.82万元，</w:t>
      </w:r>
      <w:r>
        <w:rPr>
          <w:rFonts w:ascii="仿宋_GB2312" w:hAnsi="仿宋_GB2312" w:eastAsia="仿宋_GB2312"/>
          <w:b w:val="0"/>
          <w:sz w:val="32"/>
        </w:rPr>
        <w:t>其中：本年收入合计905.82万元，使用非财政拨款结余（含专用结余）0.00万元，年初结转和结余0.00万元。</w:t>
      </w:r>
    </w:p>
    <w:p w14:paraId="7089E871">
      <w:pPr>
        <w:spacing w:line="580" w:lineRule="exact"/>
        <w:ind w:firstLine="640"/>
        <w:jc w:val="both"/>
      </w:pPr>
      <w:r>
        <w:rPr>
          <w:rFonts w:ascii="仿宋_GB2312" w:hAnsi="仿宋_GB2312" w:eastAsia="仿宋_GB2312"/>
          <w:b/>
          <w:sz w:val="32"/>
        </w:rPr>
        <w:t>2024年度支出总计905.82万元，</w:t>
      </w:r>
      <w:r>
        <w:rPr>
          <w:rFonts w:ascii="仿宋_GB2312" w:hAnsi="仿宋_GB2312" w:eastAsia="仿宋_GB2312"/>
          <w:b w:val="0"/>
          <w:sz w:val="32"/>
        </w:rPr>
        <w:t>其中：本年支出合计905.82万元，结余分配0.00万元，年末结转和结余0.00万元。</w:t>
      </w:r>
    </w:p>
    <w:p w14:paraId="2914665A">
      <w:pPr>
        <w:spacing w:line="580" w:lineRule="exact"/>
        <w:ind w:firstLine="640"/>
        <w:jc w:val="both"/>
      </w:pPr>
      <w:r>
        <w:rPr>
          <w:rFonts w:ascii="仿宋_GB2312" w:hAnsi="仿宋_GB2312" w:eastAsia="仿宋_GB2312"/>
          <w:b w:val="0"/>
          <w:sz w:val="32"/>
        </w:rPr>
        <w:t>收入支出总体与上年相比，减少235.66万元，下降20.65%，主要原因是：本年在职人员减少，相关人员经费减少；本年减少统计局人口普查，劳务输出办就业补助经费项目。</w:t>
      </w:r>
    </w:p>
    <w:p w14:paraId="09291DA6">
      <w:pPr>
        <w:spacing w:line="640" w:lineRule="exact"/>
        <w:ind w:firstLine="640"/>
        <w:jc w:val="both"/>
        <w:outlineLvl w:val="2"/>
      </w:pPr>
      <w:r>
        <w:rPr>
          <w:rFonts w:ascii="黑体" w:hAnsi="黑体" w:eastAsia="黑体"/>
          <w:sz w:val="32"/>
        </w:rPr>
        <w:t>二、收入决算情况说明</w:t>
      </w:r>
    </w:p>
    <w:p w14:paraId="785176AE">
      <w:pPr>
        <w:spacing w:line="580" w:lineRule="exact"/>
        <w:ind w:firstLine="640"/>
        <w:jc w:val="both"/>
      </w:pPr>
      <w:r>
        <w:rPr>
          <w:rFonts w:ascii="仿宋_GB2312" w:hAnsi="仿宋_GB2312" w:eastAsia="仿宋_GB2312"/>
          <w:b/>
          <w:sz w:val="32"/>
        </w:rPr>
        <w:t>本年收入905.82万元，</w:t>
      </w:r>
      <w:r>
        <w:rPr>
          <w:rFonts w:ascii="仿宋_GB2312" w:hAnsi="仿宋_GB2312" w:eastAsia="仿宋_GB2312"/>
          <w:b w:val="0"/>
          <w:sz w:val="32"/>
        </w:rPr>
        <w:t>其中：财政拨款收入832.62万元，占91.92%；上级补助收入0.00万元，占0.00%；事业收入0.00万元，占0.00%；经营收入0.00万元，占0.00%；附属单位上缴收入0.00万元，占0.00%；其他收入73.21万元，占8.08%。</w:t>
      </w:r>
    </w:p>
    <w:p w14:paraId="0367F490">
      <w:pPr>
        <w:spacing w:line="640" w:lineRule="exact"/>
        <w:ind w:firstLine="640"/>
        <w:jc w:val="both"/>
        <w:outlineLvl w:val="2"/>
      </w:pPr>
      <w:r>
        <w:rPr>
          <w:rFonts w:ascii="黑体" w:hAnsi="黑体" w:eastAsia="黑体"/>
          <w:sz w:val="32"/>
        </w:rPr>
        <w:t>三、支出决算情况说明</w:t>
      </w:r>
    </w:p>
    <w:p w14:paraId="5B8D8929">
      <w:pPr>
        <w:spacing w:line="580" w:lineRule="exact"/>
        <w:ind w:firstLine="640"/>
        <w:jc w:val="both"/>
      </w:pPr>
      <w:r>
        <w:rPr>
          <w:rFonts w:ascii="仿宋_GB2312" w:hAnsi="仿宋_GB2312" w:eastAsia="仿宋_GB2312"/>
          <w:b/>
          <w:sz w:val="32"/>
        </w:rPr>
        <w:t>本年支出905.82万元，</w:t>
      </w:r>
      <w:r>
        <w:rPr>
          <w:rFonts w:ascii="仿宋_GB2312" w:hAnsi="仿宋_GB2312" w:eastAsia="仿宋_GB2312"/>
          <w:b w:val="0"/>
          <w:sz w:val="32"/>
        </w:rPr>
        <w:t>其中：基本支出707.42万元，占78.10%；项目支出198.41万元，占21.90%；上缴上级支出0.00万元，占0.00%；经营支出0.00万元，占0.00%；对附属单位补助支出0.00万元，占0.00%。</w:t>
      </w:r>
    </w:p>
    <w:p w14:paraId="622FDC28">
      <w:pPr>
        <w:spacing w:line="640" w:lineRule="exact"/>
        <w:ind w:firstLine="640"/>
        <w:jc w:val="both"/>
        <w:outlineLvl w:val="2"/>
      </w:pPr>
      <w:r>
        <w:rPr>
          <w:rFonts w:ascii="黑体" w:hAnsi="黑体" w:eastAsia="黑体"/>
          <w:sz w:val="32"/>
        </w:rPr>
        <w:t>四、财政拨款收入支出决算总体情况说明</w:t>
      </w:r>
    </w:p>
    <w:p w14:paraId="0D44B7B6">
      <w:pPr>
        <w:spacing w:line="580" w:lineRule="exact"/>
        <w:ind w:firstLine="640"/>
        <w:jc w:val="both"/>
      </w:pPr>
      <w:r>
        <w:rPr>
          <w:rFonts w:ascii="仿宋_GB2312" w:hAnsi="仿宋_GB2312" w:eastAsia="仿宋_GB2312"/>
          <w:b/>
          <w:sz w:val="32"/>
        </w:rPr>
        <w:t>2024年度财政拨款收入总计832.62万元，</w:t>
      </w:r>
      <w:r>
        <w:rPr>
          <w:rFonts w:ascii="仿宋_GB2312" w:hAnsi="仿宋_GB2312" w:eastAsia="仿宋_GB2312"/>
          <w:b w:val="0"/>
          <w:sz w:val="32"/>
        </w:rPr>
        <w:t>其中：年初财政拨款结转和结余0.00万元，本年财政拨款收入832.62万元。</w:t>
      </w:r>
      <w:r>
        <w:rPr>
          <w:rFonts w:ascii="仿宋_GB2312" w:hAnsi="仿宋_GB2312" w:eastAsia="仿宋_GB2312"/>
          <w:b/>
          <w:sz w:val="32"/>
        </w:rPr>
        <w:t>财政拨款支出总计832.62万元，</w:t>
      </w:r>
      <w:r>
        <w:rPr>
          <w:rFonts w:ascii="仿宋_GB2312" w:hAnsi="仿宋_GB2312" w:eastAsia="仿宋_GB2312"/>
          <w:b w:val="0"/>
          <w:sz w:val="32"/>
        </w:rPr>
        <w:t>其中：年末财政拨款结转和结余0.00万元，本年财政拨款支出832.62万元。</w:t>
      </w:r>
    </w:p>
    <w:p w14:paraId="059FD6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减少302.86万元，下降26.67%，主要原因是：本年在职人员减少，相关人员经费减少；本年减少统计局人口普查，劳务输出办就业补助经费项目。</w:t>
      </w:r>
      <w:r>
        <w:rPr>
          <w:rFonts w:ascii="仿宋_GB2312" w:hAnsi="仿宋_GB2312" w:eastAsia="仿宋_GB2312"/>
          <w:b/>
          <w:sz w:val="32"/>
        </w:rPr>
        <w:t>与年初预算相比，</w:t>
      </w:r>
      <w:r>
        <w:rPr>
          <w:rFonts w:ascii="仿宋_GB2312" w:hAnsi="仿宋_GB2312" w:eastAsia="仿宋_GB2312"/>
          <w:b w:val="0"/>
          <w:sz w:val="32"/>
        </w:rPr>
        <w:t>年初预算数740.83万元，决算数832.62万元，预决算差异率12.39%，主要原因是：年中追加人员工资、社保、公积金基数调增部分资金；年中追加英吉沙县优化营商环境提升项目，导致预决算存在差异。</w:t>
      </w:r>
    </w:p>
    <w:p w14:paraId="108DEC76">
      <w:pPr>
        <w:spacing w:line="640" w:lineRule="exact"/>
        <w:ind w:firstLine="640"/>
        <w:jc w:val="both"/>
        <w:outlineLvl w:val="2"/>
      </w:pPr>
      <w:r>
        <w:rPr>
          <w:rFonts w:ascii="黑体" w:hAnsi="黑体" w:eastAsia="黑体"/>
          <w:sz w:val="32"/>
        </w:rPr>
        <w:t>五、一般公共预算财政拨款支出决算情况说明</w:t>
      </w:r>
    </w:p>
    <w:p w14:paraId="05665144">
      <w:pPr>
        <w:spacing w:line="640" w:lineRule="exact"/>
        <w:ind w:firstLine="640"/>
        <w:jc w:val="both"/>
        <w:outlineLvl w:val="3"/>
      </w:pPr>
      <w:r>
        <w:rPr>
          <w:rFonts w:ascii="楷体_GB2312" w:hAnsi="楷体_GB2312" w:eastAsia="楷体_GB2312"/>
          <w:b/>
          <w:sz w:val="32"/>
        </w:rPr>
        <w:t>（一）一般公共预算财政拨款支出决算总体情况</w:t>
      </w:r>
    </w:p>
    <w:p w14:paraId="1B5AFAB1">
      <w:pPr>
        <w:spacing w:line="580" w:lineRule="exact"/>
        <w:ind w:firstLine="640"/>
        <w:jc w:val="both"/>
      </w:pPr>
      <w:r>
        <w:rPr>
          <w:rFonts w:ascii="仿宋_GB2312" w:hAnsi="仿宋_GB2312" w:eastAsia="仿宋_GB2312"/>
          <w:b/>
          <w:sz w:val="32"/>
        </w:rPr>
        <w:t>2024年度一般公共预算财政拨款支出832.62万元，</w:t>
      </w:r>
      <w:r>
        <w:rPr>
          <w:rFonts w:ascii="仿宋_GB2312" w:hAnsi="仿宋_GB2312" w:eastAsia="仿宋_GB2312"/>
          <w:b w:val="0"/>
          <w:sz w:val="32"/>
        </w:rPr>
        <w:t>占本年支出合计的91.92%。</w:t>
      </w:r>
      <w:r>
        <w:rPr>
          <w:rFonts w:ascii="仿宋_GB2312" w:hAnsi="仿宋_GB2312" w:eastAsia="仿宋_GB2312"/>
          <w:b/>
          <w:sz w:val="32"/>
        </w:rPr>
        <w:t>与上年相比，</w:t>
      </w:r>
      <w:r>
        <w:rPr>
          <w:rFonts w:ascii="仿宋_GB2312" w:hAnsi="仿宋_GB2312" w:eastAsia="仿宋_GB2312"/>
          <w:b w:val="0"/>
          <w:sz w:val="32"/>
        </w:rPr>
        <w:t>减少302.86万元，下降26.67%，主要原因是：本年在职人员减少，相关人员经费减少；本年减少统计局人口普查，劳务输出办就业补助经费项目。</w:t>
      </w:r>
      <w:r>
        <w:rPr>
          <w:rFonts w:ascii="仿宋_GB2312" w:hAnsi="仿宋_GB2312" w:eastAsia="仿宋_GB2312"/>
          <w:b/>
          <w:sz w:val="32"/>
        </w:rPr>
        <w:t>与年初预算相比,</w:t>
      </w:r>
      <w:r>
        <w:rPr>
          <w:rFonts w:ascii="仿宋_GB2312" w:hAnsi="仿宋_GB2312" w:eastAsia="仿宋_GB2312"/>
          <w:b w:val="0"/>
          <w:sz w:val="32"/>
        </w:rPr>
        <w:t>年初预算数740.83万元，决算数832.62万元，预决算差异率12.39%</w:t>
      </w:r>
      <w:r>
        <w:rPr>
          <w:rFonts w:hint="eastAsia" w:ascii="仿宋_GB2312" w:hAnsi="仿宋_GB2312" w:eastAsia="仿宋_GB2312"/>
          <w:b w:val="0"/>
          <w:sz w:val="32"/>
          <w:lang w:eastAsia="zh-CN"/>
        </w:rPr>
        <w:t>。</w:t>
      </w:r>
      <w:r>
        <w:rPr>
          <w:rFonts w:ascii="仿宋_GB2312" w:hAnsi="仿宋_GB2312" w:eastAsia="仿宋_GB2312"/>
          <w:b w:val="0"/>
          <w:sz w:val="32"/>
        </w:rPr>
        <w:t>主要原因是：年中追加人员工资、社保、公积金基数调增部分资金；年中追加英吉沙县优化营商环境提升项目，导致预决算存在差异。</w:t>
      </w:r>
    </w:p>
    <w:p w14:paraId="35B14BE7">
      <w:pPr>
        <w:spacing w:line="640" w:lineRule="exact"/>
        <w:ind w:firstLine="640"/>
        <w:jc w:val="both"/>
        <w:outlineLvl w:val="3"/>
      </w:pPr>
      <w:r>
        <w:rPr>
          <w:rFonts w:ascii="楷体_GB2312" w:hAnsi="楷体_GB2312" w:eastAsia="楷体_GB2312"/>
          <w:b/>
          <w:sz w:val="32"/>
        </w:rPr>
        <w:t>（二）一般公共预算财政拨款支出决算结构情况</w:t>
      </w:r>
    </w:p>
    <w:p w14:paraId="09A1B199">
      <w:pPr>
        <w:spacing w:line="580" w:lineRule="exact"/>
        <w:ind w:firstLine="640"/>
        <w:jc w:val="both"/>
      </w:pPr>
      <w:r>
        <w:rPr>
          <w:rFonts w:ascii="仿宋_GB2312" w:hAnsi="仿宋_GB2312" w:eastAsia="仿宋_GB2312"/>
          <w:b w:val="0"/>
          <w:sz w:val="32"/>
        </w:rPr>
        <w:t>1.一般公共服务支出(类)676.85万元,占81.29%。</w:t>
      </w:r>
    </w:p>
    <w:p w14:paraId="638E1EC4">
      <w:pPr>
        <w:spacing w:line="580" w:lineRule="exact"/>
        <w:ind w:firstLine="640"/>
        <w:jc w:val="both"/>
      </w:pPr>
      <w:r>
        <w:rPr>
          <w:rFonts w:ascii="仿宋_GB2312" w:hAnsi="仿宋_GB2312" w:eastAsia="仿宋_GB2312"/>
          <w:b w:val="0"/>
          <w:sz w:val="32"/>
        </w:rPr>
        <w:t>2.社会保障和就业支出(类)90.13万元,占10.82%。</w:t>
      </w:r>
    </w:p>
    <w:p w14:paraId="32F93A29">
      <w:pPr>
        <w:spacing w:line="580" w:lineRule="exact"/>
        <w:ind w:firstLine="640"/>
        <w:jc w:val="both"/>
      </w:pPr>
      <w:r>
        <w:rPr>
          <w:rFonts w:ascii="仿宋_GB2312" w:hAnsi="仿宋_GB2312" w:eastAsia="仿宋_GB2312"/>
          <w:b w:val="0"/>
          <w:sz w:val="32"/>
        </w:rPr>
        <w:t>3.卫生健康支出(类)22.26万元,占2.67%。</w:t>
      </w:r>
    </w:p>
    <w:p w14:paraId="5FEC8001">
      <w:pPr>
        <w:spacing w:line="580" w:lineRule="exact"/>
        <w:ind w:firstLine="640"/>
        <w:jc w:val="both"/>
      </w:pPr>
      <w:r>
        <w:rPr>
          <w:rFonts w:ascii="仿宋_GB2312" w:hAnsi="仿宋_GB2312" w:eastAsia="仿宋_GB2312"/>
          <w:b w:val="0"/>
          <w:sz w:val="32"/>
        </w:rPr>
        <w:t>4.住房保障支出(类)43.38万元,占5.21%。</w:t>
      </w:r>
    </w:p>
    <w:p w14:paraId="50DF2995">
      <w:pPr>
        <w:spacing w:line="640" w:lineRule="exact"/>
        <w:ind w:firstLine="640"/>
        <w:jc w:val="both"/>
        <w:outlineLvl w:val="3"/>
      </w:pPr>
      <w:r>
        <w:rPr>
          <w:rFonts w:ascii="楷体_GB2312" w:hAnsi="楷体_GB2312" w:eastAsia="楷体_GB2312"/>
          <w:b/>
          <w:sz w:val="32"/>
        </w:rPr>
        <w:t>（三）一般公共预算财政拨款支出决算具体情况</w:t>
      </w:r>
    </w:p>
    <w:p w14:paraId="58C9F379">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1.一般公共服务支出(类)政府办公厅（室）及相关机构事务(款)行政运行(项):支出决算数为478.45万元，比上年决算减少85.30万元，下降15.13%,主要原因是：本年在职人员减少，相应人员经费较上年减少。</w:t>
      </w:r>
    </w:p>
    <w:p w14:paraId="04510D71">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2.一般公共服务支出(类)政府办公厅（室）及相关机构事务(款)一般行政管理事务(项):支出决算数为125.20万元，比上年决算增加93.50万元，增长294.95%,主要原因是：本年增加英吉沙县优化营商环境提升项目。</w:t>
      </w:r>
    </w:p>
    <w:p w14:paraId="3DEC6E09">
      <w:pPr>
        <w:spacing w:line="580" w:lineRule="exact"/>
        <w:ind w:firstLine="640"/>
        <w:jc w:val="both"/>
      </w:pPr>
      <w:r>
        <w:rPr>
          <w:rFonts w:ascii="仿宋_GB2312" w:hAnsi="仿宋_GB2312" w:eastAsia="仿宋_GB2312"/>
          <w:b w:val="0"/>
          <w:sz w:val="32"/>
        </w:rPr>
        <w:t>3.一般公共服务支出(类)政府办公厅（室）及相关机构事务(款)信访事务(项):支出决算数为0.00万元，比上年决算减少23.41万元，下降100.00%,主要原因是：县信访局划出单位单独核算，本年无此科目支出。</w:t>
      </w:r>
    </w:p>
    <w:p w14:paraId="1E85DF71">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4.一般公共服务支出(类)政府办公厅（室）及相关机构事务(款)事业运行(项):支出决算数为62.15万元，比上年决算减少37.11万元，下降37.39%,主要原因是：本年在职人员减少，相应人员经费较上年减少。</w:t>
      </w:r>
    </w:p>
    <w:p w14:paraId="751D4CF7">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支出决算数为11.05万元，比上年决算减少57.59万元，下降83.90%,主要原因是：本年委托业务费、抚恤金支出经费减少。</w:t>
      </w:r>
    </w:p>
    <w:p w14:paraId="209B5943">
      <w:pPr>
        <w:spacing w:line="580" w:lineRule="exact"/>
        <w:ind w:firstLine="640"/>
        <w:jc w:val="both"/>
      </w:pPr>
      <w:r>
        <w:rPr>
          <w:rFonts w:ascii="仿宋_GB2312" w:hAnsi="仿宋_GB2312" w:eastAsia="仿宋_GB2312"/>
          <w:b w:val="0"/>
          <w:sz w:val="32"/>
        </w:rPr>
        <w:t>6.一般公共服务支出(类)统计信息事务(款)专项统计业务(项):支出决算数为0.00万元，比上年决算减少2.36万元，下降100.00%,主要原因是：县统计局划出单位单独核算，本年无此科目支出。</w:t>
      </w:r>
    </w:p>
    <w:p w14:paraId="234D1F45">
      <w:pPr>
        <w:spacing w:line="580" w:lineRule="exact"/>
        <w:ind w:firstLine="640"/>
        <w:jc w:val="both"/>
      </w:pPr>
      <w:r>
        <w:rPr>
          <w:rFonts w:ascii="仿宋_GB2312" w:hAnsi="仿宋_GB2312" w:eastAsia="仿宋_GB2312"/>
          <w:b w:val="0"/>
          <w:sz w:val="32"/>
        </w:rPr>
        <w:t>7.一般公共服务支出(类)统计信息事务(款)专项普查活动(项):支出决算数为0.00万元，比上年决算减少5.83万元，下降100.00%,主要原因是：县统计局划出单位单独核算，本年无此科目支出。</w:t>
      </w:r>
    </w:p>
    <w:p w14:paraId="0AABCA34">
      <w:pPr>
        <w:spacing w:line="580" w:lineRule="exact"/>
        <w:ind w:firstLine="640"/>
        <w:jc w:val="both"/>
      </w:pPr>
      <w:r>
        <w:rPr>
          <w:rFonts w:ascii="仿宋_GB2312" w:hAnsi="仿宋_GB2312" w:eastAsia="仿宋_GB2312"/>
          <w:b w:val="0"/>
          <w:sz w:val="32"/>
        </w:rPr>
        <w:t>8.一般公共服务支出(类)统计信息事务(款)统计抽样调查(项):支出决算数为0.00万元，比上年决算减少35.74万元，下降100.00%,主要原因是：县统计局划出单位单独核算，本年无此科目支出。</w:t>
      </w:r>
    </w:p>
    <w:p w14:paraId="64A059F0">
      <w:pPr>
        <w:spacing w:line="580" w:lineRule="exact"/>
        <w:ind w:firstLine="640"/>
        <w:jc w:val="both"/>
      </w:pPr>
      <w:r>
        <w:rPr>
          <w:rFonts w:ascii="仿宋_GB2312" w:hAnsi="仿宋_GB2312" w:eastAsia="仿宋_GB2312"/>
          <w:b w:val="0"/>
          <w:sz w:val="32"/>
        </w:rPr>
        <w:t>9.一般公共服务支出(类)其他一般公共服务支出(款)其他一般公共服务支出(项):支出决算数为0.00万元，比上年决算减少2.40万元，下降100.00%,主要原因是：县劳务输出中心划出单位单独核算，本年无此科目支出。</w:t>
      </w:r>
    </w:p>
    <w:p w14:paraId="0E66B2C0">
      <w:pPr>
        <w:spacing w:line="580" w:lineRule="exact"/>
        <w:ind w:firstLine="640"/>
        <w:jc w:val="both"/>
      </w:pPr>
      <w:r>
        <w:rPr>
          <w:rFonts w:ascii="仿宋_GB2312" w:hAnsi="仿宋_GB2312" w:eastAsia="仿宋_GB2312"/>
          <w:b w:val="0"/>
          <w:sz w:val="32"/>
        </w:rPr>
        <w:t>10.社会保障和就业支出(类)人力资源和社会保障管理事务(款)其他人力资源和社会保障管理事务支出(项):支出决算数为0.00万元，比上年决算减少55.31万元，下降100.00%,主要原因是：县劳务输出中心划出单位单独核算，本年无此科目支出。</w:t>
      </w:r>
    </w:p>
    <w:p w14:paraId="41474334">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11.社会保障和就业支出(类)行政事业单位养老支出(款)行政单位离退休(项):支出决算数为22.66万元，比上年决算增加6.87万元，增长43.51%,主要原因是：本年增加退休人员基础绩效奖，退休费支出增加。</w:t>
      </w:r>
    </w:p>
    <w:p w14:paraId="2D3D5DE8">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54.11万元，比上年决算减少11.88万元，下降18.00%,主要原因是：本年在职人员减少，单位基本养老保险缴费较上年减少。</w:t>
      </w:r>
    </w:p>
    <w:p w14:paraId="012068FA">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13.36万元，比上年决算减少0.15万元，下降1.11%,主要原因是：本年新增退休人员较上年减少，职业年金缴费较上年减少。</w:t>
      </w:r>
    </w:p>
    <w:p w14:paraId="08575FC3">
      <w:pPr>
        <w:spacing w:line="580" w:lineRule="exact"/>
        <w:ind w:firstLine="640"/>
        <w:jc w:val="both"/>
      </w:pPr>
      <w:r>
        <w:rPr>
          <w:rFonts w:ascii="仿宋_GB2312" w:hAnsi="仿宋_GB2312" w:eastAsia="仿宋_GB2312"/>
          <w:b w:val="0"/>
          <w:sz w:val="32"/>
        </w:rPr>
        <w:t>14.社会保障和就业支出(类)就业补助(款)其他就业补助支出(项):支出决算数为0.00万元，比上年决算减少9.87万元，下降100.00%,主要原因是：县劳务输出中心划出单位单独核算，本年无此科目支出。</w:t>
      </w:r>
    </w:p>
    <w:p w14:paraId="655327F1">
      <w:pPr>
        <w:spacing w:line="580" w:lineRule="exact"/>
        <w:ind w:firstLine="640"/>
        <w:jc w:val="both"/>
      </w:pPr>
      <w:r>
        <w:rPr>
          <w:rFonts w:ascii="仿宋_GB2312" w:hAnsi="仿宋_GB2312" w:eastAsia="仿宋_GB2312"/>
          <w:b w:val="0"/>
          <w:sz w:val="32"/>
        </w:rPr>
        <w:t>15.卫生健康支出(类)行政事业单位医疗(款)行政单位医疗(项):支出决算数为18.79万元，比上年决算减少19.96万元，下降51.51%,主要原因是：本年在职人员减少，行政单位医疗支出较上年减少。</w:t>
      </w:r>
    </w:p>
    <w:p w14:paraId="2A6579A5">
      <w:pPr>
        <w:spacing w:line="580" w:lineRule="exact"/>
        <w:ind w:firstLine="640"/>
        <w:jc w:val="both"/>
      </w:pPr>
      <w:r>
        <w:rPr>
          <w:rFonts w:ascii="仿宋_GB2312" w:hAnsi="仿宋_GB2312" w:eastAsia="仿宋_GB2312"/>
          <w:b w:val="0"/>
          <w:sz w:val="32"/>
        </w:rPr>
        <w:t>16.卫生健康支出(类)行政事业单位医疗(款)公务员医疗补助(项):支出决算数为3.47万元，比上年决算减少4.65万元，下降57.27%,主要原因是：本年在职人员减少，公务员医疗补助较上年减少。</w:t>
      </w:r>
    </w:p>
    <w:p w14:paraId="6E86C08D">
      <w:pPr>
        <w:spacing w:line="580" w:lineRule="exact"/>
        <w:ind w:firstLine="640"/>
        <w:jc w:val="both"/>
      </w:pPr>
      <w:r>
        <w:rPr>
          <w:rFonts w:ascii="仿宋_GB2312" w:hAnsi="仿宋_GB2312" w:eastAsia="仿宋_GB2312"/>
          <w:b w:val="0"/>
          <w:sz w:val="32"/>
        </w:rPr>
        <w:t>17.农林水支出(类)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衔接乡村振兴(款)生产发展(项):支出决算数为0.00万元，比上年决算减少35.94万元，下降100.00%,主要原因是：县劳务输出中心划出单位单独核算，本年无此科目支出。</w:t>
      </w:r>
    </w:p>
    <w:p w14:paraId="4226F3A5">
      <w:pPr>
        <w:spacing w:line="580" w:lineRule="exact"/>
        <w:ind w:firstLine="640"/>
        <w:jc w:val="both"/>
      </w:pPr>
      <w:r>
        <w:rPr>
          <w:rFonts w:ascii="仿宋_GB2312" w:hAnsi="仿宋_GB2312" w:eastAsia="仿宋_GB2312"/>
          <w:b w:val="0"/>
          <w:sz w:val="32"/>
        </w:rPr>
        <w:t>18.住房保障支出(类)住房改革支出(款)住房公积金(项):支出决算数为43.38万元，比上年决算减少15.76万元，下降26.65%,主要原因是：本年在职人员减少，住房公积金缴费较上年减少。</w:t>
      </w:r>
    </w:p>
    <w:p w14:paraId="7307F7ED">
      <w:pPr>
        <w:spacing w:line="640" w:lineRule="exact"/>
        <w:ind w:firstLine="640"/>
        <w:jc w:val="both"/>
        <w:outlineLvl w:val="2"/>
      </w:pPr>
      <w:r>
        <w:rPr>
          <w:rFonts w:ascii="黑体" w:hAnsi="黑体" w:eastAsia="黑体"/>
          <w:sz w:val="32"/>
        </w:rPr>
        <w:t>六、一般公共预算财政拨款基本支出决算情况说明</w:t>
      </w:r>
    </w:p>
    <w:p w14:paraId="4069AC50">
      <w:pPr>
        <w:spacing w:line="580" w:lineRule="exact"/>
        <w:ind w:firstLine="640"/>
        <w:jc w:val="both"/>
      </w:pPr>
      <w:r>
        <w:rPr>
          <w:rFonts w:ascii="仿宋_GB2312" w:hAnsi="仿宋_GB2312" w:eastAsia="仿宋_GB2312"/>
          <w:b w:val="0"/>
          <w:sz w:val="32"/>
        </w:rPr>
        <w:t>2024年度一般公共预算财政拨款基本支出707.42万元，其中：</w:t>
      </w:r>
      <w:r>
        <w:rPr>
          <w:rFonts w:ascii="仿宋_GB2312" w:hAnsi="仿宋_GB2312" w:eastAsia="仿宋_GB2312"/>
          <w:b/>
          <w:sz w:val="32"/>
        </w:rPr>
        <w:t>人员经费609.37万元，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包括：基本工资、津贴补贴、奖金、绩效工资、机关事业单位基本养老保险缴费、职业年金缴费、职工基本医疗保险缴费、公务员医疗补助缴费、住房公积金、其他工资福利支出、退休费、生活补助。</w:t>
      </w:r>
    </w:p>
    <w:p w14:paraId="64551F6E">
      <w:pPr>
        <w:spacing w:line="580" w:lineRule="exact"/>
        <w:ind w:firstLine="640"/>
        <w:jc w:val="both"/>
      </w:pPr>
      <w:r>
        <w:rPr>
          <w:rFonts w:ascii="仿宋_GB2312" w:hAnsi="仿宋_GB2312" w:eastAsia="仿宋_GB2312"/>
          <w:b/>
          <w:sz w:val="32"/>
        </w:rPr>
        <w:t>公用经费98.05万元，</w:t>
      </w:r>
      <w:r>
        <w:rPr>
          <w:rFonts w:ascii="仿宋_GB2312" w:hAnsi="仿宋_GB2312" w:eastAsia="仿宋_GB2312"/>
          <w:b w:val="0"/>
          <w:sz w:val="32"/>
        </w:rPr>
        <w:t>包括：办公费、水费、电费、邮电费、取暖费、差旅费、公务接待费、公务用车运行维护费。</w:t>
      </w:r>
    </w:p>
    <w:p w14:paraId="375920AC">
      <w:pPr>
        <w:spacing w:line="640" w:lineRule="exact"/>
        <w:ind w:firstLine="640"/>
        <w:jc w:val="both"/>
        <w:outlineLvl w:val="2"/>
      </w:pPr>
      <w:r>
        <w:rPr>
          <w:rFonts w:ascii="黑体" w:hAnsi="黑体" w:eastAsia="黑体"/>
          <w:sz w:val="32"/>
        </w:rPr>
        <w:t>七、政府性基金预算财政拨款收入支出决算情况说明</w:t>
      </w:r>
    </w:p>
    <w:p w14:paraId="3C910A4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03C477">
      <w:pPr>
        <w:spacing w:line="640" w:lineRule="exact"/>
        <w:ind w:firstLine="640"/>
        <w:jc w:val="both"/>
        <w:outlineLvl w:val="2"/>
      </w:pPr>
      <w:r>
        <w:rPr>
          <w:rFonts w:ascii="黑体" w:hAnsi="黑体" w:eastAsia="黑体"/>
          <w:sz w:val="32"/>
        </w:rPr>
        <w:t>八、国有资本经营预算财政拨款收入支出决算情况说明</w:t>
      </w:r>
    </w:p>
    <w:p w14:paraId="69D5990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44B037">
      <w:pPr>
        <w:spacing w:line="640" w:lineRule="exact"/>
        <w:ind w:firstLine="640"/>
        <w:jc w:val="both"/>
        <w:outlineLvl w:val="2"/>
      </w:pPr>
      <w:r>
        <w:rPr>
          <w:rFonts w:ascii="黑体" w:hAnsi="黑体" w:eastAsia="黑体"/>
          <w:sz w:val="32"/>
        </w:rPr>
        <w:t>九、财政拨款“三公”经费支出决算情况说明</w:t>
      </w:r>
    </w:p>
    <w:p w14:paraId="7C1DC81C">
      <w:pPr>
        <w:spacing w:line="580" w:lineRule="exact"/>
        <w:ind w:firstLine="640"/>
        <w:jc w:val="both"/>
      </w:pPr>
      <w:r>
        <w:rPr>
          <w:rFonts w:ascii="仿宋_GB2312" w:hAnsi="仿宋_GB2312" w:eastAsia="仿宋_GB2312"/>
          <w:b/>
          <w:sz w:val="32"/>
        </w:rPr>
        <w:t>2024年度财政拨款“三公”经费支出24.08万元，</w:t>
      </w:r>
      <w:r>
        <w:rPr>
          <w:rFonts w:ascii="仿宋_GB2312" w:hAnsi="仿宋_GB2312" w:eastAsia="仿宋_GB2312"/>
          <w:b w:val="0"/>
          <w:sz w:val="32"/>
        </w:rPr>
        <w:t>比上年增加7.90万元，增长48.83%，主要原因是：按照县委、县政府会议研究决定，县政府序列下各政府部门的公务接待费统一到县人民政府办公室报账，本年因业务需求，增加公务接待工作，导致公务接待费较上年增加。其中：因公出国（境）费支出0.00万元，占0.00%，比上年增加0.00万元，增长0.00%，主要原因是：2023年与2024年均未安排因公出国（境）费支出。公务用车购置及运行维护费支出12.60万元，占52.33%，比上年增加0.00万元，增长0.00%，主要原因是：本单位公务用车运行维护费与上年一致无变化。公务接待费支出11.48万元，占47.67%，比上年增加7.90万元，增长220.67%，主要原因是：按照县委、县政府会议研究决定，县政府序列下各政府部门的公务接待费统一到县人民政府办公室报账，本年因业务需求，增加公务接待工作，导致公务接待费较上年增加。</w:t>
      </w:r>
    </w:p>
    <w:p w14:paraId="4B734C1D">
      <w:pPr>
        <w:spacing w:line="580" w:lineRule="exact"/>
        <w:ind w:firstLine="640"/>
        <w:jc w:val="both"/>
      </w:pPr>
      <w:r>
        <w:rPr>
          <w:rFonts w:ascii="仿宋_GB2312" w:hAnsi="仿宋_GB2312" w:eastAsia="仿宋_GB2312"/>
          <w:b/>
          <w:sz w:val="32"/>
        </w:rPr>
        <w:t>具体情况如下：</w:t>
      </w:r>
    </w:p>
    <w:p w14:paraId="4D67240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EF7014D">
      <w:pPr>
        <w:spacing w:line="580" w:lineRule="exact"/>
        <w:ind w:firstLine="640"/>
        <w:jc w:val="both"/>
      </w:pPr>
      <w:r>
        <w:rPr>
          <w:rFonts w:ascii="仿宋_GB2312" w:hAnsi="仿宋_GB2312" w:eastAsia="仿宋_GB2312"/>
          <w:b w:val="0"/>
          <w:sz w:val="32"/>
        </w:rPr>
        <w:t>公务用车购置及运行维护费12.60万元，其中：公务用车购置费0.00万元，公务用车运行维护费12.60万元。公务用车运行维护费开支内容包括车辆加油费、维修费、保险费、审车费、过路费等。公务用车购置数0辆，公务用车保有量10辆。国有资产占用情况中固定资产车辆10辆，与公务用车保有量差异原因是：本单位固定资产车辆与公务用车保有量一致无差异。</w:t>
      </w:r>
    </w:p>
    <w:p w14:paraId="28BC1D83">
      <w:pPr>
        <w:spacing w:line="580" w:lineRule="exact"/>
        <w:ind w:firstLine="640"/>
        <w:jc w:val="both"/>
      </w:pPr>
      <w:r>
        <w:rPr>
          <w:rFonts w:ascii="仿宋_GB2312" w:hAnsi="仿宋_GB2312" w:eastAsia="仿宋_GB2312"/>
          <w:b w:val="0"/>
          <w:sz w:val="32"/>
        </w:rPr>
        <w:t>公务接待费11.48万元，开支内容包括因公务需要，接待上级领导检查、督导组检查、工作小组考察学习产生的就餐费。单位全年安排的国内公务接待50批次，923人次。</w:t>
      </w:r>
    </w:p>
    <w:p w14:paraId="20C4045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财政拨款“三公”经费支出全年预算数32.69万元，决算数24.08万元，预决算差异率-26.34%，主要原因是：</w:t>
      </w:r>
      <w:r>
        <w:rPr>
          <w:rFonts w:hint="eastAsia" w:ascii="仿宋_GB2312" w:hAnsi="仿宋_GB2312" w:eastAsia="仿宋_GB2312"/>
          <w:b w:val="0"/>
          <w:sz w:val="32"/>
          <w:lang w:eastAsia="zh-CN"/>
        </w:rPr>
        <w:t>严格落实中央八项规定精神</w:t>
      </w:r>
      <w:r>
        <w:rPr>
          <w:rFonts w:ascii="仿宋_GB2312" w:hAnsi="仿宋_GB2312" w:eastAsia="仿宋_GB2312"/>
          <w:b w:val="0"/>
          <w:sz w:val="32"/>
        </w:rPr>
        <w:t>，厉行节约，</w:t>
      </w:r>
      <w:r>
        <w:rPr>
          <w:rFonts w:hint="eastAsia" w:ascii="仿宋_GB2312" w:hAnsi="仿宋_GB2312" w:eastAsia="仿宋_GB2312"/>
          <w:b w:val="0"/>
          <w:sz w:val="32"/>
          <w:lang w:eastAsia="zh-CN"/>
        </w:rPr>
        <w:t>减少</w:t>
      </w:r>
      <w:r>
        <w:rPr>
          <w:rFonts w:ascii="仿宋_GB2312" w:hAnsi="仿宋_GB2312" w:eastAsia="仿宋_GB2312"/>
          <w:b w:val="0"/>
          <w:sz w:val="32"/>
        </w:rPr>
        <w:t>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12.60万元，决算数12.60万元，预决算差异率0.00%，主要原因是：严格按照预算执行，预决算无差异。公务接待费全年预算数20.09万元，决算数11.48万元，预决算差异率-42.86%，主要原因是：</w:t>
      </w:r>
      <w:r>
        <w:rPr>
          <w:rFonts w:hint="eastAsia" w:ascii="仿宋_GB2312" w:hAnsi="仿宋_GB2312" w:eastAsia="仿宋_GB2312"/>
          <w:b w:val="0"/>
          <w:sz w:val="32"/>
          <w:lang w:eastAsia="zh-CN"/>
        </w:rPr>
        <w:t>严格落实中央八项规定精神</w:t>
      </w:r>
      <w:r>
        <w:rPr>
          <w:rFonts w:ascii="仿宋_GB2312" w:hAnsi="仿宋_GB2312" w:eastAsia="仿宋_GB2312"/>
          <w:b w:val="0"/>
          <w:sz w:val="32"/>
        </w:rPr>
        <w:t>，厉行节约，</w:t>
      </w:r>
      <w:r>
        <w:rPr>
          <w:rFonts w:hint="eastAsia" w:ascii="仿宋_GB2312" w:hAnsi="仿宋_GB2312" w:eastAsia="仿宋_GB2312"/>
          <w:b w:val="0"/>
          <w:sz w:val="32"/>
          <w:lang w:eastAsia="zh-CN"/>
        </w:rPr>
        <w:t>减少</w:t>
      </w:r>
      <w:r>
        <w:rPr>
          <w:rFonts w:ascii="仿宋_GB2312" w:hAnsi="仿宋_GB2312" w:eastAsia="仿宋_GB2312"/>
          <w:b w:val="0"/>
          <w:sz w:val="32"/>
        </w:rPr>
        <w:t>经费。</w:t>
      </w:r>
    </w:p>
    <w:p w14:paraId="4DA87181">
      <w:pPr>
        <w:spacing w:line="640" w:lineRule="exact"/>
        <w:ind w:firstLine="640"/>
        <w:jc w:val="both"/>
        <w:outlineLvl w:val="2"/>
      </w:pPr>
      <w:r>
        <w:rPr>
          <w:rFonts w:ascii="黑体" w:hAnsi="黑体" w:eastAsia="黑体"/>
          <w:sz w:val="32"/>
        </w:rPr>
        <w:t>十、其他重要事项的情况说明</w:t>
      </w:r>
    </w:p>
    <w:p w14:paraId="5E3F407D">
      <w:pPr>
        <w:spacing w:line="640" w:lineRule="exact"/>
        <w:ind w:firstLine="640"/>
        <w:jc w:val="both"/>
        <w:outlineLvl w:val="3"/>
      </w:pPr>
      <w:r>
        <w:rPr>
          <w:rFonts w:ascii="楷体_GB2312" w:hAnsi="楷体_GB2312" w:eastAsia="楷体_GB2312"/>
          <w:b/>
          <w:sz w:val="32"/>
        </w:rPr>
        <w:t>（一）机关运行经费及公用经费支出情况</w:t>
      </w:r>
    </w:p>
    <w:p w14:paraId="43C915A5">
      <w:pPr>
        <w:spacing w:line="580" w:lineRule="exact"/>
        <w:ind w:firstLine="640"/>
        <w:jc w:val="both"/>
      </w:pPr>
      <w:r>
        <w:rPr>
          <w:rFonts w:ascii="仿宋_GB2312" w:hAnsi="仿宋_GB2312" w:eastAsia="仿宋_GB2312"/>
          <w:b w:val="0"/>
          <w:sz w:val="32"/>
        </w:rPr>
        <w:t>2024年度英吉沙县人民政府办公室（行政单位和参照公务员法管理事业单位）机关运行经费支出98.05万元，比上年增加53.97万元，增长122.44%，主要原因是：本年增加办公费和差旅费，导致机关运行经费增加。</w:t>
      </w:r>
    </w:p>
    <w:p w14:paraId="48A2474E">
      <w:pPr>
        <w:spacing w:line="640" w:lineRule="exact"/>
        <w:ind w:firstLine="640"/>
        <w:jc w:val="both"/>
        <w:outlineLvl w:val="3"/>
      </w:pPr>
      <w:r>
        <w:rPr>
          <w:rFonts w:ascii="楷体_GB2312" w:hAnsi="楷体_GB2312" w:eastAsia="楷体_GB2312"/>
          <w:b/>
          <w:sz w:val="32"/>
        </w:rPr>
        <w:t>（二）政府采购情况</w:t>
      </w:r>
    </w:p>
    <w:p w14:paraId="05EF10F1">
      <w:pPr>
        <w:spacing w:line="580" w:lineRule="exact"/>
        <w:ind w:firstLine="640"/>
        <w:jc w:val="both"/>
      </w:pPr>
      <w:r>
        <w:rPr>
          <w:rFonts w:ascii="仿宋_GB2312" w:hAnsi="仿宋_GB2312" w:eastAsia="仿宋_GB2312"/>
          <w:b w:val="0"/>
          <w:sz w:val="32"/>
        </w:rPr>
        <w:t>2024年度政府采购支出总额25.46万元，其中：政府采购货物支出13.82万元、政府采购工程支出7.75万元、政府采购服务支出3.89万元。</w:t>
      </w:r>
    </w:p>
    <w:p w14:paraId="41610439">
      <w:pPr>
        <w:spacing w:line="580" w:lineRule="exact"/>
        <w:ind w:firstLine="640"/>
        <w:jc w:val="both"/>
      </w:pPr>
      <w:r>
        <w:rPr>
          <w:rFonts w:ascii="仿宋_GB2312" w:hAnsi="仿宋_GB2312" w:eastAsia="仿宋_GB2312"/>
          <w:b w:val="0"/>
          <w:sz w:val="32"/>
        </w:rPr>
        <w:t>授予中小企业合同金额15.89万元，占政府采购支出总额的62.41%，其中：授予小微企业合同金额0.00万元，占政府采购支出总额的0.00%。</w:t>
      </w:r>
    </w:p>
    <w:p w14:paraId="78780849">
      <w:pPr>
        <w:spacing w:line="640" w:lineRule="exact"/>
        <w:ind w:firstLine="640"/>
        <w:jc w:val="both"/>
        <w:outlineLvl w:val="3"/>
      </w:pPr>
      <w:r>
        <w:rPr>
          <w:rFonts w:ascii="楷体_GB2312" w:hAnsi="楷体_GB2312" w:eastAsia="楷体_GB2312"/>
          <w:b/>
          <w:sz w:val="32"/>
        </w:rPr>
        <w:t>（三）国有资产占用情况说明</w:t>
      </w:r>
    </w:p>
    <w:p w14:paraId="4ED10E7B">
      <w:pPr>
        <w:spacing w:line="580" w:lineRule="exact"/>
        <w:ind w:firstLine="640"/>
        <w:jc w:val="both"/>
      </w:pPr>
      <w:r>
        <w:rPr>
          <w:rFonts w:ascii="仿宋_GB2312" w:hAnsi="仿宋_GB2312" w:eastAsia="仿宋_GB2312"/>
          <w:b w:val="0"/>
          <w:sz w:val="32"/>
        </w:rPr>
        <w:t>截至2024年12月31日，房屋4,985.00平方米，价值198.51万元。车辆10辆，价值223.39万元，其中：副部（省）级及以上领导用车0辆、主要负责人用车0辆、机要通信用车0辆、应急保障用车0辆、执法执勤用车0辆、特种专业技术用车0辆、离退休干部服务用车0辆、其他用车10辆，其他用车主要是：一般公务用车。单价100万元（含）以上设备（不含车辆）0台（套）。</w:t>
      </w:r>
    </w:p>
    <w:p w14:paraId="184E5398">
      <w:pPr>
        <w:spacing w:line="640" w:lineRule="exact"/>
        <w:ind w:firstLine="640"/>
        <w:jc w:val="both"/>
        <w:outlineLvl w:val="2"/>
      </w:pPr>
      <w:r>
        <w:rPr>
          <w:rFonts w:ascii="黑体" w:hAnsi="黑体" w:eastAsia="黑体"/>
          <w:sz w:val="32"/>
        </w:rPr>
        <w:t>十一、预算绩效的情况说明</w:t>
      </w:r>
    </w:p>
    <w:p w14:paraId="26F93C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905.83万元，实际执行总额905.83万元；预算绩效评价项目3个，全年预算数150.70万元，全年执行数150.70万元。预算绩效管理取得的成效：一是严格按照相关的专项资金管理办法，实行多重审批控制专项经费的支出；二是根据实际情况做出合理预算，支出严格控制在预算范围内，本着节约成本，防止资源浪费的原则将项目成效最大化。发现的问题及原因：一是项目人员专业技能、业务水平不高；二是对项目监管监督形式比较单一。下一步改进措施：一是进一步提升人员专业技能及业务水平；二是加大对项目监管力度，开展多种形式的检查。加强对以前年度资金使用情况的分析和总结，加强预算编制科学化、精细化管理，增强预算编制的严肃性和权威性。具体附整体支出绩效自评表，项目支出绩效自评表和评价报告。</w:t>
      </w:r>
    </w:p>
    <w:p w14:paraId="41620728">
      <w:r>
        <w:br w:type="page"/>
      </w:r>
    </w:p>
    <w:tbl>
      <w:tblPr>
        <w:tblStyle w:val="9"/>
        <w:tblW w:w="5000" w:type="pct"/>
        <w:jc w:val="center"/>
        <w:tblLayout w:type="autofit"/>
        <w:tblCellMar>
          <w:top w:w="40" w:type="dxa"/>
          <w:left w:w="64" w:type="dxa"/>
          <w:bottom w:w="40" w:type="dxa"/>
          <w:right w:w="64" w:type="dxa"/>
        </w:tblCellMar>
      </w:tblPr>
      <w:tblGrid>
        <w:gridCol w:w="518"/>
        <w:gridCol w:w="973"/>
        <w:gridCol w:w="1698"/>
        <w:gridCol w:w="1288"/>
        <w:gridCol w:w="1331"/>
        <w:gridCol w:w="725"/>
        <w:gridCol w:w="1190"/>
        <w:gridCol w:w="702"/>
        <w:gridCol w:w="547"/>
      </w:tblGrid>
      <w:tr w14:paraId="04FF5E5B">
        <w:tblPrEx>
          <w:tblCellMar>
            <w:top w:w="40" w:type="dxa"/>
            <w:left w:w="64" w:type="dxa"/>
            <w:bottom w:w="40" w:type="dxa"/>
            <w:right w:w="64" w:type="dxa"/>
          </w:tblCellMar>
        </w:tblPrEx>
        <w:trPr>
          <w:trHeight w:val="0" w:hRule="atLeast"/>
          <w:jc w:val="center"/>
        </w:trPr>
        <w:tc>
          <w:tcPr>
            <w:tcW w:w="5000" w:type="pct"/>
            <w:gridSpan w:val="9"/>
            <w:vAlign w:val="center"/>
          </w:tcPr>
          <w:p w14:paraId="3FCCE7DE">
            <w:pPr>
              <w:snapToGrid w:val="0"/>
              <w:jc w:val="center"/>
            </w:pPr>
            <w:r>
              <w:rPr>
                <w:rFonts w:ascii="宋体" w:hAnsi="宋体" w:eastAsia="宋体"/>
                <w:sz w:val="24"/>
              </w:rPr>
              <w:t>单位整体支出绩效自评表</w:t>
            </w:r>
          </w:p>
        </w:tc>
      </w:tr>
      <w:tr w14:paraId="739D2E07">
        <w:tblPrEx>
          <w:tblCellMar>
            <w:top w:w="40" w:type="dxa"/>
            <w:left w:w="64" w:type="dxa"/>
            <w:bottom w:w="40" w:type="dxa"/>
            <w:right w:w="64" w:type="dxa"/>
          </w:tblCellMar>
        </w:tblPrEx>
        <w:trPr>
          <w:trHeight w:val="0" w:hRule="atLeast"/>
          <w:jc w:val="center"/>
        </w:trPr>
        <w:tc>
          <w:tcPr>
            <w:tcW w:w="5000" w:type="pct"/>
            <w:gridSpan w:val="9"/>
            <w:vAlign w:val="center"/>
          </w:tcPr>
          <w:p w14:paraId="4DF36057">
            <w:pPr>
              <w:snapToGrid w:val="0"/>
              <w:jc w:val="center"/>
            </w:pPr>
            <w:r>
              <w:rPr>
                <w:rFonts w:ascii="宋体" w:hAnsi="宋体" w:eastAsia="宋体"/>
                <w:sz w:val="24"/>
              </w:rPr>
              <w:t>（2024年度）</w:t>
            </w:r>
          </w:p>
        </w:tc>
      </w:tr>
      <w:tr w14:paraId="13A2B485">
        <w:tblPrEx>
          <w:tblCellMar>
            <w:top w:w="40" w:type="dxa"/>
            <w:left w:w="64" w:type="dxa"/>
            <w:bottom w:w="40" w:type="dxa"/>
            <w:right w:w="64" w:type="dxa"/>
          </w:tblCellMar>
        </w:tblPrEx>
        <w:trPr>
          <w:trHeight w:val="0" w:hRule="atLeast"/>
          <w:jc w:val="center"/>
        </w:trPr>
        <w:tc>
          <w:tcPr>
            <w:tcW w:w="289" w:type="pct"/>
            <w:tcBorders>
              <w:top w:val="single" w:color="auto" w:sz="10" w:space="0"/>
              <w:left w:val="single" w:color="auto" w:sz="10" w:space="0"/>
              <w:bottom w:val="single" w:color="auto" w:sz="10" w:space="0"/>
              <w:right w:val="single" w:color="auto" w:sz="10" w:space="0"/>
              <w:insideV w:val="single" w:sz="10" w:space="0"/>
            </w:tcBorders>
            <w:vAlign w:val="center"/>
          </w:tcPr>
          <w:p w14:paraId="13ED8546">
            <w:pPr>
              <w:snapToGrid w:val="0"/>
              <w:jc w:val="center"/>
            </w:pPr>
            <w:r>
              <w:rPr>
                <w:rFonts w:ascii="宋体" w:hAnsi="宋体" w:eastAsia="宋体"/>
                <w:sz w:val="16"/>
              </w:rPr>
              <w:t>单位名称</w:t>
            </w:r>
          </w:p>
        </w:tc>
        <w:tc>
          <w:tcPr>
            <w:tcW w:w="4710" w:type="pct"/>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6777AC">
            <w:pPr>
              <w:snapToGrid w:val="0"/>
              <w:jc w:val="center"/>
            </w:pPr>
            <w:r>
              <w:rPr>
                <w:rFonts w:ascii="宋体" w:hAnsi="宋体" w:eastAsia="宋体"/>
                <w:sz w:val="16"/>
              </w:rPr>
              <w:t>英吉沙县人民政府办公室</w:t>
            </w:r>
          </w:p>
        </w:tc>
      </w:tr>
      <w:tr w14:paraId="69CA94B1">
        <w:tblPrEx>
          <w:tblCellMar>
            <w:top w:w="40" w:type="dxa"/>
            <w:left w:w="64" w:type="dxa"/>
            <w:bottom w:w="40" w:type="dxa"/>
            <w:right w:w="64" w:type="dxa"/>
          </w:tblCellMar>
        </w:tblPrEx>
        <w:trPr>
          <w:trHeight w:val="0" w:hRule="atLeast"/>
          <w:jc w:val="center"/>
        </w:trPr>
        <w:tc>
          <w:tcPr>
            <w:tcW w:w="28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261C8">
            <w:pPr>
              <w:snapToGrid w:val="0"/>
              <w:jc w:val="center"/>
            </w:pPr>
            <w:r>
              <w:rPr>
                <w:rFonts w:ascii="宋体" w:hAnsi="宋体" w:eastAsia="宋体"/>
                <w:sz w:val="16"/>
              </w:rPr>
              <w:t>部门资金（万元）</w:t>
            </w: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7FC953F6">
            <w:pPr>
              <w:snapToGrid w:val="0"/>
              <w:jc w:val="center"/>
            </w:pPr>
            <w:r>
              <w:rPr>
                <w:rFonts w:ascii="宋体" w:hAnsi="宋体" w:eastAsia="宋体"/>
                <w:sz w:val="16"/>
              </w:rPr>
              <w:t>资金来源</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6114105B">
            <w:pPr>
              <w:snapToGrid w:val="0"/>
              <w:jc w:val="center"/>
            </w:pPr>
            <w:r>
              <w:rPr>
                <w:rFonts w:ascii="宋体" w:hAnsi="宋体" w:eastAsia="宋体"/>
                <w:sz w:val="16"/>
              </w:rPr>
              <w:t>年初预算数</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0E27439E">
            <w:pPr>
              <w:snapToGrid w:val="0"/>
              <w:jc w:val="center"/>
            </w:pPr>
            <w:r>
              <w:rPr>
                <w:rFonts w:ascii="宋体" w:hAnsi="宋体" w:eastAsia="宋体"/>
                <w:sz w:val="16"/>
              </w:rPr>
              <w:t>预算数（调整后）</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7FCF3BB4">
            <w:pPr>
              <w:snapToGrid w:val="0"/>
              <w:jc w:val="center"/>
            </w:pPr>
            <w:r>
              <w:rPr>
                <w:rFonts w:ascii="宋体" w:hAnsi="宋体" w:eastAsia="宋体"/>
                <w:sz w:val="16"/>
              </w:rPr>
              <w:t>执行数</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2956EC01">
            <w:pPr>
              <w:snapToGrid w:val="0"/>
              <w:jc w:val="center"/>
            </w:pPr>
            <w:r>
              <w:rPr>
                <w:rFonts w:ascii="宋体" w:hAnsi="宋体" w:eastAsia="宋体"/>
                <w:sz w:val="16"/>
              </w:rPr>
              <w:t>分值权重</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5791F154">
            <w:pPr>
              <w:snapToGrid w:val="0"/>
              <w:jc w:val="center"/>
            </w:pPr>
            <w:r>
              <w:rPr>
                <w:rFonts w:ascii="宋体" w:hAnsi="宋体" w:eastAsia="宋体"/>
                <w:sz w:val="16"/>
              </w:rPr>
              <w:t>执行率</w:t>
            </w:r>
          </w:p>
        </w:tc>
        <w:tc>
          <w:tcPr>
            <w:tcW w:w="6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65ED">
            <w:pPr>
              <w:snapToGrid w:val="0"/>
              <w:jc w:val="center"/>
            </w:pPr>
            <w:r>
              <w:rPr>
                <w:rFonts w:ascii="宋体" w:hAnsi="宋体" w:eastAsia="宋体"/>
                <w:sz w:val="16"/>
              </w:rPr>
              <w:t>得分</w:t>
            </w:r>
          </w:p>
        </w:tc>
      </w:tr>
      <w:tr w14:paraId="5352BD99">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57866E5E">
            <w:pPr>
              <w:snapToGrid w:val="0"/>
            </w:pP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410F7914">
            <w:pPr>
              <w:snapToGrid w:val="0"/>
              <w:jc w:val="center"/>
            </w:pPr>
            <w:r>
              <w:rPr>
                <w:rFonts w:ascii="宋体" w:hAnsi="宋体" w:eastAsia="宋体"/>
                <w:sz w:val="16"/>
              </w:rPr>
              <w:t>年度总资金：</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12C6EA54">
            <w:pPr>
              <w:snapToGrid w:val="0"/>
              <w:jc w:val="center"/>
            </w:pPr>
            <w:r>
              <w:rPr>
                <w:rFonts w:ascii="宋体" w:hAnsi="宋体" w:eastAsia="宋体"/>
                <w:sz w:val="16"/>
              </w:rPr>
              <w:t>740.83</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7068C007">
            <w:pPr>
              <w:snapToGrid w:val="0"/>
              <w:jc w:val="center"/>
            </w:pPr>
            <w:r>
              <w:rPr>
                <w:rFonts w:ascii="宋体" w:hAnsi="宋体" w:eastAsia="宋体"/>
                <w:sz w:val="16"/>
              </w:rPr>
              <w:t>905.83</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1113155F">
            <w:pPr>
              <w:snapToGrid w:val="0"/>
              <w:jc w:val="center"/>
            </w:pPr>
            <w:r>
              <w:rPr>
                <w:rFonts w:ascii="宋体" w:hAnsi="宋体" w:eastAsia="宋体"/>
                <w:sz w:val="16"/>
              </w:rPr>
              <w:t>905.83</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514EB158">
            <w:pPr>
              <w:snapToGrid w:val="0"/>
              <w:jc w:val="center"/>
            </w:pPr>
            <w:r>
              <w:rPr>
                <w:rFonts w:ascii="宋体" w:hAnsi="宋体" w:eastAsia="宋体"/>
                <w:sz w:val="16"/>
              </w:rPr>
              <w:t>10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6219BFF5">
            <w:pPr>
              <w:snapToGrid w:val="0"/>
              <w:jc w:val="center"/>
            </w:pPr>
            <w:r>
              <w:rPr>
                <w:rFonts w:ascii="宋体" w:hAnsi="宋体" w:eastAsia="宋体"/>
                <w:sz w:val="16"/>
              </w:rPr>
              <w:t>100.00%</w:t>
            </w:r>
          </w:p>
        </w:tc>
        <w:tc>
          <w:tcPr>
            <w:tcW w:w="6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02417">
            <w:pPr>
              <w:snapToGrid w:val="0"/>
              <w:jc w:val="center"/>
            </w:pPr>
            <w:r>
              <w:rPr>
                <w:rFonts w:ascii="宋体" w:hAnsi="宋体" w:eastAsia="宋体"/>
                <w:sz w:val="16"/>
              </w:rPr>
              <w:t>10</w:t>
            </w:r>
          </w:p>
        </w:tc>
      </w:tr>
      <w:tr w14:paraId="7B7715C6">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69D1E0C3">
            <w:pPr>
              <w:snapToGrid w:val="0"/>
            </w:pP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03DCC85C">
            <w:pPr>
              <w:snapToGrid w:val="0"/>
              <w:jc w:val="center"/>
            </w:pPr>
            <w:r>
              <w:rPr>
                <w:rFonts w:ascii="宋体" w:hAnsi="宋体" w:eastAsia="宋体"/>
                <w:sz w:val="16"/>
              </w:rPr>
              <w:t>上级资金：</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6DC50A53">
            <w:pPr>
              <w:snapToGrid w:val="0"/>
              <w:jc w:val="center"/>
            </w:pPr>
            <w:r>
              <w:rPr>
                <w:rFonts w:ascii="宋体" w:hAnsi="宋体" w:eastAsia="宋体"/>
                <w:sz w:val="16"/>
              </w:rPr>
              <w:t>0.00</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16D3D69E">
            <w:pPr>
              <w:snapToGrid w:val="0"/>
              <w:jc w:val="center"/>
            </w:pPr>
            <w:r>
              <w:rPr>
                <w:rFonts w:ascii="宋体" w:hAnsi="宋体" w:eastAsia="宋体"/>
                <w:sz w:val="16"/>
              </w:rPr>
              <w:t>0.00</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37386928">
            <w:pPr>
              <w:snapToGrid w:val="0"/>
              <w:jc w:val="center"/>
            </w:pPr>
            <w:r>
              <w:rPr>
                <w:rFonts w:ascii="宋体" w:hAnsi="宋体" w:eastAsia="宋体"/>
                <w:sz w:val="16"/>
              </w:rPr>
              <w:t>0.00</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4C21E949">
            <w:pPr>
              <w:snapToGrid w:val="0"/>
              <w:jc w:val="center"/>
            </w:pPr>
            <w:r>
              <w:rPr>
                <w:rFonts w:ascii="宋体" w:hAnsi="宋体" w:eastAsia="宋体"/>
                <w:sz w:val="16"/>
              </w:rPr>
              <w:t>—</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52F6B82A">
            <w:pPr>
              <w:snapToGrid w:val="0"/>
              <w:jc w:val="center"/>
            </w:pPr>
            <w:r>
              <w:rPr>
                <w:rFonts w:ascii="宋体" w:hAnsi="宋体" w:eastAsia="宋体"/>
                <w:sz w:val="16"/>
              </w:rPr>
              <w:t>—</w:t>
            </w:r>
          </w:p>
        </w:tc>
        <w:tc>
          <w:tcPr>
            <w:tcW w:w="6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CDA90">
            <w:pPr>
              <w:snapToGrid w:val="0"/>
              <w:jc w:val="center"/>
            </w:pPr>
            <w:r>
              <w:rPr>
                <w:rFonts w:ascii="宋体" w:hAnsi="宋体" w:eastAsia="宋体"/>
                <w:sz w:val="16"/>
              </w:rPr>
              <w:t>—</w:t>
            </w:r>
          </w:p>
        </w:tc>
      </w:tr>
      <w:tr w14:paraId="52CF7AAD">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7DB6D47B">
            <w:pPr>
              <w:snapToGrid w:val="0"/>
            </w:pP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5DB8C119">
            <w:pPr>
              <w:snapToGrid w:val="0"/>
              <w:jc w:val="center"/>
            </w:pPr>
            <w:r>
              <w:rPr>
                <w:rFonts w:ascii="宋体" w:hAnsi="宋体" w:eastAsia="宋体"/>
                <w:sz w:val="16"/>
              </w:rPr>
              <w:t>本级资金：</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6BBCEF04">
            <w:pPr>
              <w:snapToGrid w:val="0"/>
              <w:jc w:val="center"/>
            </w:pPr>
            <w:r>
              <w:rPr>
                <w:rFonts w:ascii="宋体" w:hAnsi="宋体" w:eastAsia="宋体"/>
                <w:sz w:val="16"/>
              </w:rPr>
              <w:t>740.83</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4526E206">
            <w:pPr>
              <w:snapToGrid w:val="0"/>
              <w:jc w:val="center"/>
            </w:pPr>
            <w:r>
              <w:rPr>
                <w:rFonts w:ascii="宋体" w:hAnsi="宋体" w:eastAsia="宋体"/>
                <w:sz w:val="16"/>
              </w:rPr>
              <w:t>832.62</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1CBB5DDF">
            <w:pPr>
              <w:snapToGrid w:val="0"/>
              <w:jc w:val="center"/>
            </w:pPr>
            <w:r>
              <w:rPr>
                <w:rFonts w:ascii="宋体" w:hAnsi="宋体" w:eastAsia="宋体"/>
                <w:sz w:val="16"/>
              </w:rPr>
              <w:t>832.62</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65AF3160">
            <w:pPr>
              <w:snapToGrid w:val="0"/>
              <w:jc w:val="center"/>
            </w:pPr>
            <w:r>
              <w:rPr>
                <w:rFonts w:ascii="宋体" w:hAnsi="宋体" w:eastAsia="宋体"/>
                <w:sz w:val="16"/>
              </w:rPr>
              <w:t>—</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098BB742">
            <w:pPr>
              <w:snapToGrid w:val="0"/>
              <w:jc w:val="center"/>
            </w:pPr>
            <w:r>
              <w:rPr>
                <w:rFonts w:ascii="宋体" w:hAnsi="宋体" w:eastAsia="宋体"/>
                <w:sz w:val="16"/>
              </w:rPr>
              <w:t>—</w:t>
            </w:r>
          </w:p>
        </w:tc>
        <w:tc>
          <w:tcPr>
            <w:tcW w:w="6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3483">
            <w:pPr>
              <w:snapToGrid w:val="0"/>
              <w:jc w:val="center"/>
            </w:pPr>
            <w:r>
              <w:rPr>
                <w:rFonts w:ascii="宋体" w:hAnsi="宋体" w:eastAsia="宋体"/>
                <w:sz w:val="16"/>
              </w:rPr>
              <w:t>—</w:t>
            </w:r>
          </w:p>
        </w:tc>
      </w:tr>
      <w:tr w14:paraId="3B542AF7">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671EE3FD">
            <w:pPr>
              <w:snapToGrid w:val="0"/>
            </w:pP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7A9971BA">
            <w:pPr>
              <w:snapToGrid w:val="0"/>
              <w:jc w:val="center"/>
            </w:pPr>
            <w:r>
              <w:rPr>
                <w:rFonts w:ascii="宋体" w:hAnsi="宋体" w:eastAsia="宋体"/>
                <w:sz w:val="16"/>
              </w:rPr>
              <w:t>其他资金：</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5174C719">
            <w:pPr>
              <w:snapToGrid w:val="0"/>
              <w:jc w:val="center"/>
            </w:pPr>
            <w:r>
              <w:rPr>
                <w:rFonts w:ascii="宋体" w:hAnsi="宋体" w:eastAsia="宋体"/>
                <w:sz w:val="16"/>
              </w:rPr>
              <w:t>0.00</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7D123ABA">
            <w:pPr>
              <w:snapToGrid w:val="0"/>
              <w:jc w:val="center"/>
            </w:pPr>
            <w:r>
              <w:rPr>
                <w:rFonts w:ascii="宋体" w:hAnsi="宋体" w:eastAsia="宋体"/>
                <w:sz w:val="16"/>
              </w:rPr>
              <w:t>73.21</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07CD589A">
            <w:pPr>
              <w:snapToGrid w:val="0"/>
              <w:jc w:val="center"/>
            </w:pPr>
            <w:r>
              <w:rPr>
                <w:rFonts w:ascii="宋体" w:hAnsi="宋体" w:eastAsia="宋体"/>
                <w:sz w:val="16"/>
              </w:rPr>
              <w:t>73.21</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271873B0">
            <w:pPr>
              <w:snapToGrid w:val="0"/>
              <w:jc w:val="center"/>
            </w:pPr>
            <w:r>
              <w:rPr>
                <w:rFonts w:ascii="宋体" w:hAnsi="宋体" w:eastAsia="宋体"/>
                <w:sz w:val="16"/>
              </w:rPr>
              <w:t>—</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2EDEE7B2">
            <w:pPr>
              <w:snapToGrid w:val="0"/>
              <w:jc w:val="center"/>
            </w:pPr>
            <w:r>
              <w:rPr>
                <w:rFonts w:ascii="宋体" w:hAnsi="宋体" w:eastAsia="宋体"/>
                <w:sz w:val="16"/>
              </w:rPr>
              <w:t>—</w:t>
            </w:r>
          </w:p>
        </w:tc>
        <w:tc>
          <w:tcPr>
            <w:tcW w:w="69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26BD">
            <w:pPr>
              <w:snapToGrid w:val="0"/>
              <w:jc w:val="center"/>
            </w:pPr>
            <w:r>
              <w:rPr>
                <w:rFonts w:ascii="宋体" w:hAnsi="宋体" w:eastAsia="宋体"/>
                <w:sz w:val="16"/>
              </w:rPr>
              <w:t>—</w:t>
            </w:r>
          </w:p>
        </w:tc>
      </w:tr>
      <w:tr w14:paraId="32E94EA1">
        <w:tblPrEx>
          <w:tblCellMar>
            <w:top w:w="40" w:type="dxa"/>
            <w:left w:w="64" w:type="dxa"/>
            <w:bottom w:w="40" w:type="dxa"/>
            <w:right w:w="64" w:type="dxa"/>
          </w:tblCellMar>
        </w:tblPrEx>
        <w:trPr>
          <w:trHeight w:val="0" w:hRule="atLeast"/>
          <w:jc w:val="center"/>
        </w:trPr>
        <w:tc>
          <w:tcPr>
            <w:tcW w:w="28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C33C9">
            <w:pPr>
              <w:snapToGrid w:val="0"/>
              <w:jc w:val="center"/>
            </w:pPr>
            <w:r>
              <w:rPr>
                <w:rFonts w:ascii="宋体" w:hAnsi="宋体" w:eastAsia="宋体"/>
                <w:sz w:val="16"/>
              </w:rPr>
              <w:t>年度总体目标</w:t>
            </w:r>
          </w:p>
        </w:tc>
        <w:tc>
          <w:tcPr>
            <w:tcW w:w="2206"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F539F3">
            <w:pPr>
              <w:snapToGrid w:val="0"/>
              <w:jc w:val="center"/>
            </w:pPr>
            <w:r>
              <w:rPr>
                <w:rFonts w:ascii="宋体" w:hAnsi="宋体" w:eastAsia="宋体"/>
                <w:sz w:val="16"/>
              </w:rPr>
              <w:t>预期目标</w:t>
            </w:r>
          </w:p>
        </w:tc>
        <w:tc>
          <w:tcPr>
            <w:tcW w:w="2503"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5788F6">
            <w:pPr>
              <w:snapToGrid w:val="0"/>
              <w:jc w:val="center"/>
            </w:pPr>
            <w:r>
              <w:rPr>
                <w:rFonts w:ascii="宋体" w:hAnsi="宋体" w:eastAsia="宋体"/>
                <w:sz w:val="16"/>
              </w:rPr>
              <w:t>实际完成情况</w:t>
            </w:r>
          </w:p>
        </w:tc>
      </w:tr>
      <w:tr w14:paraId="0AFFA303">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647E7C1F">
            <w:pPr>
              <w:snapToGrid w:val="0"/>
            </w:pPr>
          </w:p>
        </w:tc>
        <w:tc>
          <w:tcPr>
            <w:tcW w:w="2206"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2EE481">
            <w:pPr>
              <w:snapToGrid w:val="0"/>
              <w:jc w:val="both"/>
            </w:pPr>
            <w:r>
              <w:rPr>
                <w:rFonts w:ascii="宋体" w:hAnsi="宋体" w:eastAsia="宋体"/>
                <w:sz w:val="16"/>
              </w:rPr>
              <w:t>2024年，围绕</w:t>
            </w:r>
            <w:r>
              <w:rPr>
                <w:rFonts w:hint="eastAsia" w:ascii="宋体" w:hAnsi="宋体"/>
                <w:sz w:val="16"/>
                <w:lang w:eastAsia="zh-CN"/>
              </w:rPr>
              <w:t>县委、县政府</w:t>
            </w:r>
            <w:r>
              <w:rPr>
                <w:rFonts w:ascii="宋体" w:hAnsi="宋体" w:eastAsia="宋体"/>
                <w:sz w:val="16"/>
              </w:rPr>
              <w:t>中心工作，按照县人民政府的工作安排，抓好各项工作落实。落实好入户走访工作，落实好社会工作的各项措施，落实好后勤保障工作，落实好政府法制工作，落实好保障机关正常运行工作，做好综合协调工作，加强信息报送工作，加强保密工作。提升政府信息公开，完成各类调研、督导指导工作。充分发挥总揽全局、协调各方的领导核心作用。加强与上级、部门之间的沟通联系，确保县委、县政府安排的工作得到有序进行。起草或审核公文份数70份，保障会务场次700场次，指导、催办全县政务公开事项8项，购买法律服务1次，加强政务信息公开工作8类。</w:t>
            </w:r>
          </w:p>
        </w:tc>
        <w:tc>
          <w:tcPr>
            <w:tcW w:w="2503"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73257">
            <w:pPr>
              <w:snapToGrid w:val="0"/>
              <w:jc w:val="both"/>
            </w:pPr>
            <w:r>
              <w:rPr>
                <w:rFonts w:hint="eastAsia" w:ascii="宋体" w:hAnsi="宋体"/>
                <w:sz w:val="16"/>
                <w:lang w:eastAsia="zh-CN"/>
              </w:rPr>
              <w:t>截至2024</w:t>
            </w:r>
            <w:r>
              <w:rPr>
                <w:rFonts w:ascii="宋体" w:hAnsi="宋体" w:eastAsia="宋体"/>
                <w:sz w:val="16"/>
              </w:rPr>
              <w:t>年12月31日，县政府办公室经费全年年初预算数740.83万元，预算调整后905.83万元，执行数905.83万元，执行率100%。全年</w:t>
            </w:r>
            <w:r>
              <w:rPr>
                <w:rFonts w:hint="eastAsia" w:ascii="宋体" w:hAnsi="宋体"/>
                <w:sz w:val="16"/>
                <w:lang w:eastAsia="zh-CN"/>
              </w:rPr>
              <w:t>主要</w:t>
            </w:r>
            <w:r>
              <w:rPr>
                <w:rFonts w:ascii="宋体" w:hAnsi="宋体" w:eastAsia="宋体"/>
                <w:sz w:val="16"/>
              </w:rPr>
              <w:t>围绕</w:t>
            </w:r>
            <w:r>
              <w:rPr>
                <w:rFonts w:hint="eastAsia" w:ascii="宋体" w:hAnsi="宋体"/>
                <w:sz w:val="16"/>
                <w:lang w:eastAsia="zh-CN"/>
              </w:rPr>
              <w:t>县委、县政府</w:t>
            </w:r>
            <w:r>
              <w:rPr>
                <w:rFonts w:ascii="宋体" w:hAnsi="宋体" w:eastAsia="宋体"/>
                <w:sz w:val="16"/>
              </w:rPr>
              <w:t>中心工作，按照县人民政府的工作安排，抓好各项工作落实。落实好入户走访工作，落实好社会工作的各项措施，落实好后勤保障工作，落实好政府法制工作，落实好保障机关正常运行工作，做好综合协调工作，加强信息报送工作，加强保密工作。提升政府信息公开，完成各类调研、督导指导工作。充分发挥总揽全局、协调各方的领导核心作用。加强与上级、部门之间的沟通联系，确保县委、县政府安排的工作得到有序进行。起草或审核公文份数70份，保障会务场次700场次，指导、催办全县政务公开事项8项，购买法律服务1次，加强政务信息公开工作8类。</w:t>
            </w:r>
          </w:p>
        </w:tc>
      </w:tr>
      <w:tr w14:paraId="129D78EB">
        <w:tblPrEx>
          <w:tblCellMar>
            <w:top w:w="40" w:type="dxa"/>
            <w:left w:w="64" w:type="dxa"/>
            <w:bottom w:w="40" w:type="dxa"/>
            <w:right w:w="64" w:type="dxa"/>
          </w:tblCellMar>
        </w:tblPrEx>
        <w:trPr>
          <w:trHeight w:val="0" w:hRule="atLeast"/>
          <w:jc w:val="center"/>
        </w:trPr>
        <w:tc>
          <w:tcPr>
            <w:tcW w:w="289" w:type="pct"/>
            <w:tcBorders>
              <w:top w:val="single" w:color="auto" w:sz="10" w:space="0"/>
              <w:left w:val="single" w:color="auto" w:sz="10" w:space="0"/>
              <w:bottom w:val="single" w:color="auto" w:sz="10" w:space="0"/>
              <w:right w:val="single" w:color="auto" w:sz="10" w:space="0"/>
              <w:insideV w:val="single" w:sz="10" w:space="0"/>
            </w:tcBorders>
            <w:vAlign w:val="center"/>
          </w:tcPr>
          <w:p w14:paraId="40BABE13">
            <w:pPr>
              <w:snapToGrid w:val="0"/>
              <w:jc w:val="center"/>
            </w:pPr>
            <w:r>
              <w:rPr>
                <w:rFonts w:ascii="宋体" w:hAnsi="宋体" w:eastAsia="宋体"/>
                <w:sz w:val="16"/>
              </w:rPr>
              <w:t>一级指标</w:t>
            </w:r>
          </w:p>
        </w:tc>
        <w:tc>
          <w:tcPr>
            <w:tcW w:w="542" w:type="pct"/>
            <w:tcBorders>
              <w:top w:val="single" w:color="auto" w:sz="10" w:space="0"/>
              <w:left w:val="single" w:color="auto" w:sz="10" w:space="0"/>
              <w:bottom w:val="single" w:color="auto" w:sz="10" w:space="0"/>
              <w:right w:val="single" w:color="auto" w:sz="10" w:space="0"/>
              <w:insideV w:val="single" w:sz="10" w:space="0"/>
            </w:tcBorders>
            <w:vAlign w:val="center"/>
          </w:tcPr>
          <w:p w14:paraId="6A1401D6">
            <w:pPr>
              <w:snapToGrid w:val="0"/>
              <w:jc w:val="center"/>
            </w:pPr>
            <w:r>
              <w:rPr>
                <w:rFonts w:ascii="宋体" w:hAnsi="宋体" w:eastAsia="宋体"/>
                <w:sz w:val="16"/>
              </w:rPr>
              <w:t>二级指标</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00BB5CF3">
            <w:pPr>
              <w:snapToGrid w:val="0"/>
              <w:jc w:val="center"/>
            </w:pPr>
            <w:r>
              <w:rPr>
                <w:rFonts w:ascii="宋体" w:hAnsi="宋体" w:eastAsia="宋体"/>
                <w:sz w:val="16"/>
              </w:rPr>
              <w:t>三级指标</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5D9C4BC4">
            <w:pPr>
              <w:snapToGrid w:val="0"/>
              <w:jc w:val="center"/>
            </w:pPr>
            <w:r>
              <w:rPr>
                <w:rFonts w:ascii="宋体" w:hAnsi="宋体" w:eastAsia="宋体"/>
                <w:sz w:val="16"/>
              </w:rPr>
              <w:t>指标值</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54AD5F1D">
            <w:pPr>
              <w:snapToGrid w:val="0"/>
              <w:jc w:val="center"/>
            </w:pPr>
            <w:r>
              <w:rPr>
                <w:rFonts w:ascii="宋体" w:hAnsi="宋体" w:eastAsia="宋体"/>
                <w:sz w:val="16"/>
              </w:rPr>
              <w:t>指标值设定依据</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4D183608">
            <w:pPr>
              <w:snapToGrid w:val="0"/>
              <w:jc w:val="center"/>
            </w:pPr>
            <w:r>
              <w:rPr>
                <w:rFonts w:ascii="宋体" w:hAnsi="宋体" w:eastAsia="宋体"/>
                <w:sz w:val="16"/>
              </w:rPr>
              <w:t>分值权重</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71778B46">
            <w:pPr>
              <w:snapToGrid w:val="0"/>
              <w:jc w:val="center"/>
            </w:pPr>
            <w:r>
              <w:rPr>
                <w:rFonts w:ascii="宋体" w:hAnsi="宋体" w:eastAsia="宋体"/>
                <w:sz w:val="16"/>
              </w:rPr>
              <w:t>实际完成值</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21B73DB5">
            <w:pPr>
              <w:snapToGrid w:val="0"/>
              <w:jc w:val="center"/>
            </w:pPr>
            <w:r>
              <w:rPr>
                <w:rFonts w:ascii="宋体" w:hAnsi="宋体" w:eastAsia="宋体"/>
                <w:sz w:val="16"/>
              </w:rPr>
              <w:t>完成率</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4C1994A2">
            <w:pPr>
              <w:snapToGrid w:val="0"/>
              <w:jc w:val="center"/>
            </w:pPr>
            <w:r>
              <w:rPr>
                <w:rFonts w:ascii="宋体" w:hAnsi="宋体" w:eastAsia="宋体"/>
                <w:sz w:val="16"/>
              </w:rPr>
              <w:t>得分</w:t>
            </w:r>
          </w:p>
        </w:tc>
      </w:tr>
      <w:tr w14:paraId="5EC0452C">
        <w:tblPrEx>
          <w:tblCellMar>
            <w:top w:w="40" w:type="dxa"/>
            <w:left w:w="64" w:type="dxa"/>
            <w:bottom w:w="40" w:type="dxa"/>
            <w:right w:w="64" w:type="dxa"/>
          </w:tblCellMar>
        </w:tblPrEx>
        <w:trPr>
          <w:trHeight w:val="0" w:hRule="atLeast"/>
          <w:jc w:val="center"/>
        </w:trPr>
        <w:tc>
          <w:tcPr>
            <w:tcW w:w="28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51038">
            <w:pPr>
              <w:snapToGrid w:val="0"/>
              <w:jc w:val="center"/>
            </w:pPr>
            <w:r>
              <w:rPr>
                <w:rFonts w:ascii="宋体" w:hAnsi="宋体" w:eastAsia="宋体"/>
                <w:sz w:val="16"/>
              </w:rPr>
              <w:t>履职效能</w:t>
            </w:r>
          </w:p>
        </w:tc>
        <w:tc>
          <w:tcPr>
            <w:tcW w:w="54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FC442">
            <w:pPr>
              <w:snapToGrid w:val="0"/>
              <w:jc w:val="center"/>
            </w:pPr>
            <w:r>
              <w:rPr>
                <w:rFonts w:ascii="宋体" w:hAnsi="宋体" w:eastAsia="宋体"/>
                <w:sz w:val="16"/>
              </w:rPr>
              <w:t>数量指标</w:t>
            </w: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7383D806">
            <w:pPr>
              <w:snapToGrid w:val="0"/>
              <w:jc w:val="center"/>
            </w:pPr>
            <w:r>
              <w:rPr>
                <w:rFonts w:ascii="宋体" w:hAnsi="宋体" w:eastAsia="宋体"/>
                <w:sz w:val="16"/>
              </w:rPr>
              <w:t>起草或审核公文份数</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00EAFAD7">
            <w:pPr>
              <w:snapToGrid w:val="0"/>
              <w:jc w:val="center"/>
            </w:pPr>
            <w:r>
              <w:rPr>
                <w:rFonts w:ascii="宋体" w:hAnsi="宋体" w:eastAsia="宋体"/>
                <w:sz w:val="16"/>
              </w:rPr>
              <w:t>&gt;=70份</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22ADDBFF">
            <w:pPr>
              <w:snapToGrid w:val="0"/>
              <w:jc w:val="center"/>
            </w:pPr>
            <w:r>
              <w:rPr>
                <w:rFonts w:ascii="宋体" w:hAnsi="宋体" w:eastAsia="宋体"/>
                <w:sz w:val="16"/>
              </w:rPr>
              <w:t>2024年工作计划</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72CBC3B8">
            <w:pPr>
              <w:snapToGrid w:val="0"/>
              <w:jc w:val="center"/>
            </w:pPr>
            <w:r>
              <w:rPr>
                <w:rFonts w:ascii="宋体" w:hAnsi="宋体" w:eastAsia="宋体"/>
                <w:sz w:val="16"/>
              </w:rPr>
              <w:t>30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151A82BD">
            <w:pPr>
              <w:snapToGrid w:val="0"/>
              <w:jc w:val="center"/>
            </w:pPr>
            <w:r>
              <w:rPr>
                <w:rFonts w:ascii="宋体" w:hAnsi="宋体" w:eastAsia="宋体"/>
                <w:sz w:val="16"/>
              </w:rPr>
              <w:t>=70份</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61204FAB">
            <w:pPr>
              <w:snapToGrid w:val="0"/>
              <w:jc w:val="center"/>
            </w:pPr>
            <w:r>
              <w:rPr>
                <w:rFonts w:ascii="宋体" w:hAnsi="宋体" w:eastAsia="宋体"/>
                <w:sz w:val="16"/>
              </w:rPr>
              <w:t>100</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6CC4D421">
            <w:pPr>
              <w:snapToGrid w:val="0"/>
              <w:jc w:val="center"/>
            </w:pPr>
            <w:r>
              <w:rPr>
                <w:rFonts w:ascii="宋体" w:hAnsi="宋体" w:eastAsia="宋体"/>
                <w:sz w:val="16"/>
              </w:rPr>
              <w:t>30</w:t>
            </w:r>
          </w:p>
        </w:tc>
      </w:tr>
      <w:tr w14:paraId="176102CC">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39C23B9E">
            <w:pPr>
              <w:snapToGrid w:val="0"/>
            </w:pPr>
          </w:p>
        </w:tc>
        <w:tc>
          <w:tcPr>
            <w:tcW w:w="542" w:type="pct"/>
            <w:vMerge w:val="continue"/>
            <w:tcBorders>
              <w:top w:val="single" w:color="auto" w:sz="10" w:space="0"/>
              <w:left w:val="single" w:color="auto" w:sz="10" w:space="0"/>
              <w:bottom w:val="single" w:color="auto" w:sz="10" w:space="0"/>
              <w:right w:val="single" w:color="auto" w:sz="10" w:space="0"/>
              <w:insideV w:val="single" w:sz="10" w:space="0"/>
            </w:tcBorders>
          </w:tcPr>
          <w:p w14:paraId="7F25E561">
            <w:pPr>
              <w:snapToGrid w:val="0"/>
            </w:pP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2DEA5F0E">
            <w:pPr>
              <w:snapToGrid w:val="0"/>
              <w:jc w:val="center"/>
            </w:pPr>
            <w:r>
              <w:rPr>
                <w:rFonts w:ascii="宋体" w:hAnsi="宋体" w:eastAsia="宋体"/>
                <w:sz w:val="16"/>
              </w:rPr>
              <w:t>保障会务场次</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56BEBCAD">
            <w:pPr>
              <w:snapToGrid w:val="0"/>
              <w:jc w:val="center"/>
            </w:pPr>
            <w:r>
              <w:rPr>
                <w:rFonts w:ascii="宋体" w:hAnsi="宋体" w:eastAsia="宋体"/>
                <w:sz w:val="16"/>
              </w:rPr>
              <w:t>&gt;=700场次</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2C1C5DA5">
            <w:pPr>
              <w:snapToGrid w:val="0"/>
              <w:jc w:val="center"/>
            </w:pPr>
            <w:r>
              <w:rPr>
                <w:rFonts w:ascii="宋体" w:hAnsi="宋体" w:eastAsia="宋体"/>
                <w:sz w:val="16"/>
              </w:rPr>
              <w:t>2024年工作计划</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258CCED4">
            <w:pPr>
              <w:snapToGrid w:val="0"/>
              <w:jc w:val="center"/>
            </w:pPr>
            <w:r>
              <w:rPr>
                <w:rFonts w:ascii="宋体" w:hAnsi="宋体" w:eastAsia="宋体"/>
                <w:sz w:val="16"/>
              </w:rPr>
              <w:t>20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54DA36BA">
            <w:pPr>
              <w:snapToGrid w:val="0"/>
              <w:jc w:val="center"/>
            </w:pPr>
            <w:r>
              <w:rPr>
                <w:rFonts w:ascii="宋体" w:hAnsi="宋体" w:eastAsia="宋体"/>
                <w:sz w:val="16"/>
              </w:rPr>
              <w:t>=700场次</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01A01DB4">
            <w:pPr>
              <w:snapToGrid w:val="0"/>
              <w:jc w:val="center"/>
            </w:pPr>
            <w:r>
              <w:rPr>
                <w:rFonts w:ascii="宋体" w:hAnsi="宋体" w:eastAsia="宋体"/>
                <w:sz w:val="16"/>
              </w:rPr>
              <w:t>100</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0C83B272">
            <w:pPr>
              <w:snapToGrid w:val="0"/>
              <w:jc w:val="center"/>
            </w:pPr>
            <w:r>
              <w:rPr>
                <w:rFonts w:ascii="宋体" w:hAnsi="宋体" w:eastAsia="宋体"/>
                <w:sz w:val="16"/>
              </w:rPr>
              <w:t>20</w:t>
            </w:r>
          </w:p>
        </w:tc>
      </w:tr>
      <w:tr w14:paraId="0234FA9B">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01EEC952">
            <w:pPr>
              <w:snapToGrid w:val="0"/>
            </w:pPr>
          </w:p>
        </w:tc>
        <w:tc>
          <w:tcPr>
            <w:tcW w:w="542" w:type="pct"/>
            <w:vMerge w:val="continue"/>
            <w:tcBorders>
              <w:top w:val="single" w:color="auto" w:sz="10" w:space="0"/>
              <w:left w:val="single" w:color="auto" w:sz="10" w:space="0"/>
              <w:bottom w:val="single" w:color="auto" w:sz="10" w:space="0"/>
              <w:right w:val="single" w:color="auto" w:sz="10" w:space="0"/>
              <w:insideV w:val="single" w:sz="10" w:space="0"/>
            </w:tcBorders>
          </w:tcPr>
          <w:p w14:paraId="13B7CB5E">
            <w:pPr>
              <w:snapToGrid w:val="0"/>
            </w:pP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00E4E433">
            <w:pPr>
              <w:snapToGrid w:val="0"/>
              <w:jc w:val="center"/>
            </w:pPr>
            <w:r>
              <w:rPr>
                <w:rFonts w:ascii="宋体" w:hAnsi="宋体" w:eastAsia="宋体"/>
                <w:sz w:val="16"/>
              </w:rPr>
              <w:t>指导、催办全县政务公开事项</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295E4FF0">
            <w:pPr>
              <w:snapToGrid w:val="0"/>
              <w:jc w:val="center"/>
            </w:pPr>
            <w:r>
              <w:rPr>
                <w:rFonts w:ascii="宋体" w:hAnsi="宋体" w:eastAsia="宋体"/>
                <w:sz w:val="16"/>
              </w:rPr>
              <w:t>=8项</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66CE276B">
            <w:pPr>
              <w:snapToGrid w:val="0"/>
              <w:jc w:val="center"/>
            </w:pPr>
            <w:r>
              <w:rPr>
                <w:rFonts w:ascii="宋体" w:hAnsi="宋体" w:eastAsia="宋体"/>
                <w:sz w:val="16"/>
              </w:rPr>
              <w:t>2024年工作计划</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4D6B06E2">
            <w:pPr>
              <w:snapToGrid w:val="0"/>
              <w:jc w:val="center"/>
            </w:pPr>
            <w:r>
              <w:rPr>
                <w:rFonts w:ascii="宋体" w:hAnsi="宋体" w:eastAsia="宋体"/>
                <w:sz w:val="16"/>
              </w:rPr>
              <w:t>20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4486424A">
            <w:pPr>
              <w:snapToGrid w:val="0"/>
              <w:jc w:val="center"/>
            </w:pPr>
            <w:r>
              <w:rPr>
                <w:rFonts w:ascii="宋体" w:hAnsi="宋体" w:eastAsia="宋体"/>
                <w:sz w:val="16"/>
              </w:rPr>
              <w:t>=8项</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69B68FD9">
            <w:pPr>
              <w:snapToGrid w:val="0"/>
              <w:jc w:val="center"/>
            </w:pPr>
            <w:r>
              <w:rPr>
                <w:rFonts w:ascii="宋体" w:hAnsi="宋体" w:eastAsia="宋体"/>
                <w:sz w:val="16"/>
              </w:rPr>
              <w:t>100</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396C70F3">
            <w:pPr>
              <w:snapToGrid w:val="0"/>
              <w:jc w:val="center"/>
            </w:pPr>
            <w:r>
              <w:rPr>
                <w:rFonts w:ascii="宋体" w:hAnsi="宋体" w:eastAsia="宋体"/>
                <w:sz w:val="16"/>
              </w:rPr>
              <w:t>20</w:t>
            </w:r>
          </w:p>
        </w:tc>
      </w:tr>
      <w:tr w14:paraId="43FA283D">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2F4D88C2">
            <w:pPr>
              <w:snapToGrid w:val="0"/>
            </w:pPr>
          </w:p>
        </w:tc>
        <w:tc>
          <w:tcPr>
            <w:tcW w:w="542" w:type="pct"/>
            <w:vMerge w:val="continue"/>
            <w:tcBorders>
              <w:top w:val="single" w:color="auto" w:sz="10" w:space="0"/>
              <w:left w:val="single" w:color="auto" w:sz="10" w:space="0"/>
              <w:bottom w:val="single" w:color="auto" w:sz="10" w:space="0"/>
              <w:right w:val="single" w:color="auto" w:sz="10" w:space="0"/>
              <w:insideV w:val="single" w:sz="10" w:space="0"/>
            </w:tcBorders>
          </w:tcPr>
          <w:p w14:paraId="083AA79A">
            <w:pPr>
              <w:snapToGrid w:val="0"/>
            </w:pP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6241E15F">
            <w:pPr>
              <w:snapToGrid w:val="0"/>
              <w:jc w:val="center"/>
            </w:pPr>
            <w:r>
              <w:rPr>
                <w:rFonts w:ascii="宋体" w:hAnsi="宋体" w:eastAsia="宋体"/>
                <w:sz w:val="16"/>
              </w:rPr>
              <w:t>购买法律服务次数</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317B3C57">
            <w:pPr>
              <w:snapToGrid w:val="0"/>
              <w:jc w:val="center"/>
            </w:pPr>
            <w:r>
              <w:rPr>
                <w:rFonts w:ascii="宋体" w:hAnsi="宋体" w:eastAsia="宋体"/>
                <w:sz w:val="16"/>
              </w:rPr>
              <w:t>&gt;=1次</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5C423D89">
            <w:pPr>
              <w:snapToGrid w:val="0"/>
              <w:jc w:val="center"/>
            </w:pPr>
            <w:r>
              <w:rPr>
                <w:rFonts w:ascii="宋体" w:hAnsi="宋体" w:eastAsia="宋体"/>
                <w:sz w:val="16"/>
              </w:rPr>
              <w:t>2024年工作计划</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63863483">
            <w:pPr>
              <w:snapToGrid w:val="0"/>
              <w:jc w:val="center"/>
            </w:pPr>
            <w:r>
              <w:rPr>
                <w:rFonts w:ascii="宋体" w:hAnsi="宋体" w:eastAsia="宋体"/>
                <w:sz w:val="16"/>
              </w:rPr>
              <w:t>10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3E59A372">
            <w:pPr>
              <w:snapToGrid w:val="0"/>
              <w:jc w:val="center"/>
            </w:pPr>
            <w:r>
              <w:rPr>
                <w:rFonts w:ascii="宋体" w:hAnsi="宋体" w:eastAsia="宋体"/>
                <w:sz w:val="16"/>
              </w:rPr>
              <w:t>=1次</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12A44BE5">
            <w:pPr>
              <w:snapToGrid w:val="0"/>
              <w:jc w:val="center"/>
            </w:pPr>
            <w:r>
              <w:rPr>
                <w:rFonts w:ascii="宋体" w:hAnsi="宋体" w:eastAsia="宋体"/>
                <w:sz w:val="16"/>
              </w:rPr>
              <w:t>100</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7315A9B4">
            <w:pPr>
              <w:snapToGrid w:val="0"/>
              <w:jc w:val="center"/>
            </w:pPr>
            <w:r>
              <w:rPr>
                <w:rFonts w:ascii="宋体" w:hAnsi="宋体" w:eastAsia="宋体"/>
                <w:sz w:val="16"/>
              </w:rPr>
              <w:t>10</w:t>
            </w:r>
          </w:p>
        </w:tc>
      </w:tr>
      <w:tr w14:paraId="7FED8305">
        <w:tblPrEx>
          <w:tblCellMar>
            <w:top w:w="40" w:type="dxa"/>
            <w:left w:w="64" w:type="dxa"/>
            <w:bottom w:w="40" w:type="dxa"/>
            <w:right w:w="64" w:type="dxa"/>
          </w:tblCellMar>
        </w:tblPrEx>
        <w:trPr>
          <w:trHeight w:val="0" w:hRule="atLeast"/>
          <w:jc w:val="center"/>
        </w:trPr>
        <w:tc>
          <w:tcPr>
            <w:tcW w:w="289" w:type="pct"/>
            <w:vMerge w:val="continue"/>
            <w:tcBorders>
              <w:top w:val="single" w:color="auto" w:sz="10" w:space="0"/>
              <w:left w:val="single" w:color="auto" w:sz="10" w:space="0"/>
              <w:bottom w:val="single" w:color="auto" w:sz="10" w:space="0"/>
              <w:right w:val="single" w:color="auto" w:sz="10" w:space="0"/>
              <w:insideV w:val="single" w:sz="10" w:space="0"/>
            </w:tcBorders>
          </w:tcPr>
          <w:p w14:paraId="16CBD0FA">
            <w:pPr>
              <w:snapToGrid w:val="0"/>
            </w:pPr>
          </w:p>
        </w:tc>
        <w:tc>
          <w:tcPr>
            <w:tcW w:w="542" w:type="pct"/>
            <w:vMerge w:val="continue"/>
            <w:tcBorders>
              <w:top w:val="single" w:color="auto" w:sz="10" w:space="0"/>
              <w:left w:val="single" w:color="auto" w:sz="10" w:space="0"/>
              <w:bottom w:val="single" w:color="auto" w:sz="10" w:space="0"/>
              <w:right w:val="single" w:color="auto" w:sz="10" w:space="0"/>
              <w:insideV w:val="single" w:sz="10" w:space="0"/>
            </w:tcBorders>
          </w:tcPr>
          <w:p w14:paraId="501EC232">
            <w:pPr>
              <w:snapToGrid w:val="0"/>
            </w:pPr>
          </w:p>
        </w:tc>
        <w:tc>
          <w:tcPr>
            <w:tcW w:w="946" w:type="pct"/>
            <w:tcBorders>
              <w:top w:val="single" w:color="auto" w:sz="10" w:space="0"/>
              <w:left w:val="single" w:color="auto" w:sz="10" w:space="0"/>
              <w:bottom w:val="single" w:color="auto" w:sz="10" w:space="0"/>
              <w:right w:val="single" w:color="auto" w:sz="10" w:space="0"/>
              <w:insideV w:val="single" w:sz="10" w:space="0"/>
            </w:tcBorders>
            <w:vAlign w:val="center"/>
          </w:tcPr>
          <w:p w14:paraId="6ED4F421">
            <w:pPr>
              <w:snapToGrid w:val="0"/>
              <w:jc w:val="center"/>
            </w:pPr>
            <w:r>
              <w:rPr>
                <w:rFonts w:ascii="宋体" w:hAnsi="宋体" w:eastAsia="宋体"/>
                <w:sz w:val="16"/>
              </w:rPr>
              <w:t>加强政务信息公开工作事项</w:t>
            </w:r>
          </w:p>
        </w:tc>
        <w:tc>
          <w:tcPr>
            <w:tcW w:w="717" w:type="pct"/>
            <w:tcBorders>
              <w:top w:val="single" w:color="auto" w:sz="10" w:space="0"/>
              <w:left w:val="single" w:color="auto" w:sz="10" w:space="0"/>
              <w:bottom w:val="single" w:color="auto" w:sz="10" w:space="0"/>
              <w:right w:val="single" w:color="auto" w:sz="10" w:space="0"/>
              <w:insideV w:val="single" w:sz="10" w:space="0"/>
            </w:tcBorders>
            <w:vAlign w:val="center"/>
          </w:tcPr>
          <w:p w14:paraId="6A093DE4">
            <w:pPr>
              <w:snapToGrid w:val="0"/>
              <w:jc w:val="center"/>
            </w:pPr>
            <w:r>
              <w:rPr>
                <w:rFonts w:ascii="宋体" w:hAnsi="宋体" w:eastAsia="宋体"/>
                <w:sz w:val="16"/>
              </w:rPr>
              <w:t>&gt;=8类</w:t>
            </w:r>
          </w:p>
        </w:tc>
        <w:tc>
          <w:tcPr>
            <w:tcW w:w="742" w:type="pct"/>
            <w:tcBorders>
              <w:top w:val="single" w:color="auto" w:sz="10" w:space="0"/>
              <w:left w:val="single" w:color="auto" w:sz="10" w:space="0"/>
              <w:bottom w:val="single" w:color="auto" w:sz="10" w:space="0"/>
              <w:right w:val="single" w:color="auto" w:sz="10" w:space="0"/>
              <w:insideV w:val="single" w:sz="10" w:space="0"/>
            </w:tcBorders>
            <w:vAlign w:val="center"/>
          </w:tcPr>
          <w:p w14:paraId="2B31118D">
            <w:pPr>
              <w:snapToGrid w:val="0"/>
              <w:jc w:val="center"/>
            </w:pPr>
            <w:r>
              <w:rPr>
                <w:rFonts w:ascii="宋体" w:hAnsi="宋体" w:eastAsia="宋体"/>
                <w:sz w:val="16"/>
              </w:rPr>
              <w:t>2024年工作计划</w:t>
            </w:r>
          </w:p>
        </w:tc>
        <w:tc>
          <w:tcPr>
            <w:tcW w:w="404" w:type="pct"/>
            <w:tcBorders>
              <w:top w:val="single" w:color="auto" w:sz="10" w:space="0"/>
              <w:left w:val="single" w:color="auto" w:sz="10" w:space="0"/>
              <w:bottom w:val="single" w:color="auto" w:sz="10" w:space="0"/>
              <w:right w:val="single" w:color="auto" w:sz="10" w:space="0"/>
              <w:insideV w:val="single" w:sz="10" w:space="0"/>
            </w:tcBorders>
            <w:vAlign w:val="center"/>
          </w:tcPr>
          <w:p w14:paraId="1E484D2B">
            <w:pPr>
              <w:snapToGrid w:val="0"/>
              <w:jc w:val="center"/>
            </w:pPr>
            <w:r>
              <w:rPr>
                <w:rFonts w:ascii="宋体" w:hAnsi="宋体" w:eastAsia="宋体"/>
                <w:sz w:val="16"/>
              </w:rPr>
              <w:t>10</w:t>
            </w:r>
          </w:p>
        </w:tc>
        <w:tc>
          <w:tcPr>
            <w:tcW w:w="663" w:type="pct"/>
            <w:tcBorders>
              <w:top w:val="single" w:color="auto" w:sz="10" w:space="0"/>
              <w:left w:val="single" w:color="auto" w:sz="10" w:space="0"/>
              <w:bottom w:val="single" w:color="auto" w:sz="10" w:space="0"/>
              <w:right w:val="single" w:color="auto" w:sz="10" w:space="0"/>
              <w:insideV w:val="single" w:sz="10" w:space="0"/>
            </w:tcBorders>
            <w:vAlign w:val="center"/>
          </w:tcPr>
          <w:p w14:paraId="1DF80196">
            <w:pPr>
              <w:snapToGrid w:val="0"/>
              <w:jc w:val="center"/>
            </w:pPr>
            <w:r>
              <w:rPr>
                <w:rFonts w:ascii="宋体" w:hAnsi="宋体" w:eastAsia="宋体"/>
                <w:sz w:val="16"/>
              </w:rPr>
              <w:t>=8类</w:t>
            </w:r>
          </w:p>
        </w:tc>
        <w:tc>
          <w:tcPr>
            <w:tcW w:w="391" w:type="pct"/>
            <w:tcBorders>
              <w:top w:val="single" w:color="auto" w:sz="10" w:space="0"/>
              <w:left w:val="single" w:color="auto" w:sz="10" w:space="0"/>
              <w:bottom w:val="single" w:color="auto" w:sz="10" w:space="0"/>
              <w:right w:val="single" w:color="auto" w:sz="10" w:space="0"/>
              <w:insideV w:val="single" w:sz="10" w:space="0"/>
            </w:tcBorders>
            <w:vAlign w:val="center"/>
          </w:tcPr>
          <w:p w14:paraId="58639A98">
            <w:pPr>
              <w:snapToGrid w:val="0"/>
              <w:jc w:val="center"/>
            </w:pPr>
            <w:r>
              <w:rPr>
                <w:rFonts w:ascii="宋体" w:hAnsi="宋体" w:eastAsia="宋体"/>
                <w:sz w:val="16"/>
              </w:rPr>
              <w:t>100</w:t>
            </w:r>
          </w:p>
        </w:tc>
        <w:tc>
          <w:tcPr>
            <w:tcW w:w="301" w:type="pct"/>
            <w:tcBorders>
              <w:top w:val="single" w:color="auto" w:sz="10" w:space="0"/>
              <w:left w:val="single" w:color="auto" w:sz="10" w:space="0"/>
              <w:bottom w:val="single" w:color="auto" w:sz="10" w:space="0"/>
              <w:right w:val="single" w:color="auto" w:sz="10" w:space="0"/>
              <w:insideV w:val="single" w:sz="10" w:space="0"/>
            </w:tcBorders>
            <w:vAlign w:val="center"/>
          </w:tcPr>
          <w:p w14:paraId="08D00EC6">
            <w:pPr>
              <w:snapToGrid w:val="0"/>
              <w:jc w:val="center"/>
            </w:pPr>
            <w:r>
              <w:rPr>
                <w:rFonts w:ascii="宋体" w:hAnsi="宋体" w:eastAsia="宋体"/>
                <w:sz w:val="16"/>
              </w:rPr>
              <w:t>10</w:t>
            </w:r>
          </w:p>
        </w:tc>
      </w:tr>
    </w:tbl>
    <w:p w14:paraId="21F94D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000B32F">
        <w:tblPrEx>
          <w:tblCellMar>
            <w:top w:w="0" w:type="dxa"/>
            <w:left w:w="108" w:type="dxa"/>
            <w:bottom w:w="0" w:type="dxa"/>
            <w:right w:w="108" w:type="dxa"/>
          </w:tblCellMar>
        </w:tblPrEx>
        <w:tc>
          <w:tcPr>
            <w:tcW w:w="8848" w:type="dxa"/>
            <w:gridSpan w:val="14"/>
            <w:vAlign w:val="center"/>
          </w:tcPr>
          <w:p w14:paraId="7C479D34">
            <w:pPr>
              <w:jc w:val="center"/>
            </w:pPr>
            <w:r>
              <w:rPr>
                <w:rFonts w:ascii="宋体" w:hAnsi="宋体" w:eastAsia="宋体"/>
                <w:sz w:val="24"/>
              </w:rPr>
              <w:t>项目支出绩效自评表</w:t>
            </w:r>
          </w:p>
        </w:tc>
      </w:tr>
      <w:tr w14:paraId="5A4CE2BF">
        <w:tblPrEx>
          <w:tblCellMar>
            <w:top w:w="0" w:type="dxa"/>
            <w:left w:w="108" w:type="dxa"/>
            <w:bottom w:w="0" w:type="dxa"/>
            <w:right w:w="108" w:type="dxa"/>
          </w:tblCellMar>
        </w:tblPrEx>
        <w:tc>
          <w:tcPr>
            <w:tcW w:w="8848" w:type="dxa"/>
            <w:gridSpan w:val="14"/>
            <w:vAlign w:val="center"/>
          </w:tcPr>
          <w:p w14:paraId="169A2102">
            <w:pPr>
              <w:jc w:val="center"/>
            </w:pPr>
            <w:r>
              <w:rPr>
                <w:rFonts w:ascii="宋体" w:hAnsi="宋体" w:eastAsia="宋体"/>
                <w:sz w:val="24"/>
              </w:rPr>
              <w:t>(2024年度)</w:t>
            </w:r>
          </w:p>
        </w:tc>
      </w:tr>
      <w:tr w14:paraId="43EE8D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10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0585BE">
            <w:pPr>
              <w:jc w:val="center"/>
            </w:pPr>
            <w:r>
              <w:rPr>
                <w:rFonts w:ascii="宋体" w:hAnsi="宋体" w:eastAsia="宋体"/>
                <w:sz w:val="16"/>
              </w:rPr>
              <w:t>县会议中心水电及维护经费项目</w:t>
            </w:r>
          </w:p>
        </w:tc>
      </w:tr>
      <w:tr w14:paraId="5A40C2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2B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D5316">
            <w:pPr>
              <w:jc w:val="center"/>
            </w:pPr>
            <w:r>
              <w:rPr>
                <w:rFonts w:ascii="宋体" w:hAnsi="宋体" w:eastAsia="宋体"/>
                <w:sz w:val="16"/>
              </w:rPr>
              <w:t>英吉沙县人民政府办公室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EB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ECD3B8">
            <w:pPr>
              <w:jc w:val="center"/>
            </w:pPr>
            <w:r>
              <w:rPr>
                <w:rFonts w:ascii="宋体" w:hAnsi="宋体" w:eastAsia="宋体"/>
                <w:sz w:val="16"/>
              </w:rPr>
              <w:t>英吉沙县人民政府办公室</w:t>
            </w:r>
          </w:p>
        </w:tc>
      </w:tr>
      <w:tr w14:paraId="7B57E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D0B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215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5A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489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DB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75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8E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46BD">
            <w:pPr>
              <w:jc w:val="center"/>
            </w:pPr>
            <w:r>
              <w:rPr>
                <w:rFonts w:ascii="宋体" w:hAnsi="宋体" w:eastAsia="宋体"/>
                <w:sz w:val="16"/>
              </w:rPr>
              <w:t>得分</w:t>
            </w:r>
          </w:p>
        </w:tc>
      </w:tr>
      <w:tr w14:paraId="0CCE7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A1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07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E9206">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DD66">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9151B">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452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11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B272">
            <w:pPr>
              <w:jc w:val="center"/>
            </w:pPr>
            <w:r>
              <w:rPr>
                <w:rFonts w:ascii="宋体" w:hAnsi="宋体" w:eastAsia="宋体"/>
                <w:sz w:val="16"/>
              </w:rPr>
              <w:t>10.00分</w:t>
            </w:r>
          </w:p>
        </w:tc>
      </w:tr>
      <w:tr w14:paraId="24A7A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BFA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33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176B">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2253">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6F79F">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16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1D3E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0184">
            <w:pPr>
              <w:jc w:val="center"/>
            </w:pPr>
            <w:r>
              <w:rPr>
                <w:rFonts w:ascii="宋体" w:hAnsi="宋体" w:eastAsia="宋体"/>
                <w:sz w:val="16"/>
              </w:rPr>
              <w:t>—</w:t>
            </w:r>
          </w:p>
        </w:tc>
      </w:tr>
      <w:tr w14:paraId="3D50F3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88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335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4F0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C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83E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40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D68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3BEE">
            <w:pPr>
              <w:jc w:val="center"/>
            </w:pPr>
            <w:r>
              <w:rPr>
                <w:rFonts w:ascii="宋体" w:hAnsi="宋体" w:eastAsia="宋体"/>
                <w:sz w:val="16"/>
              </w:rPr>
              <w:t>—</w:t>
            </w:r>
          </w:p>
        </w:tc>
      </w:tr>
      <w:tr w14:paraId="48D36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4A0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2F3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7FC86">
            <w:pPr>
              <w:jc w:val="center"/>
            </w:pPr>
            <w:r>
              <w:rPr>
                <w:rFonts w:ascii="宋体" w:hAnsi="宋体" w:eastAsia="宋体"/>
                <w:sz w:val="16"/>
              </w:rPr>
              <w:t>实际完成情况</w:t>
            </w:r>
          </w:p>
        </w:tc>
      </w:tr>
      <w:tr w14:paraId="0E685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F70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FA37C">
            <w:pPr>
              <w:jc w:val="both"/>
            </w:pPr>
            <w:r>
              <w:rPr>
                <w:rFonts w:ascii="宋体" w:hAnsi="宋体" w:eastAsia="宋体"/>
                <w:sz w:val="16"/>
              </w:rPr>
              <w:t>该项目计划投入资金18.2万元，用于缴纳县级会议中心的水电和维护经费，项目的实施，有利于保障县会议中心的正常运转开支以及提高社会综合服务水平。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66E8ED">
            <w:pPr>
              <w:jc w:val="both"/>
            </w:pPr>
            <w:r>
              <w:rPr>
                <w:rFonts w:hint="eastAsia" w:ascii="宋体" w:hAnsi="宋体"/>
                <w:sz w:val="16"/>
                <w:lang w:eastAsia="zh-CN"/>
              </w:rPr>
              <w:t>截至</w:t>
            </w:r>
            <w:r>
              <w:rPr>
                <w:rFonts w:ascii="宋体" w:hAnsi="宋体" w:eastAsia="宋体"/>
                <w:sz w:val="16"/>
              </w:rPr>
              <w:t>2024年12月31日，全年预算数18.2万元，全年执行数18.2万元，执行率100%，用于缴纳县级会议中心的水费、电费及县会议中心的各项维护费，项目实施后确保英吉沙县会议中心在维持基本运行的同时，能够更好地提升综合服务水平。</w:t>
            </w:r>
          </w:p>
        </w:tc>
      </w:tr>
      <w:tr w14:paraId="1226D1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CED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A4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EF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99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02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14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20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54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19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8D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A5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1A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7FD0B">
            <w:pPr>
              <w:jc w:val="center"/>
            </w:pPr>
            <w:r>
              <w:rPr>
                <w:rFonts w:ascii="宋体" w:hAnsi="宋体" w:eastAsia="宋体"/>
                <w:sz w:val="16"/>
              </w:rPr>
              <w:t>偏差原因分析及改进措施</w:t>
            </w:r>
          </w:p>
        </w:tc>
      </w:tr>
      <w:tr w14:paraId="7280F5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D97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7DF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7A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82BE">
            <w:pPr>
              <w:jc w:val="center"/>
            </w:pPr>
            <w:r>
              <w:rPr>
                <w:rFonts w:ascii="宋体" w:hAnsi="宋体" w:eastAsia="宋体"/>
                <w:sz w:val="16"/>
              </w:rPr>
              <w:t>保障维护单位数量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24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A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42A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8C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0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C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3C6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9B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C0CDD">
            <w:pPr>
              <w:jc w:val="center"/>
            </w:pPr>
          </w:p>
        </w:tc>
      </w:tr>
      <w:tr w14:paraId="1C18F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CD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1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07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1A01">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B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62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2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84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EB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E1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3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107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103A">
            <w:pPr>
              <w:jc w:val="center"/>
            </w:pPr>
          </w:p>
        </w:tc>
      </w:tr>
      <w:tr w14:paraId="55A5E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16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7A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B1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FB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02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3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4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503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77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95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06D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5CE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1128">
            <w:pPr>
              <w:jc w:val="center"/>
            </w:pPr>
          </w:p>
        </w:tc>
      </w:tr>
      <w:tr w14:paraId="15E55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AD3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99E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99F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23C4">
            <w:pPr>
              <w:jc w:val="center"/>
            </w:pPr>
            <w:r>
              <w:rPr>
                <w:rFonts w:ascii="宋体" w:hAnsi="宋体" w:eastAsia="宋体"/>
                <w:sz w:val="16"/>
              </w:rPr>
              <w:t>年用水经费成本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28AE">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4E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26A9">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6A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A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F9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8F3D">
            <w:pPr>
              <w:jc w:val="center"/>
            </w:pPr>
            <w:r>
              <w:rPr>
                <w:rFonts w:ascii="宋体" w:hAnsi="宋体" w:eastAsia="宋体"/>
                <w:sz w:val="16"/>
              </w:rPr>
              <w:t>=5.31万元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5C23">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D9070">
            <w:pPr>
              <w:jc w:val="center"/>
            </w:pPr>
            <w:r>
              <w:rPr>
                <w:rFonts w:ascii="宋体" w:hAnsi="宋体" w:eastAsia="宋体"/>
                <w:sz w:val="16"/>
              </w:rPr>
              <w:t>偏差原因：目标设置不准确。改进措施：合理设置年初目标值项目完成时间达到效果显著</w:t>
            </w:r>
          </w:p>
        </w:tc>
      </w:tr>
      <w:tr w14:paraId="1D504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E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CC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2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138E">
            <w:pPr>
              <w:jc w:val="center"/>
            </w:pPr>
            <w:r>
              <w:rPr>
                <w:rFonts w:ascii="宋体" w:hAnsi="宋体" w:eastAsia="宋体"/>
                <w:sz w:val="16"/>
              </w:rPr>
              <w:t>年用电经费成本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7DC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9C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7F8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73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3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65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EFA1">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40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85FD">
            <w:pPr>
              <w:jc w:val="center"/>
            </w:pPr>
            <w:r>
              <w:rPr>
                <w:rFonts w:ascii="宋体" w:hAnsi="宋体" w:eastAsia="宋体"/>
                <w:sz w:val="16"/>
              </w:rPr>
              <w:t>偏差原因：目标设置不准确。改进措施：合理设置年初目标值项目完成时间达到效果显著</w:t>
            </w:r>
          </w:p>
        </w:tc>
      </w:tr>
      <w:tr w14:paraId="4B347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A6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4D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9F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4A3C">
            <w:pPr>
              <w:jc w:val="center"/>
            </w:pPr>
            <w:r>
              <w:rPr>
                <w:rFonts w:ascii="宋体" w:hAnsi="宋体" w:eastAsia="宋体"/>
                <w:sz w:val="16"/>
              </w:rPr>
              <w:t>年维护经费成本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2523">
            <w:pPr>
              <w:jc w:val="center"/>
            </w:pPr>
            <w:r>
              <w:rPr>
                <w:rFonts w:ascii="宋体" w:hAnsi="宋体" w:eastAsia="宋体"/>
                <w:sz w:val="16"/>
              </w:rPr>
              <w:t>&lt;=11.20万元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04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2FA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56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5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FC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A567">
            <w:pPr>
              <w:jc w:val="center"/>
            </w:pPr>
            <w:r>
              <w:rPr>
                <w:rFonts w:ascii="宋体" w:hAnsi="宋体" w:eastAsia="宋体"/>
                <w:sz w:val="16"/>
              </w:rPr>
              <w:t>=11.11万元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7D1A">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76A8D">
            <w:pPr>
              <w:jc w:val="center"/>
            </w:pPr>
            <w:r>
              <w:rPr>
                <w:rFonts w:ascii="宋体" w:hAnsi="宋体" w:eastAsia="宋体"/>
                <w:sz w:val="16"/>
              </w:rPr>
              <w:t>偏差原因：目标设置不准确。改进措施：合理设置年初目标值项目完成时间达到效果显著</w:t>
            </w:r>
          </w:p>
        </w:tc>
      </w:tr>
      <w:tr w14:paraId="03EB9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AE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D1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65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53A6">
            <w:pPr>
              <w:jc w:val="center"/>
            </w:pPr>
            <w:r>
              <w:rPr>
                <w:rFonts w:ascii="宋体" w:hAnsi="宋体" w:eastAsia="宋体"/>
                <w:sz w:val="16"/>
              </w:rPr>
              <w:t>保障县会议中心正常运转，提升服务水平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9E2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B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D1A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2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8F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13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814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85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03CDD">
            <w:pPr>
              <w:jc w:val="center"/>
            </w:pPr>
          </w:p>
        </w:tc>
      </w:tr>
      <w:tr w14:paraId="7F6FE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6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10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30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1D17">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48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D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DB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D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B7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B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E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27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30C2">
            <w:pPr>
              <w:jc w:val="center"/>
            </w:pPr>
            <w:r>
              <w:rPr>
                <w:rFonts w:ascii="宋体" w:hAnsi="宋体" w:eastAsia="宋体"/>
                <w:sz w:val="16"/>
              </w:rPr>
              <w:t>偏差原因：目标设置不准确。改进措施：合理设置年初目标值项目完成时间达到效果显著</w:t>
            </w:r>
          </w:p>
        </w:tc>
      </w:tr>
      <w:tr w14:paraId="624587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75E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26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54B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3B3A">
            <w:pPr>
              <w:jc w:val="center"/>
            </w:pPr>
            <w:r>
              <w:rPr>
                <w:rFonts w:ascii="宋体" w:hAnsi="宋体" w:eastAsia="宋体"/>
                <w:sz w:val="16"/>
              </w:rPr>
              <w:t>94.61分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10926F"/>
        </w:tc>
      </w:tr>
    </w:tbl>
    <w:p w14:paraId="46570D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A5F7256">
        <w:tblPrEx>
          <w:tblCellMar>
            <w:top w:w="0" w:type="dxa"/>
            <w:left w:w="108" w:type="dxa"/>
            <w:bottom w:w="0" w:type="dxa"/>
            <w:right w:w="108" w:type="dxa"/>
          </w:tblCellMar>
        </w:tblPrEx>
        <w:tc>
          <w:tcPr>
            <w:tcW w:w="8848" w:type="dxa"/>
            <w:gridSpan w:val="14"/>
            <w:vAlign w:val="center"/>
          </w:tcPr>
          <w:p w14:paraId="7B43D980">
            <w:pPr>
              <w:jc w:val="center"/>
            </w:pPr>
            <w:r>
              <w:rPr>
                <w:rFonts w:ascii="宋体" w:hAnsi="宋体" w:eastAsia="宋体"/>
                <w:sz w:val="24"/>
              </w:rPr>
              <w:t>项目支出绩效自评表</w:t>
            </w:r>
          </w:p>
        </w:tc>
      </w:tr>
      <w:tr w14:paraId="68831D4F">
        <w:tblPrEx>
          <w:tblCellMar>
            <w:top w:w="0" w:type="dxa"/>
            <w:left w:w="108" w:type="dxa"/>
            <w:bottom w:w="0" w:type="dxa"/>
            <w:right w:w="108" w:type="dxa"/>
          </w:tblCellMar>
        </w:tblPrEx>
        <w:tc>
          <w:tcPr>
            <w:tcW w:w="8848" w:type="dxa"/>
            <w:gridSpan w:val="14"/>
            <w:vAlign w:val="center"/>
          </w:tcPr>
          <w:p w14:paraId="5B4EA6C0">
            <w:pPr>
              <w:jc w:val="center"/>
            </w:pPr>
            <w:r>
              <w:rPr>
                <w:rFonts w:ascii="宋体" w:hAnsi="宋体" w:eastAsia="宋体"/>
                <w:sz w:val="24"/>
              </w:rPr>
              <w:t>(2024年度)</w:t>
            </w:r>
          </w:p>
        </w:tc>
      </w:tr>
      <w:tr w14:paraId="6EF38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4D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B9CE24">
            <w:pPr>
              <w:jc w:val="center"/>
            </w:pPr>
            <w:r>
              <w:rPr>
                <w:rFonts w:ascii="宋体" w:hAnsi="宋体" w:eastAsia="宋体"/>
                <w:sz w:val="16"/>
              </w:rPr>
              <w:t>县政府办日常公用经费项目</w:t>
            </w:r>
          </w:p>
        </w:tc>
      </w:tr>
      <w:tr w14:paraId="449BB6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CE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06031">
            <w:pPr>
              <w:jc w:val="center"/>
            </w:pPr>
            <w:r>
              <w:rPr>
                <w:rFonts w:ascii="宋体" w:hAnsi="宋体" w:eastAsia="宋体"/>
                <w:sz w:val="16"/>
              </w:rPr>
              <w:t>英吉沙县人民政府办公室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A7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98098">
            <w:pPr>
              <w:jc w:val="center"/>
            </w:pPr>
            <w:r>
              <w:rPr>
                <w:rFonts w:ascii="宋体" w:hAnsi="宋体" w:eastAsia="宋体"/>
                <w:sz w:val="16"/>
              </w:rPr>
              <w:t>英吉沙县人民政府办公室</w:t>
            </w:r>
          </w:p>
        </w:tc>
      </w:tr>
      <w:tr w14:paraId="5CBBB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27F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1A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60E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F02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6B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8F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17D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23CB">
            <w:pPr>
              <w:jc w:val="center"/>
            </w:pPr>
            <w:r>
              <w:rPr>
                <w:rFonts w:ascii="宋体" w:hAnsi="宋体" w:eastAsia="宋体"/>
                <w:sz w:val="16"/>
              </w:rPr>
              <w:t>得分</w:t>
            </w:r>
          </w:p>
        </w:tc>
      </w:tr>
      <w:tr w14:paraId="3D115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BCB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7F3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4C8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B9EC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8F7A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D36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2F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DCCC">
            <w:pPr>
              <w:jc w:val="center"/>
            </w:pPr>
            <w:r>
              <w:rPr>
                <w:rFonts w:ascii="宋体" w:hAnsi="宋体" w:eastAsia="宋体"/>
                <w:sz w:val="16"/>
              </w:rPr>
              <w:t>10.00分</w:t>
            </w:r>
          </w:p>
        </w:tc>
      </w:tr>
      <w:tr w14:paraId="593DF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794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16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9D3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A26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57A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00D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804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A8EB">
            <w:pPr>
              <w:jc w:val="center"/>
            </w:pPr>
            <w:r>
              <w:rPr>
                <w:rFonts w:ascii="宋体" w:hAnsi="宋体" w:eastAsia="宋体"/>
                <w:sz w:val="16"/>
              </w:rPr>
              <w:t>—</w:t>
            </w:r>
          </w:p>
        </w:tc>
      </w:tr>
      <w:tr w14:paraId="59A6A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40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F74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B58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B66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2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A2C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B39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6BAE">
            <w:pPr>
              <w:jc w:val="center"/>
            </w:pPr>
            <w:r>
              <w:rPr>
                <w:rFonts w:ascii="宋体" w:hAnsi="宋体" w:eastAsia="宋体"/>
                <w:sz w:val="16"/>
              </w:rPr>
              <w:t>—</w:t>
            </w:r>
          </w:p>
        </w:tc>
      </w:tr>
      <w:tr w14:paraId="5DBC09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AD2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FE6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5F518">
            <w:pPr>
              <w:jc w:val="center"/>
            </w:pPr>
            <w:r>
              <w:rPr>
                <w:rFonts w:ascii="宋体" w:hAnsi="宋体" w:eastAsia="宋体"/>
                <w:sz w:val="16"/>
              </w:rPr>
              <w:t>实际完成情况</w:t>
            </w:r>
          </w:p>
        </w:tc>
      </w:tr>
      <w:tr w14:paraId="549F4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C8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FAE35">
            <w:pPr>
              <w:jc w:val="both"/>
            </w:pPr>
            <w:r>
              <w:rPr>
                <w:rFonts w:ascii="宋体" w:hAnsi="宋体" w:eastAsia="宋体"/>
                <w:sz w:val="16"/>
              </w:rPr>
              <w:t>该项目计划投入3万元，主要用于政府办工作中的公车维护相关费用，更好地做好重要会议、敏感节点安全工作，提高政府事项的办事效率。密切了党和政府与广大人民群众的联系，维护了我县社会和谐，为我县经济发展营造良好的社会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A20F5E">
            <w:pPr>
              <w:jc w:val="both"/>
            </w:pPr>
            <w:r>
              <w:rPr>
                <w:rFonts w:hint="eastAsia" w:ascii="宋体" w:hAnsi="宋体"/>
                <w:sz w:val="16"/>
                <w:lang w:eastAsia="zh-CN"/>
              </w:rPr>
              <w:t>截至</w:t>
            </w:r>
            <w:r>
              <w:rPr>
                <w:rFonts w:ascii="宋体" w:hAnsi="宋体" w:eastAsia="宋体"/>
                <w:sz w:val="16"/>
              </w:rPr>
              <w:t>2024年12月31日，全年预算数3万元，全年执行数3万元，执行率100%，用于政府办工作中的公车维护相关费用，更好地做好重要会议、敏感节点安全工作，提高政府事项的办事效率。</w:t>
            </w:r>
          </w:p>
        </w:tc>
      </w:tr>
      <w:tr w14:paraId="2C85C4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718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E6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BC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FE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F9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E6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BC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88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E6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78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4F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E1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8255">
            <w:pPr>
              <w:jc w:val="center"/>
            </w:pPr>
            <w:r>
              <w:rPr>
                <w:rFonts w:ascii="宋体" w:hAnsi="宋体" w:eastAsia="宋体"/>
                <w:sz w:val="16"/>
              </w:rPr>
              <w:t>偏差原因分析及改进措施</w:t>
            </w:r>
          </w:p>
        </w:tc>
      </w:tr>
      <w:tr w14:paraId="0F8118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D10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6B3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7B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61AE">
            <w:pPr>
              <w:jc w:val="center"/>
            </w:pPr>
            <w:r>
              <w:rPr>
                <w:rFonts w:ascii="宋体" w:hAnsi="宋体" w:eastAsia="宋体"/>
                <w:sz w:val="16"/>
              </w:rPr>
              <w:t>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C8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C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A0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77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7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0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F52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5C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A862">
            <w:pPr>
              <w:jc w:val="center"/>
            </w:pPr>
          </w:p>
        </w:tc>
      </w:tr>
      <w:tr w14:paraId="2EB84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022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FE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F5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8113">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1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C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B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6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64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AA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8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97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8001">
            <w:pPr>
              <w:jc w:val="center"/>
            </w:pPr>
          </w:p>
        </w:tc>
      </w:tr>
      <w:tr w14:paraId="1E207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38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D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C3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560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7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F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86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D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25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9A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6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4A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3F578">
            <w:pPr>
              <w:jc w:val="center"/>
            </w:pPr>
          </w:p>
        </w:tc>
      </w:tr>
      <w:tr w14:paraId="476ED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D4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B99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130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B213">
            <w:pPr>
              <w:jc w:val="center"/>
            </w:pPr>
            <w:r>
              <w:rPr>
                <w:rFonts w:ascii="宋体" w:hAnsi="宋体" w:eastAsia="宋体"/>
                <w:sz w:val="16"/>
              </w:rPr>
              <w:t>公务用车加油成本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FFF8">
            <w:pPr>
              <w:jc w:val="center"/>
            </w:pPr>
            <w:r>
              <w:rPr>
                <w:rFonts w:ascii="宋体" w:hAnsi="宋体" w:eastAsia="宋体"/>
                <w:sz w:val="16"/>
              </w:rPr>
              <w:t>&lt;=22088元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50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E0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1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8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F4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73A4">
            <w:pPr>
              <w:jc w:val="center"/>
            </w:pPr>
            <w:r>
              <w:rPr>
                <w:rFonts w:ascii="宋体" w:hAnsi="宋体" w:eastAsia="宋体"/>
                <w:sz w:val="16"/>
              </w:rPr>
              <w:t>=22088元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CF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B471E">
            <w:pPr>
              <w:jc w:val="center"/>
            </w:pPr>
          </w:p>
        </w:tc>
      </w:tr>
      <w:tr w14:paraId="52F50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1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33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60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7B7D">
            <w:pPr>
              <w:jc w:val="center"/>
            </w:pPr>
            <w:r>
              <w:rPr>
                <w:rFonts w:ascii="宋体" w:hAnsi="宋体" w:eastAsia="宋体"/>
                <w:sz w:val="16"/>
              </w:rPr>
              <w:t>公务用车购买保险成本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45C2">
            <w:pPr>
              <w:jc w:val="center"/>
            </w:pPr>
            <w:r>
              <w:rPr>
                <w:rFonts w:ascii="宋体" w:hAnsi="宋体" w:eastAsia="宋体"/>
                <w:sz w:val="16"/>
              </w:rPr>
              <w:t>&lt;=7500元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54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A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01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D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7B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3884">
            <w:pPr>
              <w:jc w:val="center"/>
            </w:pPr>
            <w:r>
              <w:rPr>
                <w:rFonts w:ascii="宋体" w:hAnsi="宋体" w:eastAsia="宋体"/>
                <w:sz w:val="16"/>
              </w:rPr>
              <w:t>=7500元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48B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ED22">
            <w:pPr>
              <w:jc w:val="center"/>
            </w:pPr>
          </w:p>
        </w:tc>
      </w:tr>
      <w:tr w14:paraId="38563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12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9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E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A95C">
            <w:pPr>
              <w:jc w:val="center"/>
            </w:pPr>
            <w:r>
              <w:rPr>
                <w:rFonts w:ascii="宋体" w:hAnsi="宋体" w:eastAsia="宋体"/>
                <w:sz w:val="16"/>
              </w:rPr>
              <w:t>公务用车过路费成本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F70F">
            <w:pPr>
              <w:jc w:val="center"/>
            </w:pPr>
            <w:r>
              <w:rPr>
                <w:rFonts w:ascii="宋体" w:hAnsi="宋体" w:eastAsia="宋体"/>
                <w:sz w:val="16"/>
              </w:rPr>
              <w:t>&lt;=99元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CC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F8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CB6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2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90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A182">
            <w:pPr>
              <w:jc w:val="center"/>
            </w:pPr>
            <w:r>
              <w:rPr>
                <w:rFonts w:ascii="宋体" w:hAnsi="宋体" w:eastAsia="宋体"/>
                <w:sz w:val="16"/>
              </w:rPr>
              <w:t>=99元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E35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B668">
            <w:pPr>
              <w:jc w:val="center"/>
            </w:pPr>
          </w:p>
        </w:tc>
      </w:tr>
      <w:tr w14:paraId="541AD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DD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2F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10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57CD">
            <w:pPr>
              <w:jc w:val="center"/>
            </w:pPr>
            <w:r>
              <w:rPr>
                <w:rFonts w:ascii="宋体" w:hAnsi="宋体" w:eastAsia="宋体"/>
                <w:sz w:val="16"/>
              </w:rPr>
              <w:t>公务用车年审费成本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026A">
            <w:pPr>
              <w:jc w:val="center"/>
            </w:pPr>
            <w:r>
              <w:rPr>
                <w:rFonts w:ascii="宋体" w:hAnsi="宋体" w:eastAsia="宋体"/>
                <w:sz w:val="16"/>
              </w:rPr>
              <w:t>&lt;=313元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BF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35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984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E2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30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5F36">
            <w:pPr>
              <w:jc w:val="center"/>
            </w:pPr>
            <w:r>
              <w:rPr>
                <w:rFonts w:ascii="宋体" w:hAnsi="宋体" w:eastAsia="宋体"/>
                <w:sz w:val="16"/>
              </w:rPr>
              <w:t>=313元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FB8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DB6B">
            <w:pPr>
              <w:jc w:val="center"/>
            </w:pPr>
          </w:p>
        </w:tc>
      </w:tr>
      <w:tr w14:paraId="42A00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E0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92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41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0F45">
            <w:pPr>
              <w:jc w:val="center"/>
            </w:pPr>
            <w:r>
              <w:rPr>
                <w:rFonts w:ascii="宋体" w:hAnsi="宋体" w:eastAsia="宋体"/>
                <w:sz w:val="16"/>
              </w:rPr>
              <w:t>保障单位车辆正常运转，提升服务水平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FD39">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A2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F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90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7E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45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AB3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C3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4803">
            <w:pPr>
              <w:jc w:val="center"/>
            </w:pPr>
          </w:p>
        </w:tc>
      </w:tr>
      <w:tr w14:paraId="4A47A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45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64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DF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7567">
            <w:pPr>
              <w:jc w:val="center"/>
            </w:pPr>
            <w:r>
              <w:rPr>
                <w:rFonts w:ascii="宋体" w:hAnsi="宋体" w:eastAsia="宋体"/>
                <w:sz w:val="16"/>
              </w:rPr>
              <w:t>受益单位工作人员满意度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A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3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CD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69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74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EE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5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7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C860">
            <w:pPr>
              <w:jc w:val="center"/>
            </w:pPr>
            <w:r>
              <w:rPr>
                <w:rFonts w:ascii="宋体" w:hAnsi="宋体" w:eastAsia="宋体"/>
                <w:sz w:val="16"/>
              </w:rPr>
              <w:t>偏差原因：项目实施效果较好，满意度较高</w:t>
            </w:r>
          </w:p>
        </w:tc>
      </w:tr>
      <w:tr w14:paraId="26A37A9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2E2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BD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3E8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93F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6D70A0"/>
        </w:tc>
      </w:tr>
    </w:tbl>
    <w:p w14:paraId="36FAE9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5CC3481">
        <w:tblPrEx>
          <w:tblCellMar>
            <w:top w:w="0" w:type="dxa"/>
            <w:left w:w="108" w:type="dxa"/>
            <w:bottom w:w="0" w:type="dxa"/>
            <w:right w:w="108" w:type="dxa"/>
          </w:tblCellMar>
        </w:tblPrEx>
        <w:tc>
          <w:tcPr>
            <w:tcW w:w="8848" w:type="dxa"/>
            <w:gridSpan w:val="14"/>
            <w:vAlign w:val="center"/>
          </w:tcPr>
          <w:p w14:paraId="631E6A44">
            <w:pPr>
              <w:jc w:val="center"/>
            </w:pPr>
            <w:r>
              <w:rPr>
                <w:rFonts w:ascii="宋体" w:hAnsi="宋体" w:eastAsia="宋体"/>
                <w:sz w:val="24"/>
              </w:rPr>
              <w:t>项目支出绩效自评表</w:t>
            </w:r>
          </w:p>
        </w:tc>
      </w:tr>
      <w:tr w14:paraId="0086BD48">
        <w:tblPrEx>
          <w:tblCellMar>
            <w:top w:w="0" w:type="dxa"/>
            <w:left w:w="108" w:type="dxa"/>
            <w:bottom w:w="0" w:type="dxa"/>
            <w:right w:w="108" w:type="dxa"/>
          </w:tblCellMar>
        </w:tblPrEx>
        <w:tc>
          <w:tcPr>
            <w:tcW w:w="8848" w:type="dxa"/>
            <w:gridSpan w:val="14"/>
            <w:vAlign w:val="center"/>
          </w:tcPr>
          <w:p w14:paraId="06A63268">
            <w:pPr>
              <w:jc w:val="center"/>
            </w:pPr>
            <w:r>
              <w:rPr>
                <w:rFonts w:ascii="宋体" w:hAnsi="宋体" w:eastAsia="宋体"/>
                <w:sz w:val="24"/>
              </w:rPr>
              <w:t>(2024年度)</w:t>
            </w:r>
          </w:p>
        </w:tc>
      </w:tr>
      <w:tr w14:paraId="56B74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DA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668A7E">
            <w:pPr>
              <w:jc w:val="center"/>
            </w:pPr>
            <w:r>
              <w:rPr>
                <w:rFonts w:ascii="宋体" w:hAnsi="宋体" w:eastAsia="宋体"/>
                <w:sz w:val="16"/>
              </w:rPr>
              <w:t>英吉沙县人民政府办公室购买法律服务项目</w:t>
            </w:r>
          </w:p>
        </w:tc>
      </w:tr>
      <w:tr w14:paraId="388EEA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44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D57E0">
            <w:pPr>
              <w:jc w:val="center"/>
            </w:pPr>
            <w:r>
              <w:rPr>
                <w:rFonts w:ascii="宋体" w:hAnsi="宋体" w:eastAsia="宋体"/>
                <w:sz w:val="16"/>
              </w:rPr>
              <w:t>英吉沙县人民政府办公室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D3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F77D6">
            <w:pPr>
              <w:jc w:val="center"/>
            </w:pPr>
            <w:r>
              <w:rPr>
                <w:rFonts w:ascii="宋体" w:hAnsi="宋体" w:eastAsia="宋体"/>
                <w:sz w:val="16"/>
              </w:rPr>
              <w:t>英吉沙县人民政府办公室</w:t>
            </w:r>
          </w:p>
        </w:tc>
      </w:tr>
      <w:tr w14:paraId="147220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250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628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B2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D7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B76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B3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19D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7726">
            <w:pPr>
              <w:jc w:val="center"/>
            </w:pPr>
            <w:r>
              <w:rPr>
                <w:rFonts w:ascii="宋体" w:hAnsi="宋体" w:eastAsia="宋体"/>
                <w:sz w:val="16"/>
              </w:rPr>
              <w:t>得分</w:t>
            </w:r>
          </w:p>
        </w:tc>
      </w:tr>
      <w:tr w14:paraId="5844D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6D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EAE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FAE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B57BA">
            <w:pPr>
              <w:jc w:val="center"/>
            </w:pPr>
            <w:r>
              <w:rPr>
                <w:rFonts w:ascii="宋体" w:hAnsi="宋体" w:eastAsia="宋体"/>
                <w:sz w:val="16"/>
              </w:rPr>
              <w:t>129.50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BB412">
            <w:pPr>
              <w:jc w:val="center"/>
            </w:pPr>
            <w:r>
              <w:rPr>
                <w:rFonts w:ascii="宋体" w:hAnsi="宋体" w:eastAsia="宋体"/>
                <w:sz w:val="16"/>
              </w:rPr>
              <w:t>129.50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DE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635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E2E9">
            <w:pPr>
              <w:jc w:val="center"/>
            </w:pPr>
            <w:r>
              <w:rPr>
                <w:rFonts w:ascii="宋体" w:hAnsi="宋体" w:eastAsia="宋体"/>
                <w:sz w:val="16"/>
              </w:rPr>
              <w:t>10.00分</w:t>
            </w:r>
          </w:p>
        </w:tc>
      </w:tr>
      <w:tr w14:paraId="63C40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633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56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B48D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988A2">
            <w:pPr>
              <w:jc w:val="center"/>
            </w:pPr>
            <w:r>
              <w:rPr>
                <w:rFonts w:ascii="宋体" w:hAnsi="宋体" w:eastAsia="宋体"/>
                <w:sz w:val="16"/>
              </w:rPr>
              <w:t>129.50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8683">
            <w:pPr>
              <w:jc w:val="center"/>
            </w:pPr>
            <w:r>
              <w:rPr>
                <w:rFonts w:ascii="宋体" w:hAnsi="宋体" w:eastAsia="宋体"/>
                <w:sz w:val="16"/>
              </w:rPr>
              <w:t>129.50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9E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584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1156">
            <w:pPr>
              <w:jc w:val="center"/>
            </w:pPr>
            <w:r>
              <w:rPr>
                <w:rFonts w:ascii="宋体" w:hAnsi="宋体" w:eastAsia="宋体"/>
                <w:sz w:val="16"/>
              </w:rPr>
              <w:t>—</w:t>
            </w:r>
          </w:p>
        </w:tc>
      </w:tr>
      <w:tr w14:paraId="19B3F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CD3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1F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60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A73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AE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9F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BCD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CA62">
            <w:pPr>
              <w:jc w:val="center"/>
            </w:pPr>
            <w:r>
              <w:rPr>
                <w:rFonts w:ascii="宋体" w:hAnsi="宋体" w:eastAsia="宋体"/>
                <w:sz w:val="16"/>
              </w:rPr>
              <w:t>—</w:t>
            </w:r>
          </w:p>
        </w:tc>
      </w:tr>
      <w:tr w14:paraId="5C950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15A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CB4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7A3BE">
            <w:pPr>
              <w:jc w:val="center"/>
            </w:pPr>
            <w:r>
              <w:rPr>
                <w:rFonts w:ascii="宋体" w:hAnsi="宋体" w:eastAsia="宋体"/>
                <w:sz w:val="16"/>
              </w:rPr>
              <w:t>实际完成情况</w:t>
            </w:r>
          </w:p>
        </w:tc>
      </w:tr>
      <w:tr w14:paraId="3C838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251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42ACB">
            <w:pPr>
              <w:jc w:val="both"/>
            </w:pPr>
            <w:r>
              <w:rPr>
                <w:rFonts w:ascii="宋体" w:hAnsi="宋体" w:eastAsia="宋体"/>
                <w:sz w:val="16"/>
              </w:rPr>
              <w:t>该项目计划使用资金129.5万元，用于支付2023年、2024年度律师事务所服务费。为英吉沙县人民政府、英吉沙县人民政府指定的委办局、国有企事业单位提供法律服务，通过实施该项目，能保障县人民政府法律公信力，提升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69F76B">
            <w:pPr>
              <w:jc w:val="both"/>
            </w:pPr>
            <w:r>
              <w:rPr>
                <w:rFonts w:hint="eastAsia" w:ascii="宋体" w:hAnsi="宋体"/>
                <w:sz w:val="16"/>
                <w:lang w:eastAsia="zh-CN"/>
              </w:rPr>
              <w:t>截至</w:t>
            </w:r>
            <w:r>
              <w:rPr>
                <w:rFonts w:ascii="宋体" w:hAnsi="宋体" w:eastAsia="宋体"/>
                <w:sz w:val="16"/>
              </w:rPr>
              <w:t>2024年12月31日，该项目使用资金129.5万元，用于支付2023年、2024年度聘请新疆元正盛业律师事务所及其团队为英吉沙县人民政府及英吉沙县人民政府指定的委办局、国有企事业单位提供法律顾问服务、信息公开、合同文本审定、规范性文件审查、专项法律服务等业务法律服务，通过实施该项目，能保障县人民政府法律公信力，提升服务水平。</w:t>
            </w:r>
          </w:p>
        </w:tc>
      </w:tr>
      <w:tr w14:paraId="4AC531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287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DA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7A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79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7A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EF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8B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8F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ED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13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22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7D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BAD6A">
            <w:pPr>
              <w:jc w:val="center"/>
            </w:pPr>
            <w:r>
              <w:rPr>
                <w:rFonts w:ascii="宋体" w:hAnsi="宋体" w:eastAsia="宋体"/>
                <w:sz w:val="16"/>
              </w:rPr>
              <w:t>偏差原因分析及改进措施</w:t>
            </w:r>
          </w:p>
        </w:tc>
      </w:tr>
      <w:tr w14:paraId="4F37B7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7FD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9771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42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F32D">
            <w:pPr>
              <w:jc w:val="center"/>
            </w:pPr>
            <w:r>
              <w:rPr>
                <w:rFonts w:ascii="宋体" w:hAnsi="宋体" w:eastAsia="宋体"/>
                <w:sz w:val="16"/>
              </w:rPr>
              <w:t>聘用律师事务所数量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A8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0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39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3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6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B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F3A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B3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55D13">
            <w:pPr>
              <w:jc w:val="center"/>
            </w:pPr>
          </w:p>
        </w:tc>
      </w:tr>
      <w:tr w14:paraId="34C3A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C7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489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3AE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E573">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4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C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8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A8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B0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58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4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C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70672">
            <w:pPr>
              <w:jc w:val="center"/>
            </w:pPr>
          </w:p>
        </w:tc>
      </w:tr>
      <w:tr w14:paraId="3DAF5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9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C1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BF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C41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20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8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3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78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3D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2F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C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C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94C49">
            <w:pPr>
              <w:jc w:val="center"/>
            </w:pPr>
          </w:p>
        </w:tc>
      </w:tr>
      <w:tr w14:paraId="339F1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01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7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BF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3F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DE2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3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A7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2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85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78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AFD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59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5362">
            <w:pPr>
              <w:jc w:val="center"/>
            </w:pPr>
          </w:p>
        </w:tc>
      </w:tr>
      <w:tr w14:paraId="247368B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23F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E47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6BC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E943">
            <w:pPr>
              <w:jc w:val="center"/>
            </w:pPr>
            <w:r>
              <w:rPr>
                <w:rFonts w:ascii="宋体" w:hAnsi="宋体" w:eastAsia="宋体"/>
                <w:sz w:val="16"/>
              </w:rPr>
              <w:t>法律咨询服务成本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136F">
            <w:pPr>
              <w:jc w:val="center"/>
            </w:pPr>
            <w:r>
              <w:rPr>
                <w:rFonts w:ascii="宋体" w:hAnsi="宋体" w:eastAsia="宋体"/>
                <w:sz w:val="16"/>
              </w:rPr>
              <w:t>&lt;=129.5万元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31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4343">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BD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1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24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3B18">
            <w:pPr>
              <w:jc w:val="center"/>
            </w:pPr>
            <w:r>
              <w:rPr>
                <w:rFonts w:ascii="宋体" w:hAnsi="宋体" w:eastAsia="宋体"/>
                <w:sz w:val="16"/>
              </w:rPr>
              <w: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C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1896">
            <w:pPr>
              <w:jc w:val="center"/>
            </w:pPr>
          </w:p>
        </w:tc>
      </w:tr>
      <w:tr w14:paraId="6E360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9A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F7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ED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D4DB">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E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CC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2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9A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B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52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9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44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B03F">
            <w:pPr>
              <w:jc w:val="center"/>
            </w:pPr>
          </w:p>
        </w:tc>
      </w:tr>
      <w:tr w14:paraId="66ECD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49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D0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0A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CF60">
            <w:pPr>
              <w:jc w:val="center"/>
            </w:pPr>
            <w:r>
              <w:rPr>
                <w:rFonts w:ascii="宋体" w:hAnsi="宋体" w:eastAsia="宋体"/>
                <w:sz w:val="16"/>
              </w:rPr>
              <w:t>保障县人民政府法律公信力，提升服务水平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B07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7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7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52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0C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8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958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7E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9CCDA">
            <w:pPr>
              <w:jc w:val="center"/>
            </w:pPr>
          </w:p>
        </w:tc>
      </w:tr>
      <w:tr w14:paraId="01BC3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4A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94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F4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04D6">
            <w:pPr>
              <w:jc w:val="center"/>
            </w:pPr>
            <w:r>
              <w:rPr>
                <w:rFonts w:ascii="宋体" w:hAnsi="宋体" w:eastAsia="宋体"/>
                <w:sz w:val="16"/>
              </w:rPr>
              <w:t>受益聘用律师事务所满意度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8D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1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1D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B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18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F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8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B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A9ED">
            <w:pPr>
              <w:jc w:val="center"/>
            </w:pPr>
            <w:r>
              <w:rPr>
                <w:rFonts w:ascii="宋体" w:hAnsi="宋体" w:eastAsia="宋体"/>
                <w:sz w:val="16"/>
              </w:rPr>
              <w:t>偏差原因：项目实施效果较好，满意度较高</w:t>
            </w:r>
          </w:p>
        </w:tc>
      </w:tr>
      <w:tr w14:paraId="0EAB79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F18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77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742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DE6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17BA37"/>
        </w:tc>
      </w:tr>
    </w:tbl>
    <w:p w14:paraId="630898D3">
      <w:r>
        <w:br w:type="page"/>
      </w:r>
    </w:p>
    <w:p w14:paraId="6CE594AD">
      <w:pPr>
        <w:spacing w:line="640" w:lineRule="exact"/>
        <w:ind w:firstLine="640"/>
        <w:jc w:val="both"/>
        <w:outlineLvl w:val="2"/>
      </w:pPr>
      <w:r>
        <w:rPr>
          <w:rFonts w:ascii="黑体" w:hAnsi="黑体" w:eastAsia="黑体"/>
          <w:sz w:val="32"/>
        </w:rPr>
        <w:t>十二、其他需说明的事项</w:t>
      </w:r>
    </w:p>
    <w:p w14:paraId="2AFFECFA">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14:paraId="61E13129">
      <w:r>
        <w:br w:type="page"/>
      </w:r>
    </w:p>
    <w:p w14:paraId="58A99FF2">
      <w:pPr>
        <w:spacing w:line="240" w:lineRule="auto"/>
        <w:jc w:val="center"/>
        <w:outlineLvl w:val="1"/>
      </w:pPr>
      <w:r>
        <w:rPr>
          <w:rFonts w:ascii="黑体" w:hAnsi="黑体" w:eastAsia="黑体"/>
          <w:sz w:val="32"/>
        </w:rPr>
        <w:t>第三部分 专业名词解释</w:t>
      </w:r>
    </w:p>
    <w:p w14:paraId="794A30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E644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3E7C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D44E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6F719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06060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6FE9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5D47B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C7449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60A62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DBEF4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2686C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1DC99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761287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041033">
      <w:r>
        <w:br w:type="page"/>
      </w:r>
    </w:p>
    <w:p w14:paraId="735A8BD3">
      <w:pPr>
        <w:spacing w:line="240" w:lineRule="auto"/>
        <w:jc w:val="center"/>
        <w:outlineLvl w:val="1"/>
      </w:pPr>
      <w:r>
        <w:rPr>
          <w:rFonts w:ascii="黑体" w:hAnsi="黑体" w:eastAsia="黑体"/>
          <w:sz w:val="32"/>
        </w:rPr>
        <w:t>第四部分 部门决算报表（见附表）</w:t>
      </w:r>
    </w:p>
    <w:p w14:paraId="69A3DBE3">
      <w:pPr>
        <w:spacing w:line="240" w:lineRule="auto"/>
        <w:ind w:firstLine="640"/>
        <w:jc w:val="both"/>
      </w:pPr>
      <w:r>
        <w:rPr>
          <w:rFonts w:ascii="仿宋_GB2312" w:hAnsi="仿宋_GB2312" w:eastAsia="仿宋_GB2312"/>
          <w:b w:val="0"/>
          <w:sz w:val="32"/>
        </w:rPr>
        <w:t>一、《收入支出决算总表》</w:t>
      </w:r>
    </w:p>
    <w:p w14:paraId="6B9EA2C0">
      <w:pPr>
        <w:spacing w:line="240" w:lineRule="auto"/>
        <w:ind w:firstLine="640"/>
        <w:jc w:val="both"/>
      </w:pPr>
      <w:r>
        <w:rPr>
          <w:rFonts w:ascii="仿宋_GB2312" w:hAnsi="仿宋_GB2312" w:eastAsia="仿宋_GB2312"/>
          <w:b w:val="0"/>
          <w:sz w:val="32"/>
        </w:rPr>
        <w:t>二、《收入决算表》</w:t>
      </w:r>
    </w:p>
    <w:p w14:paraId="3AE93293">
      <w:pPr>
        <w:spacing w:line="240" w:lineRule="auto"/>
        <w:ind w:firstLine="640"/>
        <w:jc w:val="both"/>
      </w:pPr>
      <w:r>
        <w:rPr>
          <w:rFonts w:ascii="仿宋_GB2312" w:hAnsi="仿宋_GB2312" w:eastAsia="仿宋_GB2312"/>
          <w:b w:val="0"/>
          <w:sz w:val="32"/>
        </w:rPr>
        <w:t>三、《支出决算表》</w:t>
      </w:r>
    </w:p>
    <w:p w14:paraId="76F47CD3">
      <w:pPr>
        <w:spacing w:line="240" w:lineRule="auto"/>
        <w:ind w:firstLine="640"/>
        <w:jc w:val="both"/>
      </w:pPr>
      <w:r>
        <w:rPr>
          <w:rFonts w:ascii="仿宋_GB2312" w:hAnsi="仿宋_GB2312" w:eastAsia="仿宋_GB2312"/>
          <w:b w:val="0"/>
          <w:sz w:val="32"/>
        </w:rPr>
        <w:t>四、《财政拨款收入支出决算总表》</w:t>
      </w:r>
    </w:p>
    <w:p w14:paraId="001F03D1">
      <w:pPr>
        <w:spacing w:line="240" w:lineRule="auto"/>
        <w:ind w:firstLine="640"/>
        <w:jc w:val="both"/>
      </w:pPr>
      <w:r>
        <w:rPr>
          <w:rFonts w:ascii="仿宋_GB2312" w:hAnsi="仿宋_GB2312" w:eastAsia="仿宋_GB2312"/>
          <w:b w:val="0"/>
          <w:sz w:val="32"/>
        </w:rPr>
        <w:t>五、《一般公共预算财政拨款支出决算表》</w:t>
      </w:r>
    </w:p>
    <w:p w14:paraId="20B007F1">
      <w:pPr>
        <w:spacing w:line="240" w:lineRule="auto"/>
        <w:ind w:firstLine="640"/>
        <w:jc w:val="both"/>
      </w:pPr>
      <w:r>
        <w:rPr>
          <w:rFonts w:ascii="仿宋_GB2312" w:hAnsi="仿宋_GB2312" w:eastAsia="仿宋_GB2312"/>
          <w:b w:val="0"/>
          <w:sz w:val="32"/>
        </w:rPr>
        <w:t>六、《一般公共预算财政拨款基本支出决算表》</w:t>
      </w:r>
    </w:p>
    <w:p w14:paraId="15BC2991">
      <w:pPr>
        <w:spacing w:line="240" w:lineRule="auto"/>
        <w:ind w:firstLine="640"/>
        <w:jc w:val="both"/>
      </w:pPr>
      <w:r>
        <w:rPr>
          <w:rFonts w:ascii="仿宋_GB2312" w:hAnsi="仿宋_GB2312" w:eastAsia="仿宋_GB2312"/>
          <w:b w:val="0"/>
          <w:sz w:val="32"/>
        </w:rPr>
        <w:t>七、《政府性基金预算财政拨款收入支出决算表》</w:t>
      </w:r>
    </w:p>
    <w:p w14:paraId="4C12AF14">
      <w:pPr>
        <w:spacing w:line="240" w:lineRule="auto"/>
        <w:ind w:firstLine="640"/>
        <w:jc w:val="both"/>
      </w:pPr>
      <w:r>
        <w:rPr>
          <w:rFonts w:ascii="仿宋_GB2312" w:hAnsi="仿宋_GB2312" w:eastAsia="仿宋_GB2312"/>
          <w:b w:val="0"/>
          <w:sz w:val="32"/>
        </w:rPr>
        <w:t>八、《国有资本经营预算财政拨款收入支出决算表》</w:t>
      </w:r>
    </w:p>
    <w:p w14:paraId="479D8DF8">
      <w:pPr>
        <w:spacing w:line="240" w:lineRule="auto"/>
        <w:ind w:firstLine="640"/>
        <w:jc w:val="both"/>
      </w:pPr>
      <w:r>
        <w:rPr>
          <w:rFonts w:ascii="仿宋_GB2312" w:hAnsi="仿宋_GB2312" w:eastAsia="仿宋_GB2312"/>
          <w:b w:val="0"/>
          <w:sz w:val="32"/>
        </w:rPr>
        <w:t>九、《财政拨款“三公”经费支出决算表》</w:t>
      </w:r>
    </w:p>
    <w:p w14:paraId="56F26AA8">
      <w:pPr>
        <w:spacing w:line="240" w:lineRule="auto"/>
        <w:ind w:firstLine="640"/>
        <w:jc w:val="both"/>
      </w:pPr>
    </w:p>
    <w:p w14:paraId="5592FDE3">
      <w:pPr>
        <w:spacing w:line="240" w:lineRule="auto"/>
        <w:ind w:firstLine="640"/>
        <w:jc w:val="both"/>
      </w:pPr>
    </w:p>
    <w:p w14:paraId="4EEB233B">
      <w:pPr>
        <w:spacing w:line="240" w:lineRule="auto"/>
        <w:ind w:firstLine="640"/>
        <w:jc w:val="both"/>
      </w:pPr>
    </w:p>
    <w:p w14:paraId="04B10CD1">
      <w:pPr>
        <w:spacing w:line="240" w:lineRule="auto"/>
        <w:ind w:firstLine="640"/>
        <w:jc w:val="both"/>
      </w:pPr>
    </w:p>
    <w:p w14:paraId="561FE0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33698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85D17"/>
    <w:rsid w:val="4B4C0111"/>
    <w:rsid w:val="4BB23021"/>
    <w:rsid w:val="4F3F074E"/>
    <w:rsid w:val="50DB5F45"/>
    <w:rsid w:val="52F92565"/>
    <w:rsid w:val="543D17CB"/>
    <w:rsid w:val="55DA564E"/>
    <w:rsid w:val="56E07045"/>
    <w:rsid w:val="583059FA"/>
    <w:rsid w:val="587E6212"/>
    <w:rsid w:val="5AFC6609"/>
    <w:rsid w:val="5ED4269A"/>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162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6010</Words>
  <Characters>6861</Characters>
  <Lines>0</Lines>
  <Paragraphs>0</Paragraphs>
  <TotalTime>11</TotalTime>
  <ScaleCrop>false</ScaleCrop>
  <LinksUpToDate>false</LinksUpToDate>
  <CharactersWithSpaces>6869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2025-12-26T03:42:51Z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eyJoZGlkIjoiNTU2MjViZmJjYjVhNzQ5YTFkM2E1YjkwZTE1NzBlMDgiLCJ1c2VySWQiOiIyMDM3MTI1NTkifQ==</vt:lpwstr>
  </property>
</Properties>
</file>