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英吉沙县信访局2024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8E4C51B">
      <w:r>
        <w:br w:type="page"/>
      </w:r>
    </w:p>
    <w:p w14:paraId="7C3CBC87">
      <w:pPr>
        <w:spacing w:line="640" w:lineRule="exact"/>
        <w:jc w:val="center"/>
        <w:outlineLvl w:val="1"/>
      </w:pPr>
      <w:r>
        <w:rPr>
          <w:rFonts w:ascii="黑体" w:hAnsi="黑体" w:eastAsia="黑体"/>
          <w:sz w:val="32"/>
        </w:rPr>
        <w:t>第一部分 单位概况</w:t>
      </w:r>
    </w:p>
    <w:p w14:paraId="237E27BF">
      <w:pPr>
        <w:spacing w:line="640" w:lineRule="exact"/>
        <w:ind w:firstLine="640"/>
        <w:jc w:val="both"/>
        <w:outlineLvl w:val="2"/>
      </w:pPr>
      <w:r>
        <w:rPr>
          <w:rFonts w:ascii="黑体" w:hAnsi="黑体" w:eastAsia="黑体"/>
          <w:sz w:val="32"/>
        </w:rPr>
        <w:t>一、主要职能</w:t>
      </w:r>
    </w:p>
    <w:p w14:paraId="07BDC597">
      <w:pPr>
        <w:spacing w:line="580" w:lineRule="exact"/>
        <w:ind w:firstLine="640"/>
        <w:jc w:val="both"/>
      </w:pPr>
      <w:r>
        <w:rPr>
          <w:rFonts w:ascii="仿宋_GB2312" w:hAnsi="仿宋_GB2312" w:eastAsia="仿宋_GB2312"/>
          <w:sz w:val="32"/>
        </w:rPr>
        <w:t>（一）贯彻落实中央和自治区关于信访工作的法律法规和方针政策，宣传和贯彻落实《信访条例》，综合协调指导</w:t>
      </w:r>
      <w:r>
        <w:rPr>
          <w:rFonts w:hint="eastAsia" w:ascii="仿宋_GB2312" w:hAnsi="仿宋_GB2312" w:eastAsia="仿宋_GB2312"/>
          <w:sz w:val="32"/>
          <w:lang w:val="en-US" w:eastAsia="zh-CN"/>
        </w:rPr>
        <w:t>全</w:t>
      </w:r>
      <w:r>
        <w:rPr>
          <w:rFonts w:ascii="仿宋_GB2312" w:hAnsi="仿宋_GB2312" w:eastAsia="仿宋_GB2312"/>
          <w:sz w:val="32"/>
        </w:rPr>
        <w:t>县信访工作。</w:t>
      </w:r>
    </w:p>
    <w:p w14:paraId="5741C6A3">
      <w:pPr>
        <w:spacing w:line="580" w:lineRule="exact"/>
        <w:ind w:firstLine="640"/>
        <w:jc w:val="both"/>
      </w:pPr>
      <w:r>
        <w:rPr>
          <w:rFonts w:ascii="仿宋_GB2312" w:hAnsi="仿宋_GB2312" w:eastAsia="仿宋_GB2312"/>
          <w:sz w:val="32"/>
        </w:rPr>
        <w:t>（二）负责处理国内群众、境外人士、法人及其他组织通过信访渠道给县委、县人民政府</w:t>
      </w:r>
      <w:bookmarkStart w:id="0" w:name="_GoBack"/>
      <w:bookmarkEnd w:id="0"/>
      <w:r>
        <w:rPr>
          <w:rFonts w:ascii="仿宋_GB2312" w:hAnsi="仿宋_GB2312" w:eastAsia="仿宋_GB2312"/>
          <w:sz w:val="32"/>
        </w:rPr>
        <w:t>领导同志的来信来电，接待群众来访。</w:t>
      </w:r>
    </w:p>
    <w:p w14:paraId="685D6A1C">
      <w:pPr>
        <w:spacing w:line="580" w:lineRule="exact"/>
        <w:ind w:firstLine="640"/>
        <w:jc w:val="both"/>
      </w:pPr>
      <w:r>
        <w:rPr>
          <w:rFonts w:ascii="仿宋_GB2312" w:hAnsi="仿宋_GB2312" w:eastAsia="仿宋_GB2312"/>
          <w:sz w:val="32"/>
        </w:rPr>
        <w:t>（三）负责向县委、县人民政府反映群众来信来电来访中提出的重要建议、意见和问题，综合研判信访信息，开展调查研究，提出制定修改完善有关方针政策的建议。</w:t>
      </w:r>
    </w:p>
    <w:p w14:paraId="318CBDBD">
      <w:pPr>
        <w:spacing w:line="580" w:lineRule="exact"/>
        <w:ind w:firstLine="640"/>
        <w:jc w:val="both"/>
      </w:pPr>
      <w:r>
        <w:rPr>
          <w:rFonts w:ascii="仿宋_GB2312" w:hAnsi="仿宋_GB2312" w:eastAsia="仿宋_GB2312"/>
          <w:sz w:val="32"/>
        </w:rPr>
        <w:t>（四）承办上级机关和县委、县人民政府领导同志交办的信访事项，督促检查领导同志有关批示落实情况，拟定信访督查制度并组织实施，承办县领导交办信访事项的落实，向有关单位和乡镇转办、交办信访事项，督促检查重要信访事项的处理和落实。</w:t>
      </w:r>
    </w:p>
    <w:p w14:paraId="69D2D71D">
      <w:pPr>
        <w:spacing w:line="580" w:lineRule="exact"/>
        <w:ind w:firstLine="640"/>
        <w:jc w:val="both"/>
      </w:pPr>
      <w:r>
        <w:rPr>
          <w:rFonts w:ascii="仿宋_GB2312" w:hAnsi="仿宋_GB2312" w:eastAsia="仿宋_GB2312"/>
          <w:sz w:val="32"/>
        </w:rPr>
        <w:t>（五）承担协调处理群众进京、赴自治区、地区上访、集体上访的责任，综合协调处理跨县、跨行业、跨部门和人事分离、人户分离、人事户分离的重要信访问题。</w:t>
      </w:r>
    </w:p>
    <w:p w14:paraId="22CD3B98">
      <w:pPr>
        <w:spacing w:line="580" w:lineRule="exact"/>
        <w:ind w:firstLine="640"/>
        <w:jc w:val="both"/>
      </w:pPr>
      <w:r>
        <w:rPr>
          <w:rFonts w:ascii="仿宋_GB2312" w:hAnsi="仿宋_GB2312" w:eastAsia="仿宋_GB2312"/>
          <w:sz w:val="32"/>
        </w:rPr>
        <w:t>（六）制定信访问题排查化解措施并组织实施，建立和完善信访信息汇集分析机制，指导县信访信息系统建设和应用。</w:t>
      </w:r>
    </w:p>
    <w:p w14:paraId="51B21F47">
      <w:pPr>
        <w:spacing w:line="580" w:lineRule="exact"/>
        <w:ind w:firstLine="640"/>
        <w:jc w:val="both"/>
      </w:pPr>
      <w:r>
        <w:rPr>
          <w:rFonts w:ascii="仿宋_GB2312" w:hAnsi="仿宋_GB2312" w:eastAsia="仿宋_GB2312"/>
          <w:sz w:val="32"/>
        </w:rPr>
        <w:t>（七）承担县信访工作联席会议的日常工作，督促落实县信访工作联席会议决定的事项。</w:t>
      </w:r>
    </w:p>
    <w:p w14:paraId="246586D4">
      <w:pPr>
        <w:spacing w:line="580" w:lineRule="exact"/>
        <w:ind w:firstLine="640"/>
        <w:jc w:val="both"/>
      </w:pPr>
      <w:r>
        <w:rPr>
          <w:rFonts w:ascii="仿宋_GB2312" w:hAnsi="仿宋_GB2312" w:eastAsia="仿宋_GB2312"/>
          <w:sz w:val="32"/>
        </w:rPr>
        <w:t>（八）协调和组织信访工作的宣传和有关信息的发布，了解掌握信访干部队伍，做好接待大厅接访工作，有针对性</w:t>
      </w:r>
      <w:r>
        <w:rPr>
          <w:rFonts w:hint="eastAsia" w:ascii="仿宋_GB2312" w:hAnsi="仿宋_GB2312" w:eastAsia="仿宋_GB2312"/>
          <w:sz w:val="32"/>
          <w:lang w:eastAsia="zh-CN"/>
        </w:rPr>
        <w:t>地</w:t>
      </w:r>
      <w:r>
        <w:rPr>
          <w:rFonts w:ascii="仿宋_GB2312" w:hAnsi="仿宋_GB2312" w:eastAsia="仿宋_GB2312"/>
          <w:sz w:val="32"/>
        </w:rPr>
        <w:t>组织干部培训。</w:t>
      </w:r>
    </w:p>
    <w:p w14:paraId="04DD5DA1">
      <w:pPr>
        <w:spacing w:line="580" w:lineRule="exact"/>
        <w:ind w:firstLine="640"/>
        <w:jc w:val="both"/>
      </w:pPr>
      <w:r>
        <w:rPr>
          <w:rFonts w:ascii="仿宋_GB2312" w:hAnsi="仿宋_GB2312" w:eastAsia="仿宋_GB2312"/>
          <w:sz w:val="32"/>
        </w:rPr>
        <w:t>（九）承办县委、县人民政府交办的其他任务。</w:t>
      </w:r>
    </w:p>
    <w:p w14:paraId="4F3F0EC6">
      <w:pPr>
        <w:spacing w:line="640" w:lineRule="exact"/>
        <w:ind w:firstLine="640"/>
        <w:jc w:val="both"/>
        <w:outlineLvl w:val="2"/>
      </w:pPr>
      <w:r>
        <w:rPr>
          <w:rFonts w:ascii="黑体" w:hAnsi="黑体" w:eastAsia="黑体"/>
          <w:sz w:val="32"/>
        </w:rPr>
        <w:t>二、机构设置及人员情况</w:t>
      </w:r>
    </w:p>
    <w:p w14:paraId="3C6205D1">
      <w:pPr>
        <w:spacing w:line="580" w:lineRule="exact"/>
        <w:ind w:firstLine="640"/>
        <w:jc w:val="both"/>
      </w:pPr>
      <w:r>
        <w:rPr>
          <w:rFonts w:ascii="仿宋_GB2312" w:hAnsi="仿宋_GB2312" w:eastAsia="仿宋_GB2312"/>
          <w:sz w:val="32"/>
        </w:rPr>
        <w:t>英吉沙县信访局2024年度，实有人数5人，其中：在职人员4人，增加4人；离休人员0人，增加0人；退休人员1人,增加1人。</w:t>
      </w:r>
    </w:p>
    <w:p w14:paraId="527578DC">
      <w:pPr>
        <w:spacing w:line="580" w:lineRule="exact"/>
        <w:ind w:firstLine="640"/>
        <w:jc w:val="both"/>
      </w:pPr>
      <w:r>
        <w:rPr>
          <w:rFonts w:ascii="仿宋_GB2312" w:hAnsi="仿宋_GB2312" w:eastAsia="仿宋_GB2312"/>
          <w:sz w:val="32"/>
        </w:rPr>
        <w:t>英吉沙县信访局无下属预算单位，下设2个科室，分别是：县信访接待大厅、县信访局办公室。</w:t>
      </w:r>
    </w:p>
    <w:p w14:paraId="1FA81B2F">
      <w:r>
        <w:br w:type="page"/>
      </w:r>
    </w:p>
    <w:p w14:paraId="48846A8A">
      <w:pPr>
        <w:spacing w:line="240" w:lineRule="auto"/>
        <w:jc w:val="center"/>
        <w:outlineLvl w:val="1"/>
      </w:pPr>
      <w:r>
        <w:rPr>
          <w:rFonts w:ascii="黑体" w:hAnsi="黑体" w:eastAsia="黑体"/>
          <w:sz w:val="32"/>
        </w:rPr>
        <w:t>第二部分 部门决算情况说明</w:t>
      </w:r>
    </w:p>
    <w:p w14:paraId="2A464C8E">
      <w:pPr>
        <w:spacing w:line="640" w:lineRule="exact"/>
        <w:ind w:firstLine="640"/>
        <w:jc w:val="both"/>
        <w:outlineLvl w:val="2"/>
      </w:pPr>
      <w:r>
        <w:rPr>
          <w:rFonts w:ascii="黑体" w:hAnsi="黑体" w:eastAsia="黑体"/>
          <w:sz w:val="32"/>
        </w:rPr>
        <w:t>一、收入支出决算总体情况说明</w:t>
      </w:r>
    </w:p>
    <w:p w14:paraId="34A6D1F7">
      <w:pPr>
        <w:spacing w:line="580" w:lineRule="exact"/>
        <w:ind w:firstLine="640"/>
        <w:jc w:val="both"/>
      </w:pPr>
      <w:r>
        <w:rPr>
          <w:rFonts w:ascii="仿宋_GB2312" w:hAnsi="仿宋_GB2312" w:eastAsia="仿宋_GB2312"/>
          <w:b/>
          <w:sz w:val="32"/>
        </w:rPr>
        <w:t>2024年度收入总计91.40万元，</w:t>
      </w:r>
      <w:r>
        <w:rPr>
          <w:rFonts w:ascii="仿宋_GB2312" w:hAnsi="仿宋_GB2312" w:eastAsia="仿宋_GB2312"/>
          <w:b w:val="0"/>
          <w:sz w:val="32"/>
        </w:rPr>
        <w:t>其中：本年收入合计91.40万元，使用非财政拨款结余（含专用结余）0.00万元，年初结转和结余0.00万元。</w:t>
      </w:r>
    </w:p>
    <w:p w14:paraId="75EABC3D">
      <w:pPr>
        <w:spacing w:line="580" w:lineRule="exact"/>
        <w:ind w:firstLine="640"/>
        <w:jc w:val="both"/>
      </w:pPr>
      <w:r>
        <w:rPr>
          <w:rFonts w:ascii="仿宋_GB2312" w:hAnsi="仿宋_GB2312" w:eastAsia="仿宋_GB2312"/>
          <w:b/>
          <w:sz w:val="32"/>
        </w:rPr>
        <w:t>2024年度支出总计91.40万元，</w:t>
      </w:r>
      <w:r>
        <w:rPr>
          <w:rFonts w:ascii="仿宋_GB2312" w:hAnsi="仿宋_GB2312" w:eastAsia="仿宋_GB2312"/>
          <w:b w:val="0"/>
          <w:sz w:val="32"/>
        </w:rPr>
        <w:t>其中：本年支出合计91.40万元，结余分配0.00万元，年末结转和结余0.00万元。</w:t>
      </w:r>
    </w:p>
    <w:p w14:paraId="5231C430">
      <w:pPr>
        <w:spacing w:line="580" w:lineRule="exact"/>
        <w:ind w:firstLine="640"/>
        <w:jc w:val="both"/>
      </w:pPr>
      <w:r>
        <w:rPr>
          <w:rFonts w:ascii="仿宋_GB2312" w:hAnsi="仿宋_GB2312" w:eastAsia="仿宋_GB2312"/>
          <w:b w:val="0"/>
          <w:sz w:val="32"/>
        </w:rPr>
        <w:t>收入支出总体与上年相比，增加91.40万元，增长100.00%，主要原因是：本年机构改革，上年与英吉沙县人民政府办公室统一编报公开，本年独立核算，无上年对比数据。</w:t>
      </w:r>
    </w:p>
    <w:p w14:paraId="359DDBF6">
      <w:pPr>
        <w:spacing w:line="640" w:lineRule="exact"/>
        <w:ind w:firstLine="640"/>
        <w:jc w:val="both"/>
        <w:outlineLvl w:val="2"/>
      </w:pPr>
      <w:r>
        <w:rPr>
          <w:rFonts w:ascii="黑体" w:hAnsi="黑体" w:eastAsia="黑体"/>
          <w:sz w:val="32"/>
        </w:rPr>
        <w:t>二、收入决算情况说明</w:t>
      </w:r>
    </w:p>
    <w:p w14:paraId="075116D9">
      <w:pPr>
        <w:spacing w:line="580" w:lineRule="exact"/>
        <w:ind w:firstLine="640"/>
        <w:jc w:val="both"/>
      </w:pPr>
      <w:r>
        <w:rPr>
          <w:rFonts w:ascii="仿宋_GB2312" w:hAnsi="仿宋_GB2312" w:eastAsia="仿宋_GB2312"/>
          <w:b/>
          <w:sz w:val="32"/>
        </w:rPr>
        <w:t>本年收入91.40万元，</w:t>
      </w:r>
      <w:r>
        <w:rPr>
          <w:rFonts w:ascii="仿宋_GB2312" w:hAnsi="仿宋_GB2312" w:eastAsia="仿宋_GB2312"/>
          <w:b w:val="0"/>
          <w:sz w:val="32"/>
        </w:rPr>
        <w:t>其中：财政拨款收入91.40万元，占100.00%；上级补助收入0.00万元，占0.00%；事业收入0.00万元，占0.00%；经营收入0.00万元，占0.00%；附属单位上缴收入0.00万元，占0.00%；其他收入0.00万元，占0.00%。</w:t>
      </w:r>
    </w:p>
    <w:p w14:paraId="6BAACB8C">
      <w:pPr>
        <w:spacing w:line="640" w:lineRule="exact"/>
        <w:ind w:firstLine="640"/>
        <w:jc w:val="both"/>
        <w:outlineLvl w:val="2"/>
      </w:pPr>
      <w:r>
        <w:rPr>
          <w:rFonts w:ascii="黑体" w:hAnsi="黑体" w:eastAsia="黑体"/>
          <w:sz w:val="32"/>
        </w:rPr>
        <w:t>三、支出决算情况说明</w:t>
      </w:r>
    </w:p>
    <w:p w14:paraId="226F5468">
      <w:pPr>
        <w:spacing w:line="580" w:lineRule="exact"/>
        <w:ind w:firstLine="640"/>
        <w:jc w:val="both"/>
      </w:pPr>
      <w:r>
        <w:rPr>
          <w:rFonts w:ascii="仿宋_GB2312" w:hAnsi="仿宋_GB2312" w:eastAsia="仿宋_GB2312"/>
          <w:b/>
          <w:sz w:val="32"/>
        </w:rPr>
        <w:t>本年支出91.40万元，</w:t>
      </w:r>
      <w:r>
        <w:rPr>
          <w:rFonts w:ascii="仿宋_GB2312" w:hAnsi="仿宋_GB2312" w:eastAsia="仿宋_GB2312"/>
          <w:b w:val="0"/>
          <w:sz w:val="32"/>
        </w:rPr>
        <w:t>其中：基本支出86.84万元，占95.01%；项目支出4.56万元，占4.99%；上缴上级支出0.00万元，占0.00%；经营支出0.00万元，占0.00%；对附属单位补助支出0.00万元，占0.00%。</w:t>
      </w:r>
    </w:p>
    <w:p w14:paraId="676E3919">
      <w:pPr>
        <w:spacing w:line="640" w:lineRule="exact"/>
        <w:ind w:firstLine="640"/>
        <w:jc w:val="both"/>
        <w:outlineLvl w:val="2"/>
      </w:pPr>
      <w:r>
        <w:rPr>
          <w:rFonts w:ascii="黑体" w:hAnsi="黑体" w:eastAsia="黑体"/>
          <w:sz w:val="32"/>
        </w:rPr>
        <w:t>四、财政拨款收入支出决算总体情况说明</w:t>
      </w:r>
    </w:p>
    <w:p w14:paraId="629BBB4A">
      <w:pPr>
        <w:spacing w:line="580" w:lineRule="exact"/>
        <w:ind w:firstLine="640"/>
        <w:jc w:val="both"/>
      </w:pPr>
      <w:r>
        <w:rPr>
          <w:rFonts w:ascii="仿宋_GB2312" w:hAnsi="仿宋_GB2312" w:eastAsia="仿宋_GB2312"/>
          <w:b/>
          <w:sz w:val="32"/>
        </w:rPr>
        <w:t>2024年度财政拨款收入总计91.40万元，</w:t>
      </w:r>
      <w:r>
        <w:rPr>
          <w:rFonts w:ascii="仿宋_GB2312" w:hAnsi="仿宋_GB2312" w:eastAsia="仿宋_GB2312"/>
          <w:b w:val="0"/>
          <w:sz w:val="32"/>
        </w:rPr>
        <w:t>其中：年初财政拨款结转和结余0.00万元，本年财政拨款收入91.40万元。</w:t>
      </w:r>
      <w:r>
        <w:rPr>
          <w:rFonts w:ascii="仿宋_GB2312" w:hAnsi="仿宋_GB2312" w:eastAsia="仿宋_GB2312"/>
          <w:b/>
          <w:sz w:val="32"/>
        </w:rPr>
        <w:t>财政拨款支出总计91.40万元，</w:t>
      </w:r>
      <w:r>
        <w:rPr>
          <w:rFonts w:ascii="仿宋_GB2312" w:hAnsi="仿宋_GB2312" w:eastAsia="仿宋_GB2312"/>
          <w:b w:val="0"/>
          <w:sz w:val="32"/>
        </w:rPr>
        <w:t>其中：年末财政拨款结转和结余0.00万元，本年财政拨款支出91.40万元。</w:t>
      </w:r>
    </w:p>
    <w:p w14:paraId="7647FB6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增加91.40万元，增长100.00%，主要原因是：本年机构改革，上年与英吉沙县人民政府办公室统一编报公开，本年独立核算，无上年对比数据。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年初预算数85.82万元，决算数91.40万元，预决算差异率6.50%，主要原因是：年中追加人员工资、社保、公积金基数调增部分资金，导致预决算差异。</w:t>
      </w:r>
    </w:p>
    <w:p w14:paraId="202C8F2B">
      <w:pPr>
        <w:spacing w:line="640" w:lineRule="exact"/>
        <w:ind w:firstLine="640"/>
        <w:jc w:val="both"/>
        <w:outlineLvl w:val="2"/>
      </w:pPr>
      <w:r>
        <w:rPr>
          <w:rFonts w:ascii="黑体" w:hAnsi="黑体" w:eastAsia="黑体"/>
          <w:sz w:val="32"/>
        </w:rPr>
        <w:t>五、一般公共预算财政拨款支出决算情况说明</w:t>
      </w:r>
    </w:p>
    <w:p w14:paraId="28C6A0DA">
      <w:pPr>
        <w:spacing w:line="640" w:lineRule="exact"/>
        <w:ind w:firstLine="640"/>
        <w:jc w:val="both"/>
        <w:outlineLvl w:val="3"/>
      </w:pPr>
      <w:r>
        <w:rPr>
          <w:rFonts w:ascii="楷体_GB2312" w:hAnsi="楷体_GB2312" w:eastAsia="楷体_GB2312"/>
          <w:b/>
          <w:sz w:val="32"/>
        </w:rPr>
        <w:t>（一）一般公共预算财政拨款支出决算总体情况</w:t>
      </w:r>
    </w:p>
    <w:p w14:paraId="5B64C584">
      <w:pPr>
        <w:spacing w:line="580" w:lineRule="exact"/>
        <w:ind w:firstLine="640"/>
        <w:jc w:val="both"/>
      </w:pPr>
      <w:r>
        <w:rPr>
          <w:rFonts w:ascii="仿宋_GB2312" w:hAnsi="仿宋_GB2312" w:eastAsia="仿宋_GB2312"/>
          <w:b/>
          <w:sz w:val="32"/>
        </w:rPr>
        <w:t>2024年度一般公共预算财政拨款支出91.40万元，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增加91.40万元，增长100.00%，主要原因是：本年机构改革，上年与英吉沙县人民政府办公室统一编报公开，本年独立核算，无上年对比数据。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年初预算数85.82万元，决算数91.40万元，预决算差异率6.50%，主要原因是：年中追加人员工资、社保、公积金基数调增部分资金，导致预决算差异。</w:t>
      </w:r>
    </w:p>
    <w:p w14:paraId="6DE6DE35">
      <w:pPr>
        <w:spacing w:line="640" w:lineRule="exact"/>
        <w:ind w:firstLine="640"/>
        <w:jc w:val="both"/>
        <w:outlineLvl w:val="3"/>
      </w:pPr>
      <w:r>
        <w:rPr>
          <w:rFonts w:ascii="楷体_GB2312" w:hAnsi="楷体_GB2312" w:eastAsia="楷体_GB2312"/>
          <w:b/>
          <w:sz w:val="32"/>
        </w:rPr>
        <w:t>（二）一般公共预算财政拨款支出决算结构情况</w:t>
      </w:r>
    </w:p>
    <w:p w14:paraId="27AAAA89">
      <w:pPr>
        <w:spacing w:line="580" w:lineRule="exact"/>
        <w:ind w:firstLine="640"/>
        <w:jc w:val="both"/>
      </w:pPr>
      <w:r>
        <w:rPr>
          <w:rFonts w:ascii="仿宋_GB2312" w:hAnsi="仿宋_GB2312" w:eastAsia="仿宋_GB2312"/>
          <w:b w:val="0"/>
          <w:sz w:val="32"/>
        </w:rPr>
        <w:t>1.一般公共服务支出(类)71.18万元,占77.88%。</w:t>
      </w:r>
    </w:p>
    <w:p w14:paraId="29CFC7CA">
      <w:pPr>
        <w:spacing w:line="580" w:lineRule="exact"/>
        <w:ind w:firstLine="640"/>
        <w:jc w:val="both"/>
      </w:pPr>
      <w:r>
        <w:rPr>
          <w:rFonts w:ascii="仿宋_GB2312" w:hAnsi="仿宋_GB2312" w:eastAsia="仿宋_GB2312"/>
          <w:b w:val="0"/>
          <w:sz w:val="32"/>
        </w:rPr>
        <w:t>2.社会保障和就业支出(类)9.16万元,占10.02%。</w:t>
      </w:r>
    </w:p>
    <w:p w14:paraId="7B6616A5">
      <w:pPr>
        <w:spacing w:line="580" w:lineRule="exact"/>
        <w:ind w:firstLine="640"/>
        <w:jc w:val="both"/>
      </w:pPr>
      <w:r>
        <w:rPr>
          <w:rFonts w:ascii="仿宋_GB2312" w:hAnsi="仿宋_GB2312" w:eastAsia="仿宋_GB2312"/>
          <w:b w:val="0"/>
          <w:sz w:val="32"/>
        </w:rPr>
        <w:t>3.卫生健康支出(类)4.27万元,占4.67%。</w:t>
      </w:r>
    </w:p>
    <w:p w14:paraId="653DA52C">
      <w:pPr>
        <w:spacing w:line="580" w:lineRule="exact"/>
        <w:ind w:firstLine="640"/>
        <w:jc w:val="both"/>
      </w:pPr>
      <w:r>
        <w:rPr>
          <w:rFonts w:ascii="仿宋_GB2312" w:hAnsi="仿宋_GB2312" w:eastAsia="仿宋_GB2312"/>
          <w:b w:val="0"/>
          <w:sz w:val="32"/>
        </w:rPr>
        <w:t>4.住房保障支出(类)6.78万元,占7.42%。</w:t>
      </w:r>
    </w:p>
    <w:p w14:paraId="49FE1963">
      <w:pPr>
        <w:spacing w:line="640" w:lineRule="exact"/>
        <w:ind w:firstLine="640"/>
        <w:jc w:val="both"/>
        <w:outlineLvl w:val="3"/>
      </w:pPr>
      <w:r>
        <w:rPr>
          <w:rFonts w:ascii="楷体_GB2312" w:hAnsi="楷体_GB2312" w:eastAsia="楷体_GB2312"/>
          <w:b/>
          <w:sz w:val="32"/>
        </w:rPr>
        <w:t>（三）一般公共预算财政拨款支出决算具体情况</w:t>
      </w:r>
    </w:p>
    <w:p w14:paraId="7E5ED82B">
      <w:pPr>
        <w:spacing w:line="580" w:lineRule="exact"/>
        <w:ind w:firstLine="640"/>
        <w:jc w:val="both"/>
      </w:pPr>
      <w:r>
        <w:rPr>
          <w:rFonts w:ascii="仿宋_GB2312" w:hAnsi="仿宋_GB2312" w:eastAsia="仿宋_GB2312"/>
          <w:b w:val="0"/>
          <w:sz w:val="32"/>
        </w:rPr>
        <w:t>1.一般公共服务支出(类)信访事务(款)行政运行(项):支出决算数为63.71万元，比上年决算增加63.71万元，增长100.00%,主要原因是：本年机构改革，上年与英吉沙县人民政府办公室统一编报公开，本年独立核算，无上年对比数据。</w:t>
      </w:r>
    </w:p>
    <w:p w14:paraId="7D6D68E8">
      <w:pPr>
        <w:spacing w:line="580" w:lineRule="exact"/>
        <w:ind w:firstLine="640"/>
        <w:jc w:val="both"/>
      </w:pPr>
      <w:r>
        <w:rPr>
          <w:rFonts w:ascii="仿宋_GB2312" w:hAnsi="仿宋_GB2312" w:eastAsia="仿宋_GB2312"/>
          <w:b w:val="0"/>
          <w:sz w:val="32"/>
        </w:rPr>
        <w:t>2.一般公共服务支出(类)信访事务(款)信访业务(项):支出决算数为7.48万元，比上年决算增加7.48万元，增长100.00%,主要原因是：本年机构改革，上年与英吉沙县人民政府办公室统一编报公开，本年独立核算，无上年对比数据。</w:t>
      </w:r>
    </w:p>
    <w:p w14:paraId="579E3BCB">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1.39万元，比上年决算增加1.39万元，增长100.00%,主要原因是：本年机构改革，上年与英吉沙县人民政府办公室统一编报公开，本年独立核算，无上年对比数据。</w:t>
      </w:r>
    </w:p>
    <w:p w14:paraId="78E8327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7.77万元，比上年决算增加7.77万元，增长100.00%,主要原因是：本年机构改革，上年与英吉沙县人民政府办公室统一编报公开，本年独立核算，无上年对比数据。</w:t>
      </w:r>
    </w:p>
    <w:p w14:paraId="28B95A00">
      <w:pPr>
        <w:spacing w:line="580" w:lineRule="exact"/>
        <w:ind w:firstLine="640"/>
        <w:jc w:val="both"/>
      </w:pPr>
      <w:r>
        <w:rPr>
          <w:rFonts w:ascii="仿宋_GB2312" w:hAnsi="仿宋_GB2312" w:eastAsia="仿宋_GB2312"/>
          <w:b w:val="0"/>
          <w:sz w:val="32"/>
        </w:rPr>
        <w:t>5.卫生健康支出(类)行政事业单位医疗(款)行政单位医疗(项):支出决算数为3.30万元，比上年决算增加3.30万元，增长100.00%,主要原因是：本年机构改革，上年与英吉沙县人民政府办公室统一编报公开，本年独立核算，无上年对比数据。</w:t>
      </w:r>
    </w:p>
    <w:p w14:paraId="4413BA42">
      <w:pPr>
        <w:spacing w:line="580" w:lineRule="exact"/>
        <w:ind w:firstLine="640"/>
        <w:jc w:val="both"/>
      </w:pPr>
      <w:r>
        <w:rPr>
          <w:rFonts w:ascii="仿宋_GB2312" w:hAnsi="仿宋_GB2312" w:eastAsia="仿宋_GB2312"/>
          <w:b w:val="0"/>
          <w:sz w:val="32"/>
        </w:rPr>
        <w:t>6.卫生健康支出(类)行政事业单位医疗(款)公务员医疗补助(项):支出决算数为0.97万元，比上年决算增加0.97万元，增长100.00%,主要原因是：本年机构改革，上年与英吉沙县人民政府办公室统一编报公开，本年独立核算，无上年对比数据。</w:t>
      </w:r>
    </w:p>
    <w:p w14:paraId="6B3A1A85">
      <w:pPr>
        <w:spacing w:line="580" w:lineRule="exact"/>
        <w:ind w:firstLine="640"/>
        <w:jc w:val="both"/>
      </w:pPr>
      <w:r>
        <w:rPr>
          <w:rFonts w:ascii="仿宋_GB2312" w:hAnsi="仿宋_GB2312" w:eastAsia="仿宋_GB2312"/>
          <w:b w:val="0"/>
          <w:sz w:val="32"/>
        </w:rPr>
        <w:t>7.住房保障支出(类)住房改革支出(款)住房公积金(项):支出决算数为6.78万元，比上年决算增加6.78万元，增长100.00%,主要原因是：本年机构改革，上年与英吉沙县人民政府办公室统一编报公开，本年独立核算，无上年对比数据。</w:t>
      </w:r>
    </w:p>
    <w:p w14:paraId="4F54B9C8">
      <w:pPr>
        <w:spacing w:line="640" w:lineRule="exact"/>
        <w:ind w:firstLine="640"/>
        <w:jc w:val="both"/>
        <w:outlineLvl w:val="2"/>
      </w:pPr>
      <w:r>
        <w:rPr>
          <w:rFonts w:ascii="黑体" w:hAnsi="黑体" w:eastAsia="黑体"/>
          <w:sz w:val="32"/>
        </w:rPr>
        <w:t>六、一般公共预算财政拨款基本支出决算情况说明</w:t>
      </w:r>
    </w:p>
    <w:p w14:paraId="097F3BD5">
      <w:pPr>
        <w:spacing w:line="580" w:lineRule="exact"/>
        <w:ind w:firstLine="640"/>
        <w:jc w:val="both"/>
      </w:pPr>
      <w:r>
        <w:rPr>
          <w:rFonts w:ascii="仿宋_GB2312" w:hAnsi="仿宋_GB2312" w:eastAsia="仿宋_GB2312"/>
          <w:b w:val="0"/>
          <w:sz w:val="32"/>
        </w:rPr>
        <w:t>2024年度一般公共预算财政拨款基本支出86.84万元，其中：</w:t>
      </w:r>
      <w:r>
        <w:rPr>
          <w:rFonts w:ascii="仿宋_GB2312" w:hAnsi="仿宋_GB2312" w:eastAsia="仿宋_GB2312"/>
          <w:b/>
          <w:sz w:val="32"/>
        </w:rPr>
        <w:t>人员经费85.54万元，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14:paraId="5C92062B">
      <w:pPr>
        <w:spacing w:line="580" w:lineRule="exact"/>
        <w:ind w:firstLine="640"/>
        <w:jc w:val="both"/>
      </w:pPr>
      <w:r>
        <w:rPr>
          <w:rFonts w:ascii="仿宋_GB2312" w:hAnsi="仿宋_GB2312" w:eastAsia="仿宋_GB2312"/>
          <w:b/>
          <w:sz w:val="32"/>
        </w:rPr>
        <w:t>公用经费1.30万元，</w:t>
      </w:r>
      <w:r>
        <w:rPr>
          <w:rFonts w:ascii="仿宋_GB2312" w:hAnsi="仿宋_GB2312" w:eastAsia="仿宋_GB2312"/>
          <w:b w:val="0"/>
          <w:sz w:val="32"/>
        </w:rPr>
        <w:t>包括：办公费、印刷费。</w:t>
      </w:r>
    </w:p>
    <w:p w14:paraId="7FB3BD47">
      <w:pPr>
        <w:spacing w:line="640" w:lineRule="exact"/>
        <w:ind w:firstLine="640"/>
        <w:jc w:val="both"/>
        <w:outlineLvl w:val="2"/>
      </w:pPr>
      <w:r>
        <w:rPr>
          <w:rFonts w:ascii="黑体" w:hAnsi="黑体" w:eastAsia="黑体"/>
          <w:sz w:val="32"/>
        </w:rPr>
        <w:t>七、政府性基金预算财政拨款收入支出决算情况说明</w:t>
      </w:r>
    </w:p>
    <w:p w14:paraId="4732BB3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B7940EC">
      <w:pPr>
        <w:spacing w:line="640" w:lineRule="exact"/>
        <w:ind w:firstLine="640"/>
        <w:jc w:val="both"/>
        <w:outlineLvl w:val="2"/>
      </w:pPr>
      <w:r>
        <w:rPr>
          <w:rFonts w:ascii="黑体" w:hAnsi="黑体" w:eastAsia="黑体"/>
          <w:sz w:val="32"/>
        </w:rPr>
        <w:t>八、国有资本经营预算财政拨款收入支出决算情况说明</w:t>
      </w:r>
    </w:p>
    <w:p w14:paraId="4429A00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04A163">
      <w:pPr>
        <w:spacing w:line="640" w:lineRule="exact"/>
        <w:ind w:firstLine="640"/>
        <w:jc w:val="both"/>
        <w:outlineLvl w:val="2"/>
      </w:pPr>
      <w:r>
        <w:rPr>
          <w:rFonts w:ascii="黑体" w:hAnsi="黑体" w:eastAsia="黑体"/>
          <w:sz w:val="32"/>
        </w:rPr>
        <w:t>九、财政拨款“三公”经费支出决算情况说明</w:t>
      </w:r>
    </w:p>
    <w:p w14:paraId="1D1DC33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64BD4D6E">
      <w:pPr>
        <w:spacing w:line="580" w:lineRule="exact"/>
        <w:ind w:firstLine="640"/>
        <w:jc w:val="both"/>
      </w:pPr>
      <w:r>
        <w:rPr>
          <w:rFonts w:ascii="仿宋_GB2312" w:hAnsi="仿宋_GB2312" w:eastAsia="仿宋_GB2312"/>
          <w:b/>
          <w:sz w:val="32"/>
        </w:rPr>
        <w:t>具体情况如下：</w:t>
      </w:r>
    </w:p>
    <w:p w14:paraId="3E48662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CB52A5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58B31C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89AB81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7DB618E">
      <w:pPr>
        <w:spacing w:line="640" w:lineRule="exact"/>
        <w:ind w:firstLine="640"/>
        <w:jc w:val="both"/>
        <w:outlineLvl w:val="2"/>
      </w:pPr>
      <w:r>
        <w:rPr>
          <w:rFonts w:ascii="黑体" w:hAnsi="黑体" w:eastAsia="黑体"/>
          <w:sz w:val="32"/>
        </w:rPr>
        <w:t>十、其他重要事项的情况说明</w:t>
      </w:r>
    </w:p>
    <w:p w14:paraId="0CB16011">
      <w:pPr>
        <w:spacing w:line="640" w:lineRule="exact"/>
        <w:ind w:firstLine="640"/>
        <w:jc w:val="both"/>
        <w:outlineLvl w:val="3"/>
      </w:pPr>
      <w:r>
        <w:rPr>
          <w:rFonts w:ascii="楷体_GB2312" w:hAnsi="楷体_GB2312" w:eastAsia="楷体_GB2312"/>
          <w:b/>
          <w:sz w:val="32"/>
        </w:rPr>
        <w:t>（一）机关运行经费及公用经费支出情况</w:t>
      </w:r>
    </w:p>
    <w:p w14:paraId="40D341BC">
      <w:pPr>
        <w:spacing w:line="580" w:lineRule="exact"/>
        <w:ind w:firstLine="640"/>
        <w:jc w:val="both"/>
      </w:pPr>
      <w:r>
        <w:rPr>
          <w:rFonts w:ascii="仿宋_GB2312" w:hAnsi="仿宋_GB2312" w:eastAsia="仿宋_GB2312"/>
          <w:b w:val="0"/>
          <w:sz w:val="32"/>
        </w:rPr>
        <w:t>2024年度英吉沙县信访局（行政单位和参照公务员法管理事业单位）机关运行经费支出1.30万元，比上年增加1.30万元，增长100.00%，主要原因是：本年机构改革，上年与英吉沙县人民政府办公室统一编报公开，本年独立核算，无上年对比数据。</w:t>
      </w:r>
    </w:p>
    <w:p w14:paraId="24750A52">
      <w:pPr>
        <w:spacing w:line="640" w:lineRule="exact"/>
        <w:ind w:firstLine="640"/>
        <w:jc w:val="both"/>
        <w:outlineLvl w:val="3"/>
      </w:pPr>
      <w:r>
        <w:rPr>
          <w:rFonts w:ascii="楷体_GB2312" w:hAnsi="楷体_GB2312" w:eastAsia="楷体_GB2312"/>
          <w:b/>
          <w:sz w:val="32"/>
        </w:rPr>
        <w:t>（二）政府采购情况</w:t>
      </w:r>
    </w:p>
    <w:p w14:paraId="419BFA71">
      <w:pPr>
        <w:spacing w:line="580" w:lineRule="exact"/>
        <w:ind w:firstLine="640"/>
        <w:jc w:val="both"/>
      </w:pPr>
      <w:r>
        <w:rPr>
          <w:rFonts w:ascii="仿宋_GB2312" w:hAnsi="仿宋_GB2312" w:eastAsia="仿宋_GB2312"/>
          <w:b w:val="0"/>
          <w:sz w:val="32"/>
        </w:rPr>
        <w:t>2024年度政府采购支出总额0.18万元，其中：政府采购货物支出0.18万元、政府采购工程支出0.00万元、政府采购服务支出0.00万元。</w:t>
      </w:r>
    </w:p>
    <w:p w14:paraId="727B4E2A">
      <w:pPr>
        <w:spacing w:line="580" w:lineRule="exact"/>
        <w:ind w:firstLine="640"/>
        <w:jc w:val="both"/>
      </w:pPr>
      <w:r>
        <w:rPr>
          <w:rFonts w:ascii="仿宋_GB2312" w:hAnsi="仿宋_GB2312" w:eastAsia="仿宋_GB2312"/>
          <w:b w:val="0"/>
          <w:sz w:val="32"/>
        </w:rPr>
        <w:t>授予中小企业合同金额0.18万元，占政府采购支出总额的100.00%，其中：授予小微企业合同金额0.00万元，占政府采购支出总额的0.00%。</w:t>
      </w:r>
    </w:p>
    <w:p w14:paraId="4AD28B13">
      <w:pPr>
        <w:spacing w:line="640" w:lineRule="exact"/>
        <w:ind w:firstLine="640"/>
        <w:jc w:val="both"/>
        <w:outlineLvl w:val="3"/>
      </w:pPr>
      <w:r>
        <w:rPr>
          <w:rFonts w:ascii="楷体_GB2312" w:hAnsi="楷体_GB2312" w:eastAsia="楷体_GB2312"/>
          <w:b/>
          <w:sz w:val="32"/>
        </w:rPr>
        <w:t>（三）国有资产占用情况说明</w:t>
      </w:r>
    </w:p>
    <w:p w14:paraId="51F4E1C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1DB9950">
      <w:pPr>
        <w:spacing w:line="640" w:lineRule="exact"/>
        <w:ind w:firstLine="640"/>
        <w:jc w:val="both"/>
        <w:outlineLvl w:val="2"/>
      </w:pPr>
      <w:r>
        <w:rPr>
          <w:rFonts w:ascii="黑体" w:hAnsi="黑体" w:eastAsia="黑体"/>
          <w:sz w:val="32"/>
        </w:rPr>
        <w:t>十一、预算绩效的情况说明</w:t>
      </w:r>
    </w:p>
    <w:p w14:paraId="482E757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w:t>
      </w:r>
      <w:r>
        <w:rPr>
          <w:rFonts w:ascii="仿宋_GB2312" w:hAnsi="仿宋_GB2312" w:eastAsia="仿宋_GB2312"/>
          <w:b w:val="0"/>
          <w:sz w:val="32"/>
          <w:highlight w:val="none"/>
        </w:rPr>
        <w:t>全年预算总额</w:t>
      </w:r>
      <w:r>
        <w:rPr>
          <w:rFonts w:hint="eastAsia" w:ascii="仿宋_GB2312" w:hAnsi="仿宋_GB2312" w:eastAsia="仿宋_GB2312"/>
          <w:b w:val="0"/>
          <w:sz w:val="32"/>
          <w:highlight w:val="none"/>
          <w:lang w:val="en-US" w:eastAsia="zh-CN"/>
        </w:rPr>
        <w:t>91.40</w:t>
      </w:r>
      <w:r>
        <w:rPr>
          <w:rFonts w:ascii="仿宋_GB2312" w:hAnsi="仿宋_GB2312" w:eastAsia="仿宋_GB2312"/>
          <w:b w:val="0"/>
          <w:sz w:val="32"/>
          <w:highlight w:val="none"/>
        </w:rPr>
        <w:t>万元，实际执行总额</w:t>
      </w:r>
      <w:r>
        <w:rPr>
          <w:rFonts w:hint="eastAsia" w:ascii="仿宋_GB2312" w:hAnsi="仿宋_GB2312" w:eastAsia="仿宋_GB2312"/>
          <w:b w:val="0"/>
          <w:sz w:val="32"/>
          <w:highlight w:val="none"/>
          <w:lang w:val="en-US" w:eastAsia="zh-CN"/>
        </w:rPr>
        <w:t>91.40</w:t>
      </w:r>
      <w:r>
        <w:rPr>
          <w:rFonts w:ascii="仿宋_GB2312" w:hAnsi="仿宋_GB2312" w:eastAsia="仿宋_GB2312"/>
          <w:b w:val="0"/>
          <w:sz w:val="32"/>
          <w:highlight w:val="none"/>
        </w:rPr>
        <w:t>万元；预算绩效评价项目</w:t>
      </w:r>
      <w:r>
        <w:rPr>
          <w:rFonts w:hint="eastAsia" w:ascii="仿宋_GB2312" w:hAnsi="仿宋_GB2312" w:eastAsia="仿宋_GB2312"/>
          <w:b w:val="0"/>
          <w:sz w:val="32"/>
          <w:highlight w:val="none"/>
          <w:lang w:val="en-US" w:eastAsia="zh-CN"/>
        </w:rPr>
        <w:t>2</w:t>
      </w:r>
      <w:r>
        <w:rPr>
          <w:rFonts w:ascii="仿宋_GB2312" w:hAnsi="仿宋_GB2312" w:eastAsia="仿宋_GB2312"/>
          <w:b w:val="0"/>
          <w:sz w:val="32"/>
          <w:highlight w:val="none"/>
        </w:rPr>
        <w:t>个，全年预算数4.56万元，全年执行数4.56万元。预算绩</w:t>
      </w:r>
      <w:r>
        <w:rPr>
          <w:rFonts w:ascii="仿宋_GB2312" w:hAnsi="仿宋_GB2312" w:eastAsia="仿宋_GB2312"/>
          <w:b w:val="0"/>
          <w:sz w:val="32"/>
        </w:rPr>
        <w:t>效管理取得的成效：本单位</w:t>
      </w:r>
      <w:r>
        <w:rPr>
          <w:rFonts w:hint="eastAsia" w:ascii="仿宋_GB2312" w:hAnsi="仿宋_GB2312" w:eastAsia="仿宋_GB2312"/>
          <w:b w:val="0"/>
          <w:sz w:val="32"/>
          <w:lang w:val="en-US" w:eastAsia="zh-CN"/>
        </w:rPr>
        <w:t>预算</w:t>
      </w:r>
      <w:r>
        <w:rPr>
          <w:rFonts w:ascii="仿宋_GB2312" w:hAnsi="仿宋_GB2312" w:eastAsia="仿宋_GB2312"/>
          <w:b w:val="0"/>
          <w:sz w:val="32"/>
        </w:rPr>
        <w:t>绩效项目</w:t>
      </w:r>
      <w:r>
        <w:rPr>
          <w:rFonts w:hint="eastAsia" w:ascii="仿宋_GB2312" w:hAnsi="仿宋_GB2312" w:eastAsia="仿宋_GB2312"/>
          <w:b w:val="0"/>
          <w:sz w:val="32"/>
          <w:lang w:val="en-US" w:eastAsia="zh-CN"/>
        </w:rPr>
        <w:t>不予以公开</w:t>
      </w:r>
      <w:r>
        <w:rPr>
          <w:rFonts w:ascii="仿宋_GB2312" w:hAnsi="仿宋_GB2312" w:eastAsia="仿宋_GB2312"/>
          <w:b w:val="0"/>
          <w:sz w:val="32"/>
        </w:rPr>
        <w:t>。发现的问题及原因：本单位</w:t>
      </w:r>
      <w:r>
        <w:rPr>
          <w:rFonts w:hint="eastAsia" w:ascii="仿宋_GB2312" w:hAnsi="仿宋_GB2312" w:eastAsia="仿宋_GB2312"/>
          <w:b w:val="0"/>
          <w:sz w:val="32"/>
          <w:lang w:val="en-US" w:eastAsia="zh-CN"/>
        </w:rPr>
        <w:t>预算</w:t>
      </w:r>
      <w:r>
        <w:rPr>
          <w:rFonts w:ascii="仿宋_GB2312" w:hAnsi="仿宋_GB2312" w:eastAsia="仿宋_GB2312"/>
          <w:b w:val="0"/>
          <w:sz w:val="32"/>
        </w:rPr>
        <w:t>绩效项目</w:t>
      </w:r>
      <w:r>
        <w:rPr>
          <w:rFonts w:hint="eastAsia" w:ascii="仿宋_GB2312" w:hAnsi="仿宋_GB2312" w:eastAsia="仿宋_GB2312"/>
          <w:b w:val="0"/>
          <w:sz w:val="32"/>
          <w:lang w:val="en-US" w:eastAsia="zh-CN"/>
        </w:rPr>
        <w:t>不予以公开</w:t>
      </w:r>
      <w:r>
        <w:rPr>
          <w:rFonts w:ascii="仿宋_GB2312" w:hAnsi="仿宋_GB2312" w:eastAsia="仿宋_GB2312"/>
          <w:b w:val="0"/>
          <w:sz w:val="32"/>
        </w:rPr>
        <w:t>。下一步改进措施：本单位</w:t>
      </w:r>
      <w:r>
        <w:rPr>
          <w:rFonts w:hint="eastAsia" w:ascii="仿宋_GB2312" w:hAnsi="仿宋_GB2312" w:eastAsia="仿宋_GB2312"/>
          <w:b w:val="0"/>
          <w:sz w:val="32"/>
          <w:lang w:val="en-US" w:eastAsia="zh-CN"/>
        </w:rPr>
        <w:t>预算</w:t>
      </w:r>
      <w:r>
        <w:rPr>
          <w:rFonts w:ascii="仿宋_GB2312" w:hAnsi="仿宋_GB2312" w:eastAsia="仿宋_GB2312"/>
          <w:b w:val="0"/>
          <w:sz w:val="32"/>
        </w:rPr>
        <w:t>绩效项目</w:t>
      </w:r>
      <w:r>
        <w:rPr>
          <w:rFonts w:hint="eastAsia" w:ascii="仿宋_GB2312" w:hAnsi="仿宋_GB2312" w:eastAsia="仿宋_GB2312"/>
          <w:b w:val="0"/>
          <w:sz w:val="32"/>
          <w:lang w:val="en-US" w:eastAsia="zh-CN"/>
        </w:rPr>
        <w:t>不予以公开</w:t>
      </w:r>
      <w:r>
        <w:rPr>
          <w:rFonts w:ascii="仿宋_GB2312" w:hAnsi="仿宋_GB2312" w:eastAsia="仿宋_GB2312"/>
          <w:b w:val="0"/>
          <w:sz w:val="32"/>
        </w:rPr>
        <w:t>。</w:t>
      </w:r>
    </w:p>
    <w:p w14:paraId="3880CA72">
      <w:r>
        <w:br w:type="page"/>
      </w:r>
    </w:p>
    <w:p w14:paraId="7291723D">
      <w:pPr>
        <w:spacing w:line="640" w:lineRule="exact"/>
        <w:ind w:firstLine="640"/>
        <w:jc w:val="both"/>
        <w:outlineLvl w:val="2"/>
      </w:pPr>
      <w:r>
        <w:rPr>
          <w:rFonts w:ascii="黑体" w:hAnsi="黑体" w:eastAsia="黑体"/>
          <w:sz w:val="32"/>
        </w:rPr>
        <w:t>十二、其他需说明的事项</w:t>
      </w:r>
    </w:p>
    <w:p w14:paraId="2FD20ED0">
      <w:pPr>
        <w:spacing w:line="580" w:lineRule="exact"/>
        <w:ind w:firstLine="640"/>
        <w:jc w:val="both"/>
      </w:pPr>
      <w:r>
        <w:rPr>
          <w:rFonts w:ascii="仿宋_GB2312" w:hAnsi="仿宋_GB2312" w:eastAsia="仿宋_GB2312"/>
          <w:b w:val="0"/>
          <w:sz w:val="32"/>
        </w:rPr>
        <w:t>本年度本单位政府采购为大中型企业采购，故授予小微企业合同金额为0.00万元。</w:t>
      </w:r>
    </w:p>
    <w:p w14:paraId="43D5988A">
      <w:pPr>
        <w:spacing w:line="580" w:lineRule="exact"/>
        <w:ind w:firstLine="640"/>
        <w:jc w:val="both"/>
      </w:pPr>
      <w:r>
        <w:rPr>
          <w:rFonts w:ascii="仿宋_GB2312" w:hAnsi="仿宋_GB2312" w:eastAsia="仿宋_GB2312"/>
          <w:b w:val="0"/>
          <w:sz w:val="32"/>
        </w:rPr>
        <w:t>本年本单位SM项目2个，全年预算数4.56万元，全年执行数4.56万元。</w:t>
      </w:r>
    </w:p>
    <w:p w14:paraId="5F9C4CDF">
      <w:pPr>
        <w:spacing w:line="580" w:lineRule="exact"/>
        <w:ind w:firstLine="640"/>
        <w:jc w:val="both"/>
      </w:pPr>
      <w:r>
        <w:rPr>
          <w:rFonts w:ascii="仿宋_GB2312" w:hAnsi="仿宋_GB2312" w:eastAsia="仿宋_GB2312"/>
          <w:b w:val="0"/>
          <w:sz w:val="32"/>
        </w:rPr>
        <w:t>本年度本单位整体绩效自评表不予公开。</w:t>
      </w:r>
    </w:p>
    <w:p w14:paraId="7E71EC21">
      <w:r>
        <w:br w:type="page"/>
      </w:r>
    </w:p>
    <w:p w14:paraId="3D959150">
      <w:pPr>
        <w:spacing w:line="240" w:lineRule="auto"/>
        <w:jc w:val="center"/>
        <w:outlineLvl w:val="1"/>
      </w:pPr>
      <w:r>
        <w:rPr>
          <w:rFonts w:ascii="黑体" w:hAnsi="黑体" w:eastAsia="黑体"/>
          <w:sz w:val="32"/>
        </w:rPr>
        <w:t>第三部分 专业名词解释</w:t>
      </w:r>
    </w:p>
    <w:p w14:paraId="28D342D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95F94F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748C3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E720AD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CE9C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77542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971EA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423F4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B10DE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E778F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EAE58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063F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3F784B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DF6C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520158">
      <w:r>
        <w:br w:type="page"/>
      </w:r>
    </w:p>
    <w:p w14:paraId="54275C35">
      <w:pPr>
        <w:spacing w:line="240" w:lineRule="auto"/>
        <w:jc w:val="center"/>
        <w:outlineLvl w:val="1"/>
      </w:pPr>
      <w:r>
        <w:rPr>
          <w:rFonts w:ascii="黑体" w:hAnsi="黑体" w:eastAsia="黑体"/>
          <w:sz w:val="32"/>
        </w:rPr>
        <w:t>第四部分 部门决算报表（见附表）</w:t>
      </w:r>
    </w:p>
    <w:p w14:paraId="6466352B">
      <w:pPr>
        <w:spacing w:line="240" w:lineRule="auto"/>
        <w:ind w:firstLine="640"/>
        <w:jc w:val="both"/>
      </w:pPr>
      <w:r>
        <w:rPr>
          <w:rFonts w:ascii="仿宋_GB2312" w:hAnsi="仿宋_GB2312" w:eastAsia="仿宋_GB2312"/>
          <w:b w:val="0"/>
          <w:sz w:val="32"/>
        </w:rPr>
        <w:t>一、《收入支出决算总表》</w:t>
      </w:r>
    </w:p>
    <w:p w14:paraId="37A57EC0">
      <w:pPr>
        <w:spacing w:line="240" w:lineRule="auto"/>
        <w:ind w:firstLine="640"/>
        <w:jc w:val="both"/>
      </w:pPr>
      <w:r>
        <w:rPr>
          <w:rFonts w:ascii="仿宋_GB2312" w:hAnsi="仿宋_GB2312" w:eastAsia="仿宋_GB2312"/>
          <w:b w:val="0"/>
          <w:sz w:val="32"/>
        </w:rPr>
        <w:t>二、《收入决算表》</w:t>
      </w:r>
    </w:p>
    <w:p w14:paraId="514D5BE9">
      <w:pPr>
        <w:spacing w:line="240" w:lineRule="auto"/>
        <w:ind w:firstLine="640"/>
        <w:jc w:val="both"/>
      </w:pPr>
      <w:r>
        <w:rPr>
          <w:rFonts w:ascii="仿宋_GB2312" w:hAnsi="仿宋_GB2312" w:eastAsia="仿宋_GB2312"/>
          <w:b w:val="0"/>
          <w:sz w:val="32"/>
        </w:rPr>
        <w:t>三、《支出决算表》</w:t>
      </w:r>
    </w:p>
    <w:p w14:paraId="194B500D">
      <w:pPr>
        <w:spacing w:line="240" w:lineRule="auto"/>
        <w:ind w:firstLine="640"/>
        <w:jc w:val="both"/>
      </w:pPr>
      <w:r>
        <w:rPr>
          <w:rFonts w:ascii="仿宋_GB2312" w:hAnsi="仿宋_GB2312" w:eastAsia="仿宋_GB2312"/>
          <w:b w:val="0"/>
          <w:sz w:val="32"/>
        </w:rPr>
        <w:t>四、《财政拨款收入支出决算总表》</w:t>
      </w:r>
    </w:p>
    <w:p w14:paraId="3CA9CC26">
      <w:pPr>
        <w:spacing w:line="240" w:lineRule="auto"/>
        <w:ind w:firstLine="640"/>
        <w:jc w:val="both"/>
      </w:pPr>
      <w:r>
        <w:rPr>
          <w:rFonts w:ascii="仿宋_GB2312" w:hAnsi="仿宋_GB2312" w:eastAsia="仿宋_GB2312"/>
          <w:b w:val="0"/>
          <w:sz w:val="32"/>
        </w:rPr>
        <w:t>五、《一般公共预算财政拨款支出决算表》</w:t>
      </w:r>
    </w:p>
    <w:p w14:paraId="082B6731">
      <w:pPr>
        <w:spacing w:line="240" w:lineRule="auto"/>
        <w:ind w:firstLine="640"/>
        <w:jc w:val="both"/>
      </w:pPr>
      <w:r>
        <w:rPr>
          <w:rFonts w:ascii="仿宋_GB2312" w:hAnsi="仿宋_GB2312" w:eastAsia="仿宋_GB2312"/>
          <w:b w:val="0"/>
          <w:sz w:val="32"/>
        </w:rPr>
        <w:t>六、《一般公共预算财政拨款基本支出决算表》</w:t>
      </w:r>
    </w:p>
    <w:p w14:paraId="48E255EE">
      <w:pPr>
        <w:spacing w:line="240" w:lineRule="auto"/>
        <w:ind w:firstLine="640"/>
        <w:jc w:val="both"/>
      </w:pPr>
      <w:r>
        <w:rPr>
          <w:rFonts w:ascii="仿宋_GB2312" w:hAnsi="仿宋_GB2312" w:eastAsia="仿宋_GB2312"/>
          <w:b w:val="0"/>
          <w:sz w:val="32"/>
        </w:rPr>
        <w:t>七、《政府性基金预算财政拨款收入支出决算表》</w:t>
      </w:r>
    </w:p>
    <w:p w14:paraId="006B989B">
      <w:pPr>
        <w:spacing w:line="240" w:lineRule="auto"/>
        <w:ind w:firstLine="640"/>
        <w:jc w:val="both"/>
      </w:pPr>
      <w:r>
        <w:rPr>
          <w:rFonts w:ascii="仿宋_GB2312" w:hAnsi="仿宋_GB2312" w:eastAsia="仿宋_GB2312"/>
          <w:b w:val="0"/>
          <w:sz w:val="32"/>
        </w:rPr>
        <w:t>八、《国有资本经营预算财政拨款收入支出决算表》</w:t>
      </w:r>
    </w:p>
    <w:p w14:paraId="0ABE7828">
      <w:pPr>
        <w:spacing w:line="240" w:lineRule="auto"/>
        <w:ind w:firstLine="640"/>
        <w:jc w:val="both"/>
      </w:pPr>
      <w:r>
        <w:rPr>
          <w:rFonts w:ascii="仿宋_GB2312" w:hAnsi="仿宋_GB2312" w:eastAsia="仿宋_GB2312"/>
          <w:b w:val="0"/>
          <w:sz w:val="32"/>
        </w:rPr>
        <w:t>九、《财政拨款“三公”经费支出决算表》</w:t>
      </w:r>
    </w:p>
    <w:p w14:paraId="3F15FB3C">
      <w:pPr>
        <w:spacing w:line="240" w:lineRule="auto"/>
        <w:ind w:firstLine="640"/>
        <w:jc w:val="both"/>
      </w:pPr>
    </w:p>
    <w:p w14:paraId="2EEAACB3">
      <w:pPr>
        <w:spacing w:line="240" w:lineRule="auto"/>
        <w:ind w:firstLine="640"/>
        <w:jc w:val="both"/>
      </w:pPr>
    </w:p>
    <w:p w14:paraId="6CC2C990">
      <w:pPr>
        <w:spacing w:line="240" w:lineRule="auto"/>
        <w:ind w:firstLine="640"/>
        <w:jc w:val="both"/>
      </w:pPr>
    </w:p>
    <w:p w14:paraId="3EDE1D97">
      <w:pPr>
        <w:spacing w:line="240" w:lineRule="auto"/>
        <w:ind w:firstLine="640"/>
        <w:jc w:val="both"/>
      </w:pPr>
    </w:p>
    <w:p w14:paraId="1DB1873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6E497E"/>
    <w:rsid w:val="2FD27414"/>
    <w:rsid w:val="313F1D52"/>
    <w:rsid w:val="318029AB"/>
    <w:rsid w:val="31C63837"/>
    <w:rsid w:val="326F0A17"/>
    <w:rsid w:val="3277581B"/>
    <w:rsid w:val="35835CC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6A38C5"/>
    <w:rsid w:val="50DB5F45"/>
    <w:rsid w:val="51597A9B"/>
    <w:rsid w:val="52F92565"/>
    <w:rsid w:val="543D17CB"/>
    <w:rsid w:val="55DA564E"/>
    <w:rsid w:val="56E07045"/>
    <w:rsid w:val="583059FA"/>
    <w:rsid w:val="587E6212"/>
    <w:rsid w:val="5AFC6609"/>
    <w:rsid w:val="5FA17648"/>
    <w:rsid w:val="5FD320BD"/>
    <w:rsid w:val="60DE4D57"/>
    <w:rsid w:val="613409CB"/>
    <w:rsid w:val="61A46A97"/>
    <w:rsid w:val="61C52109"/>
    <w:rsid w:val="62DD7D21"/>
    <w:rsid w:val="65D97752"/>
    <w:rsid w:val="664C500C"/>
    <w:rsid w:val="66B60148"/>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5632</Words>
  <Characters>6247</Characters>
  <Lines>0</Lines>
  <Paragraphs>0</Paragraphs>
  <TotalTime>3</TotalTime>
  <ScaleCrop>false</ScaleCrop>
  <LinksUpToDate>false</LinksUpToDate>
  <CharactersWithSpaces>6257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2025-09-17T03:09:28Z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