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公安局2024年化债项目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英吉沙县公安局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英吉沙县公安局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滑伟</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2025年01月26日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中华人民共和国财政监测平台》《关于申请化债项目项目资金的请示》和《化债项目项目实施方案》即债务平台等相关政策文件与规定，旨在评价公安局2024年化债项目实施前期、过程及效果，评价财政预算资金使用的效率及效益。通过该项目的实施，为民贸企业增收，促进民贸企业积极性，有效提高政府的公信力，维护政企关系，刺激市场活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（1）项目主要内容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本项目建设用于偿还公安局欠款，有效提高政府的公信力。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前由项目负责人滑伟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5月31日，已完成化债项目数量4个，项目的实施，能有效提高政府的公信力，受益单位满意度达到95%。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因我单位属于涉密单位，此项不予公开。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（1）资金投入情况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共安排下达资金882万元，为一般公共预算资金，最终确定项目资金总数为882万元，其中：财政资金882万元，其他资金0万元。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截至2024年12月31日，该项目实际支出金额为882万元，预算执行率100%，资金主要用于：偿还公安局欠款。</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该项目计划使用资金882万元，化债项目数量4个，按照《中华人民共和国财政监测平台》即债务平台中还款计划按期支付偿还DNA数据库2024年化解债务计划。</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实施的前期准备工作：制定实施方案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具体实施工作：根据债务明细及和报送的相关材料，对欠款项目进行付款。</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1.绩效评价完整性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结合地区实际情况，实施部门项目绩效评价的具体目的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（1）评估项目实施效果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通过对项目预算执行情况及各项绩效目标达成程度的系统性分析，全面、客观地评估项目在预定周期内的实施效果，包括社会效益、受益对象满意度等多维度指标，为项目后续的改进与优化提供科学依据。</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（2）提升资源利用效率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（3）强化项目管理责任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（4）为决策提供支持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（5）促进项目持续改进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公安局2024年化债项目为评价对象，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（1）项目预算编制与执行：全面审视项目预算的编制依据、合理性、科学性以及实际执行情况，包括预算调整的原因和效果。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（2）资金管理：深入分析项目资金的分配、使用和监管情况，确保资金使用的合规性、高效性和透明度。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（3）项目实施进度与产出：评估项目是否按照既定计划顺利推进，各项任务是否按时完成，以及项目产出的数量、质量和时效性是否符合预期。</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一级指标为：决策、过程、产出、效益。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二级指标为：项目立项、绩效目标、资金投入、资金管理、组织实施、产出数量、产出质量、产出时效、产出成本、项目效益。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项目绩效评价体系详见下表。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公安局2024年化债项目绩效评价指标体系及综合评分表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立项程序（2分）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绩效目标（5分）   绩效目标合理性（3分）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绩效指标明确性（2分）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资金投入（5分）   预算编制（3分）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资金分配合理性（2分）         2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预算执行率（3分）             3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资金使用合规性（4分）         4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组织实施（10分）  管理制度健全性（5分）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制度执行（5分）               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                     总得分      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本次评价采用定量与定性评价相结合的比较法和公众评判法，总分由各项指标得分汇总形成。在完成此次绩效评价工作中，每项评价体系中二级指标的评价方法使用情况为：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（1）项目决策方面：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立项依据充分性：采用比较法、文献法，查找法律法规政策以及规划，对比实际执行内容和政策支持内容是否匹配。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立项程序规范性：采用比较法、文献法，查找相关项目设立的政策和文件要求，对比分析实际执行程序是否按照政策及文件要求执行，分析立项程序的规范性。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绩效目标合理性：采用比较法，对比分析年初编制项目支出绩效目标表与项目内容的相关性、资金的匹配性等。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绩效指标明确性：采用比较法，比较分析年初编制项目支出绩效目标表是否符合双七原则，是否可衡量。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预算编制科学性：采用成本效益分析法，分析在产出一定的情况下，成本取值是否有依据，是否经过询价，是否按照市场最低成本编制。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资金分配合理性：采用因素分析法，综合分析资金的分配依据是否充分，分配金额是否与项目实施单位需求金额一致。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（2）项目过程方面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资金到位率：采用比较法，资金到位率预期指标值应为100%，通过实际计算，分析实际完成值和预期指标值之间的差距和原因。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预算执行率：采用比较法，预算执行率预期指标值应为100%，通过实际计算，分析实际完成值和预期指标值之间的差距和原因。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资金使用合规性：采用文献法、实地勘察法，一是查找资金管理办法，包括专项资金管理办法和单位自有资金管理办法；二是通过查账了解具体开支情况，是否专款专用，是否按照标准支出。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管理制度健全性：采用文献法、比较法，查阅项目实施人员提供的财务和业务管理制度，将已建立的制度与现行的法律法规和政策要求进行对比，分析项目制度的合法性、合规性、完整性。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制度执行有效性：采用比较法，结合项目实际实施过程性文件，根据已建设的财务管理制度和项目管理制度综合分析制度执行的有效性。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（3）项目产出方面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（4）项目效益方面</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采用公众评判法：评价组采用实地访谈、远程访谈相结合方式，对本项目的实施情况进行充分调研，了解掌握资金分配、资金管理、资金使用、制度建设、制度执行情况。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行业标准：指参照国家公布的行业指标数据制定的评价标准。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滑伟任评价组组长，绩效评价工作职责为负责全盘工作。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宋志宏任评价组副组长，绩效评价工作职责为为对项目实施情况进行实地调查。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艾合塔木任评价组成员，绩效评价工作职责为负责资料审核等工作。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通过实施公安局2024年化债项目产生社会效益，提高政府公信力。项目实施主要通过项目决策、项目过程、项目产出以及项目效益等方面进行评价，其中：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项目决策：项目实施符合要求，项目立项依据充分，立项程序规范。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项目过程：公安局2024年化债项目预算安排 882万元，实际支出882万元，预算执行率100%。项目资金使用合规，项目财务管理制度健全，财务监控到位，所有资金支付均按照国库集中支付制度严格执行，现有项目管理制度执行情况良好。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1.产出数量：化债项目数量&gt;=4个，实际为4个；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2.产出质量：资金足额保障率=100%，实际为100%；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3.产出时效：项目完成时间=2024年12月24日，实际为2024年5月31日；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产出成本：DNA数据库化债成本&lt;=73万元，实际为73万元；便民站项目化债成本&lt;=14万元，实际为14万元；英吉沙县技侦项目化债成本&lt;=55万元，实际为55万元；英吉沙县视频卡扣设备、后端存储及后端服务化债成本&lt;=740万元，实际为740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1.实施效益：社会效益：有效提高政府的公信力。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2.满意度：根据调查，受益使用单位满意度为95%。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公安局2024年化债项目进行客观评价，最终评分结果：评价总分100分，绩效等级为“优”，每项一级指标得分情况见下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          10.00   10.00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（1）立项依据充分性：结合公安局职责，并组织实施。围绕2024年度工作重点和工作计划制定经费预算，根据评分标准，该指标不扣分，得3分。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项目申请、设立过程符合相关要求，严格按照审批流程准备符合要求的文件、材料；根据决算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该项目计划使用资金882万元，化债项目数量4个，按照《中华人民共和国财政监测平台》即债务平台中还款计划按期支付偿还DNA数据库2024年化解债务计划。项目的实施，能有效提高政府的公信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w:t>
      </w:r>
      <w:r>
        <w:rPr>
          <w:rStyle w:val="19"/>
          <w:rFonts w:hint="eastAsia" w:ascii="仿宋" w:hAnsi="仿宋" w:eastAsia="仿宋" w:cs="仿宋"/>
          <w:b w:val="0"/>
          <w:bCs w:val="0"/>
          <w:spacing w:val="-4"/>
          <w:sz w:val="32"/>
          <w:szCs w:val="32"/>
          <w:lang w:eastAsia="zh-CN"/>
        </w:rPr>
        <w:t>截至2024年</w:t>
      </w:r>
      <w:r>
        <w:rPr>
          <w:rStyle w:val="19"/>
          <w:rFonts w:hint="eastAsia" w:ascii="仿宋" w:hAnsi="仿宋" w:eastAsia="仿宋" w:cs="仿宋"/>
          <w:b w:val="0"/>
          <w:bCs w:val="0"/>
          <w:spacing w:val="-4"/>
          <w:sz w:val="32"/>
          <w:szCs w:val="32"/>
        </w:rPr>
        <w:t>5月31日，已完成化债项目数量4个，项目的实施，能有效提高政府的公信力，受益单位满意度达到95%。绩效目标与实际工作内容一致，两者具有相关性。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③该项目按照绩效目标完成数量指标、质量指标、时效指标、成本指标，完成了化债项目数量4个，达到项目的实施，有效提高了政府公信力的效益，预期产出效益和效果符合正常的业绩水平。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④该项目批复的预算金额为882.00万元，《项目支出绩效目标表》中预算金额为882.00万元，预算确定的项目资金与预算确定的项目投资额相匹配。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⑤本单位制定了实施方案，明确了总体思路及目标、并对任务进行了详细分解，对目标进行了细化，根据评分标准，该指标不扣分，得3分。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3个，二级指标6个，三级指标9个，定量指标8个，定性指标1个，指标量化率为88.89%，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化债项目数量4个，三级指标的年度指标值与年度绩效目标中任务数一致（或不完全一致），已设置时效指标“项目完成时间2024年12月24日”。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（4）预算编制科学性：本项目为882.00万元，即预算编制较科学且经过论证；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预算申请内容为化债项目数量4个，项目实际内容为化债项目数量4个，预算申请与《化债项目实施方案》中涉及的项目内容匹配；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882.00万元，我单位在预算申请中严格按照项目实施内容及测算标准进行核算。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资金分配合理性：本项目实际分配资金以《关于申请化债项目项目资金的请示》和《化债项目项目实施方案》为依据进行资金分配，预算资金分配依据充分。本项目实际到位资金882.00万元，资金分配额度合理，与我单位实际需求相适应。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882万元，其中：财政安排资金882万元，其他资金0万元，实际到位资金882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（4）管理制度健全性：制定了相关管理办法，对财政专项资金进行严格管理，基本做到了专款专用，根据评分标准，该指标不扣分，得5分。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由部门提出经费预算支出可行性方案，经过与县公安局分管领导沟通后，报党支部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数量指标，预期指标值为&gt;=4个，实际完成值为4，指标完成率为100%，与预期目标一致，根据评分标准，该指标不扣分，得10分。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质量指标资金足额保障率，预期指标值为=100%，实际完成值为100%，指标完成率为100%，与预期目标一致，根据评分标准，该指标不扣分，得10分。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时效指标项目完成时间，预期指标值为2024年12月24日，实际完成值为2024年5月31日，指标完成率为100%，与预期目标一致，根据评分标准，该指标不扣分，得10分。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DNA数据库化债成本指标，预期指标值为&lt;=73万元，实际完成值为73万元，指标完成率为100%；便民站项目化债成本指标，预期指标值为&lt;=14万元，实际完成值为14万元，指标完成率为100%；英吉沙县技侦无线侦控项目化债成本指标，预期指标值为&lt;=55万元，实际完成值为55万元，指标完成率为100%；英吉沙县视频卡扣设备、后端存储及后端服务化债成本指标，预期指标值为&lt;=740万元，实际完成值为740万元，指标完成率为100%；本年支付工程余款金额882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有效提高政府的公信力指标，该指标预期指标值为有效提高，实际完成值为有效提高，指标完成率为100%，与预期指标一致，根据评分标准，该指标不扣分，得10分。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项目满意度指标包括1个方面的内容，由1个三级指标构成，权重分为10分，实际得分10分，得分率为100%。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对于“受益使用单位满意度指标：该指标预期指标值为大于等于95%，实际完成值为95%，指标完成率为100%，与预期目标一致，根据评分标准，该指标不扣分，得10分。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公安局2024年化债项目预算882万元，到位882万元，实际支出882万元，预算执行率为100%，项目绩效指标总体完成率为100%，偏差率为0%。</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将化债资金需求全面纳入年度预算编制，优先保障隐性债务置换和利息支出。根据项目储备情况、资金使用效率、地方财政承受能力等因素，科学分配专项债额度。建立预算收支平衡动态优化机制，根据经济形势变化、项目进展情况及时调整预算安排。</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2.项目评价资料有待进一步完善。项目启动时同步做好档案的归纳与整理，及时整理、收集、汇总，健全档案资料。项目后续管理有待进一步加强和跟踪。</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（一）本项目产生的部分间接性效果无法在短期内进行衡量，因此很难认定项目产生的全部效果。通过指标来反映绩效，指标的科学性和全面性需要不断地完善和研究。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（三）评价结果分别编入政府决算和部门预算，报送本级人民代表大会常务委员会，并依法予以公开。</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43982DF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30cfc6-6b67-4ce9-8eed-e5297cf5658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zhifuzhongxin</cp:lastModifiedBy>
  <cp:lastPrinted>2018-12-31T10:56:00Z</cp:lastPrinted>
  <dcterms:modified xsi:type="dcterms:W3CDTF">2026-08-28T04:25:13Z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299A846E7742483FADE25949A45A48D3_12</vt:lpwstr>
  </property>
</Properties>
</file>