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A62D51">
      <w:r>
        <w:br w:type="page"/>
      </w:r>
    </w:p>
    <w:p w14:paraId="5187026C">
      <w:pPr>
        <w:spacing w:line="640" w:lineRule="exact"/>
        <w:jc w:val="center"/>
        <w:outlineLvl w:val="1"/>
      </w:pPr>
      <w:r>
        <w:rPr>
          <w:rFonts w:ascii="黑体" w:hAnsi="黑体" w:eastAsia="黑体"/>
          <w:sz w:val="32"/>
        </w:rPr>
        <w:t>第一部分 单位概况</w:t>
      </w:r>
    </w:p>
    <w:p w14:paraId="391350DD">
      <w:pPr>
        <w:spacing w:line="640" w:lineRule="exact"/>
        <w:ind w:firstLine="640"/>
        <w:jc w:val="both"/>
        <w:outlineLvl w:val="2"/>
      </w:pPr>
      <w:r>
        <w:rPr>
          <w:rFonts w:ascii="黑体" w:hAnsi="黑体" w:eastAsia="黑体"/>
          <w:sz w:val="32"/>
        </w:rPr>
        <w:t>一、主要职能</w:t>
      </w:r>
    </w:p>
    <w:p w14:paraId="2158C99D">
      <w:pPr>
        <w:spacing w:line="580" w:lineRule="exact"/>
        <w:ind w:firstLine="640"/>
        <w:jc w:val="both"/>
      </w:pPr>
      <w:r>
        <w:rPr>
          <w:rFonts w:ascii="仿宋_GB2312" w:hAnsi="仿宋_GB2312" w:eastAsia="仿宋_GB2312"/>
          <w:sz w:val="32"/>
        </w:rPr>
        <w:t>本单位主要职能SM不予公开。</w:t>
      </w:r>
    </w:p>
    <w:p w14:paraId="45575F98">
      <w:pPr>
        <w:spacing w:line="640" w:lineRule="exact"/>
        <w:ind w:firstLine="640"/>
        <w:jc w:val="both"/>
        <w:outlineLvl w:val="2"/>
      </w:pPr>
      <w:r>
        <w:rPr>
          <w:rFonts w:ascii="黑体" w:hAnsi="黑体" w:eastAsia="黑体"/>
          <w:sz w:val="32"/>
        </w:rPr>
        <w:t>二、机构设置及人员情况</w:t>
      </w:r>
    </w:p>
    <w:p w14:paraId="3DD4FAA2">
      <w:pPr>
        <w:spacing w:line="580" w:lineRule="exact"/>
        <w:ind w:firstLine="640"/>
        <w:jc w:val="both"/>
      </w:pPr>
      <w:r>
        <w:rPr>
          <w:rFonts w:ascii="仿宋_GB2312" w:hAnsi="仿宋_GB2312" w:eastAsia="仿宋_GB2312"/>
          <w:sz w:val="32"/>
        </w:rPr>
        <w:t>本单位机构设置及人员情况SM不予公开。</w:t>
      </w:r>
    </w:p>
    <w:p w14:paraId="13AB42AA">
      <w:r>
        <w:br w:type="page"/>
      </w:r>
    </w:p>
    <w:p w14:paraId="0939EB0B">
      <w:pPr>
        <w:spacing w:line="240" w:lineRule="auto"/>
        <w:jc w:val="center"/>
        <w:outlineLvl w:val="1"/>
      </w:pPr>
      <w:r>
        <w:rPr>
          <w:rFonts w:ascii="黑体" w:hAnsi="黑体" w:eastAsia="黑体"/>
          <w:sz w:val="32"/>
        </w:rPr>
        <w:t>第二部分 部门决算情况说明</w:t>
      </w:r>
    </w:p>
    <w:p w14:paraId="721FD791">
      <w:pPr>
        <w:spacing w:line="640" w:lineRule="exact"/>
        <w:ind w:firstLine="640"/>
        <w:jc w:val="both"/>
        <w:outlineLvl w:val="2"/>
      </w:pPr>
      <w:r>
        <w:rPr>
          <w:rFonts w:ascii="黑体" w:hAnsi="黑体" w:eastAsia="黑体"/>
          <w:sz w:val="32"/>
        </w:rPr>
        <w:t>一、收入支出决算总体情况说明</w:t>
      </w:r>
    </w:p>
    <w:p w14:paraId="5C9E0FB0">
      <w:pPr>
        <w:spacing w:line="580" w:lineRule="exact"/>
        <w:ind w:firstLine="640"/>
        <w:jc w:val="both"/>
      </w:pPr>
      <w:r>
        <w:rPr>
          <w:rFonts w:ascii="仿宋_GB2312" w:hAnsi="仿宋_GB2312" w:eastAsia="仿宋_GB2312"/>
          <w:b/>
          <w:sz w:val="32"/>
        </w:rPr>
        <w:t>2024年度收入总计30,613.29万元，</w:t>
      </w:r>
      <w:r>
        <w:rPr>
          <w:rFonts w:ascii="仿宋_GB2312" w:hAnsi="仿宋_GB2312" w:eastAsia="仿宋_GB2312"/>
          <w:b w:val="0"/>
          <w:sz w:val="32"/>
        </w:rPr>
        <w:t>其中：本年收入合计30,532.01万元，使用非财政拨款结余（含专用结余）0.00万元，年初结转和结余81.28万元。</w:t>
      </w:r>
    </w:p>
    <w:p w14:paraId="2CBFACDD">
      <w:pPr>
        <w:spacing w:line="580" w:lineRule="exact"/>
        <w:ind w:firstLine="640"/>
        <w:jc w:val="both"/>
      </w:pPr>
      <w:r>
        <w:rPr>
          <w:rFonts w:ascii="仿宋_GB2312" w:hAnsi="仿宋_GB2312" w:eastAsia="仿宋_GB2312"/>
          <w:b/>
          <w:sz w:val="32"/>
        </w:rPr>
        <w:t>2024年度支出总计30,613.29万元，</w:t>
      </w:r>
      <w:r>
        <w:rPr>
          <w:rFonts w:ascii="仿宋_GB2312" w:hAnsi="仿宋_GB2312" w:eastAsia="仿宋_GB2312"/>
          <w:b w:val="0"/>
          <w:sz w:val="32"/>
        </w:rPr>
        <w:t>其中：本年支出合计30,532.01万元，结余分配0.00万元，年末结转和结余81.28万元。</w:t>
      </w:r>
    </w:p>
    <w:p w14:paraId="3E0EB38E">
      <w:pPr>
        <w:spacing w:line="580" w:lineRule="exact"/>
        <w:ind w:firstLine="640"/>
        <w:jc w:val="both"/>
      </w:pPr>
      <w:r>
        <w:rPr>
          <w:rFonts w:ascii="仿宋_GB2312" w:hAnsi="仿宋_GB2312" w:eastAsia="仿宋_GB2312"/>
          <w:b w:val="0"/>
          <w:sz w:val="32"/>
        </w:rPr>
        <w:t>收入支出总体与上年相比，增加10,748.79万元，增长54.11%，主要原因是：本年度中央转移支付资金、2024年化解隐形债务项目等项目经费增加，导致经费较上年增加。</w:t>
      </w:r>
    </w:p>
    <w:p w14:paraId="1EDD4052">
      <w:pPr>
        <w:spacing w:line="640" w:lineRule="exact"/>
        <w:ind w:firstLine="640"/>
        <w:jc w:val="both"/>
        <w:outlineLvl w:val="2"/>
      </w:pPr>
      <w:r>
        <w:rPr>
          <w:rFonts w:ascii="黑体" w:hAnsi="黑体" w:eastAsia="黑体"/>
          <w:sz w:val="32"/>
        </w:rPr>
        <w:t>二、收入决算情况说明</w:t>
      </w:r>
    </w:p>
    <w:p w14:paraId="30D7B9A1">
      <w:pPr>
        <w:spacing w:line="580" w:lineRule="exact"/>
        <w:ind w:firstLine="640"/>
        <w:jc w:val="both"/>
      </w:pPr>
      <w:r>
        <w:rPr>
          <w:rFonts w:ascii="仿宋_GB2312" w:hAnsi="仿宋_GB2312" w:eastAsia="仿宋_GB2312"/>
          <w:b/>
          <w:sz w:val="32"/>
        </w:rPr>
        <w:t>本年收入30,532.01万元，</w:t>
      </w:r>
      <w:r>
        <w:rPr>
          <w:rFonts w:ascii="仿宋_GB2312" w:hAnsi="仿宋_GB2312" w:eastAsia="仿宋_GB2312"/>
          <w:b w:val="0"/>
          <w:sz w:val="32"/>
        </w:rPr>
        <w:t>其中：财政拨款收入30,002.28万元，占98.27%；上级补助收入0.00万元，占0.00%；事业收入0.00万元，占0.00%；经营收入0.00万元，占0.00%；附属单位上缴收入0.00万元，占0.00%；其他收入529.74万元，占1.74%。</w:t>
      </w:r>
    </w:p>
    <w:p w14:paraId="3A9DB979">
      <w:pPr>
        <w:spacing w:line="640" w:lineRule="exact"/>
        <w:ind w:firstLine="640"/>
        <w:jc w:val="both"/>
        <w:outlineLvl w:val="2"/>
      </w:pPr>
      <w:r>
        <w:rPr>
          <w:rFonts w:ascii="黑体" w:hAnsi="黑体" w:eastAsia="黑体"/>
          <w:sz w:val="32"/>
        </w:rPr>
        <w:t>三、支出决算情况说明</w:t>
      </w:r>
    </w:p>
    <w:p w14:paraId="04732F22">
      <w:pPr>
        <w:spacing w:line="580" w:lineRule="exact"/>
        <w:ind w:firstLine="640"/>
        <w:jc w:val="both"/>
      </w:pPr>
      <w:r>
        <w:rPr>
          <w:rFonts w:ascii="仿宋_GB2312" w:hAnsi="仿宋_GB2312" w:eastAsia="仿宋_GB2312"/>
          <w:b/>
          <w:sz w:val="32"/>
        </w:rPr>
        <w:t>本年支出30,532.01万元，</w:t>
      </w:r>
      <w:r>
        <w:rPr>
          <w:rFonts w:ascii="仿宋_GB2312" w:hAnsi="仿宋_GB2312" w:eastAsia="仿宋_GB2312"/>
          <w:b w:val="0"/>
          <w:sz w:val="32"/>
        </w:rPr>
        <w:t>其中：基本支出12,884.65万元，占42.20%；项目支出17,647.36万元，占57.80%；上缴上级支出0.00万元，占0.00%；经营支出0.00万元，占0.00%；对附属单位补助支出0.00万元，占0.00%。</w:t>
      </w:r>
    </w:p>
    <w:p w14:paraId="6A5F7B36">
      <w:pPr>
        <w:spacing w:line="640" w:lineRule="exact"/>
        <w:ind w:firstLine="640"/>
        <w:jc w:val="both"/>
        <w:outlineLvl w:val="2"/>
      </w:pPr>
      <w:r>
        <w:rPr>
          <w:rFonts w:ascii="黑体" w:hAnsi="黑体" w:eastAsia="黑体"/>
          <w:sz w:val="32"/>
        </w:rPr>
        <w:t>四、财政拨款收入支出决算总体情况说明</w:t>
      </w:r>
    </w:p>
    <w:p w14:paraId="2675E8E4">
      <w:pPr>
        <w:spacing w:line="580" w:lineRule="exact"/>
        <w:ind w:firstLine="640"/>
        <w:jc w:val="both"/>
      </w:pPr>
      <w:r>
        <w:rPr>
          <w:rFonts w:ascii="仿宋_GB2312" w:hAnsi="仿宋_GB2312" w:eastAsia="仿宋_GB2312"/>
          <w:b/>
          <w:sz w:val="32"/>
        </w:rPr>
        <w:t>2024年度财政拨款收入总计30,023.63万元，</w:t>
      </w:r>
      <w:r>
        <w:rPr>
          <w:rFonts w:ascii="仿宋_GB2312" w:hAnsi="仿宋_GB2312" w:eastAsia="仿宋_GB2312"/>
          <w:b w:val="0"/>
          <w:sz w:val="32"/>
        </w:rPr>
        <w:t>其中：年初财政拨款结转和结余21.36万元，本年财政拨款收入30,002.28万元。</w:t>
      </w:r>
      <w:r>
        <w:rPr>
          <w:rFonts w:ascii="仿宋_GB2312" w:hAnsi="仿宋_GB2312" w:eastAsia="仿宋_GB2312"/>
          <w:b/>
          <w:sz w:val="32"/>
        </w:rPr>
        <w:t>财政拨款支出总计30,023.63万元，</w:t>
      </w:r>
      <w:r>
        <w:rPr>
          <w:rFonts w:ascii="仿宋_GB2312" w:hAnsi="仿宋_GB2312" w:eastAsia="仿宋_GB2312"/>
          <w:b w:val="0"/>
          <w:sz w:val="32"/>
        </w:rPr>
        <w:t>其中：年末财政拨款结转和结余21.36万元，本年财政拨款支出30,002.28万元。</w:t>
      </w:r>
    </w:p>
    <w:p w14:paraId="653A664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增加11,989.63万元，增长66.48%，主要原因是：本年度中央转移支付资金、2024年化解隐形债务项目等项目经费增加，导致经费较上年增加。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年初预算数26,059.61万元，决算数30,023.63万元，预决算差异率15.21%，主要原因是：年中追加2024年化解隐形债务项目等项目经费，导致预决算存在差异。</w:t>
      </w:r>
    </w:p>
    <w:p w14:paraId="3DD17F91">
      <w:pPr>
        <w:spacing w:line="640" w:lineRule="exact"/>
        <w:ind w:firstLine="640"/>
        <w:jc w:val="both"/>
        <w:outlineLvl w:val="2"/>
      </w:pPr>
      <w:r>
        <w:rPr>
          <w:rFonts w:ascii="黑体" w:hAnsi="黑体" w:eastAsia="黑体"/>
          <w:sz w:val="32"/>
        </w:rPr>
        <w:t>五、一般公共预算财政拨款支出决算情况说明</w:t>
      </w:r>
    </w:p>
    <w:p w14:paraId="2958F11F">
      <w:pPr>
        <w:spacing w:line="640" w:lineRule="exact"/>
        <w:ind w:firstLine="640"/>
        <w:jc w:val="both"/>
        <w:outlineLvl w:val="3"/>
      </w:pPr>
      <w:r>
        <w:rPr>
          <w:rFonts w:ascii="楷体_GB2312" w:hAnsi="楷体_GB2312" w:eastAsia="楷体_GB2312"/>
          <w:b/>
          <w:sz w:val="32"/>
        </w:rPr>
        <w:t>（一）一般公共预算财政拨款支出决算总体情况</w:t>
      </w:r>
    </w:p>
    <w:p w14:paraId="2CB85D2C">
      <w:pPr>
        <w:spacing w:line="580" w:lineRule="exact"/>
        <w:ind w:firstLine="640"/>
        <w:jc w:val="both"/>
      </w:pPr>
      <w:r>
        <w:rPr>
          <w:rFonts w:ascii="仿宋_GB2312" w:hAnsi="仿宋_GB2312" w:eastAsia="仿宋_GB2312"/>
          <w:b/>
          <w:sz w:val="32"/>
        </w:rPr>
        <w:t>2024年度一般公共预算财政拨款支出21,659.28万元，</w:t>
      </w:r>
      <w:r>
        <w:rPr>
          <w:rFonts w:ascii="仿宋_GB2312" w:hAnsi="仿宋_GB2312" w:eastAsia="仿宋_GB2312"/>
          <w:b w:val="0"/>
          <w:sz w:val="32"/>
        </w:rPr>
        <w:t>占本年支出合计的70.94%。</w:t>
      </w:r>
      <w:r>
        <w:rPr>
          <w:rFonts w:ascii="仿宋_GB2312" w:hAnsi="仿宋_GB2312" w:eastAsia="仿宋_GB2312"/>
          <w:b/>
          <w:sz w:val="32"/>
        </w:rPr>
        <w:t>与上年相比，</w:t>
      </w:r>
      <w:r>
        <w:rPr>
          <w:rFonts w:ascii="仿宋_GB2312" w:hAnsi="仿宋_GB2312" w:eastAsia="仿宋_GB2312"/>
          <w:b w:val="0"/>
          <w:sz w:val="32"/>
        </w:rPr>
        <w:t>增加3,646.63万元，增长20.24%，主要原因是：本年度中央转移支付资金项目经费较上年增加，导致经费较上年增加。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年初预算数26,059.61万元，决算数21,659.28万元，预决算差异率-16.89%，主要原因是：本年优化辅警人员，年中调减辅警人员经费，导致预决算存在差异。</w:t>
      </w:r>
    </w:p>
    <w:p w14:paraId="02DACB17">
      <w:pPr>
        <w:spacing w:line="640" w:lineRule="exact"/>
        <w:ind w:firstLine="640"/>
        <w:jc w:val="both"/>
        <w:outlineLvl w:val="3"/>
      </w:pPr>
      <w:r>
        <w:rPr>
          <w:rFonts w:ascii="楷体_GB2312" w:hAnsi="楷体_GB2312" w:eastAsia="楷体_GB2312"/>
          <w:b/>
          <w:sz w:val="32"/>
        </w:rPr>
        <w:t>（二）一般公共预算财政拨款支出决算结构情况</w:t>
      </w:r>
    </w:p>
    <w:p w14:paraId="2A9EA104">
      <w:pPr>
        <w:spacing w:line="580" w:lineRule="exact"/>
        <w:ind w:firstLine="640"/>
        <w:jc w:val="both"/>
      </w:pPr>
      <w:r>
        <w:rPr>
          <w:rFonts w:ascii="仿宋_GB2312" w:hAnsi="仿宋_GB2312" w:eastAsia="仿宋_GB2312"/>
          <w:b w:val="0"/>
          <w:sz w:val="32"/>
        </w:rPr>
        <w:t>1.公共安全支出(类)17,710.15万元,占81.77%。</w:t>
      </w:r>
    </w:p>
    <w:p w14:paraId="51649238">
      <w:pPr>
        <w:spacing w:line="580" w:lineRule="exact"/>
        <w:ind w:firstLine="640"/>
        <w:jc w:val="both"/>
      </w:pPr>
      <w:r>
        <w:rPr>
          <w:rFonts w:ascii="仿宋_GB2312" w:hAnsi="仿宋_GB2312" w:eastAsia="仿宋_GB2312"/>
          <w:b w:val="0"/>
          <w:sz w:val="32"/>
        </w:rPr>
        <w:t>2.科学技术支出(类)203.98万元,占0.94%。</w:t>
      </w:r>
    </w:p>
    <w:p w14:paraId="165BD20A">
      <w:pPr>
        <w:spacing w:line="580" w:lineRule="exact"/>
        <w:ind w:firstLine="640"/>
        <w:jc w:val="both"/>
      </w:pPr>
      <w:r>
        <w:rPr>
          <w:rFonts w:ascii="仿宋_GB2312" w:hAnsi="仿宋_GB2312" w:eastAsia="仿宋_GB2312"/>
          <w:b w:val="0"/>
          <w:sz w:val="32"/>
        </w:rPr>
        <w:t>3.社会保障和就业支出(类)1,289.55万元,占5.95%。</w:t>
      </w:r>
    </w:p>
    <w:p w14:paraId="1EFFF8BE">
      <w:pPr>
        <w:spacing w:line="580" w:lineRule="exact"/>
        <w:ind w:firstLine="640"/>
        <w:jc w:val="both"/>
      </w:pPr>
      <w:r>
        <w:rPr>
          <w:rFonts w:ascii="仿宋_GB2312" w:hAnsi="仿宋_GB2312" w:eastAsia="仿宋_GB2312"/>
          <w:b w:val="0"/>
          <w:sz w:val="32"/>
        </w:rPr>
        <w:t>4.卫生健康支出(类)587.16万元,占2.71%。</w:t>
      </w:r>
    </w:p>
    <w:p w14:paraId="7EF190A8">
      <w:pPr>
        <w:spacing w:line="580" w:lineRule="exact"/>
        <w:ind w:firstLine="640"/>
        <w:jc w:val="both"/>
      </w:pPr>
      <w:r>
        <w:rPr>
          <w:rFonts w:ascii="仿宋_GB2312" w:hAnsi="仿宋_GB2312" w:eastAsia="仿宋_GB2312"/>
          <w:b w:val="0"/>
          <w:sz w:val="32"/>
        </w:rPr>
        <w:t>5.住房保障支出(类)868.44万元,占4.01</w:t>
      </w:r>
      <w:bookmarkStart w:id="0" w:name="_GoBack"/>
      <w:bookmarkEnd w:id="0"/>
      <w:r>
        <w:rPr>
          <w:rFonts w:ascii="仿宋_GB2312" w:hAnsi="仿宋_GB2312" w:eastAsia="仿宋_GB2312"/>
          <w:b w:val="0"/>
          <w:sz w:val="32"/>
        </w:rPr>
        <w:t>%。</w:t>
      </w:r>
    </w:p>
    <w:p w14:paraId="6D983388">
      <w:pPr>
        <w:spacing w:line="580" w:lineRule="exact"/>
        <w:ind w:firstLine="640"/>
        <w:jc w:val="both"/>
      </w:pPr>
      <w:r>
        <w:rPr>
          <w:rFonts w:ascii="仿宋_GB2312" w:hAnsi="仿宋_GB2312" w:eastAsia="仿宋_GB2312"/>
          <w:b w:val="0"/>
          <w:sz w:val="32"/>
        </w:rPr>
        <w:t>6.其他支出(类)1,000.00万元,占4.62%。</w:t>
      </w:r>
    </w:p>
    <w:p w14:paraId="0628496B">
      <w:pPr>
        <w:spacing w:line="640" w:lineRule="exact"/>
        <w:ind w:firstLine="640"/>
        <w:jc w:val="both"/>
        <w:outlineLvl w:val="3"/>
      </w:pPr>
      <w:r>
        <w:rPr>
          <w:rFonts w:ascii="楷体_GB2312" w:hAnsi="楷体_GB2312" w:eastAsia="楷体_GB2312"/>
          <w:b/>
          <w:sz w:val="32"/>
        </w:rPr>
        <w:t>（三）一般公共预算财政拨款支出决算具体情况</w:t>
      </w:r>
    </w:p>
    <w:p w14:paraId="446BF4E5">
      <w:pPr>
        <w:spacing w:line="580" w:lineRule="exact"/>
        <w:ind w:firstLine="640"/>
        <w:jc w:val="both"/>
      </w:pPr>
      <w:r>
        <w:rPr>
          <w:rFonts w:ascii="仿宋_GB2312" w:hAnsi="仿宋_GB2312" w:eastAsia="仿宋_GB2312"/>
          <w:b w:val="0"/>
          <w:sz w:val="32"/>
        </w:rPr>
        <w:t>1.一般公共服务支出(类)其他一般公共服务支出(款)国家赔偿费用支出(项):支出决算数为0.00万元，比上年决算减少41.02万元，下降100.00%,主要原因是：本年度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国家赔偿费用支出。</w:t>
      </w:r>
    </w:p>
    <w:p w14:paraId="45B5EF4F">
      <w:pPr>
        <w:spacing w:line="580" w:lineRule="exact"/>
        <w:ind w:firstLine="640"/>
        <w:jc w:val="both"/>
      </w:pPr>
      <w:r>
        <w:rPr>
          <w:rFonts w:ascii="仿宋_GB2312" w:hAnsi="仿宋_GB2312" w:eastAsia="仿宋_GB2312"/>
          <w:b w:val="0"/>
          <w:sz w:val="32"/>
        </w:rPr>
        <w:t>2.公共安全支出(类)公安(款)行政运行(项):支出决算数为10,038.51万元，比上年决算减少1,057.38万元，下降9.53%,主要原因是：本年优化辅警人员，辅警人员经费较上年减少，相应人员经费较上年减少。</w:t>
      </w:r>
    </w:p>
    <w:p w14:paraId="582F3B35">
      <w:pPr>
        <w:spacing w:line="580" w:lineRule="exact"/>
        <w:ind w:firstLine="640"/>
        <w:jc w:val="both"/>
      </w:pPr>
      <w:r>
        <w:rPr>
          <w:rFonts w:ascii="仿宋_GB2312" w:hAnsi="仿宋_GB2312" w:eastAsia="仿宋_GB2312"/>
          <w:b w:val="0"/>
          <w:sz w:val="32"/>
        </w:rPr>
        <w:t>3.公共安全支出(类)公安(款)一般行政管理事务(项):支出决算数为166.03万元，比上年决算减少1,822.48万元，下降91.65%,主要原因是：本年减少化债项目经费支出，导致经费较上年减少。</w:t>
      </w:r>
    </w:p>
    <w:p w14:paraId="3A19B5E6">
      <w:pPr>
        <w:spacing w:line="580" w:lineRule="exact"/>
        <w:ind w:firstLine="640"/>
        <w:jc w:val="both"/>
      </w:pPr>
      <w:r>
        <w:rPr>
          <w:rFonts w:ascii="仿宋_GB2312" w:hAnsi="仿宋_GB2312" w:eastAsia="仿宋_GB2312"/>
          <w:b w:val="0"/>
          <w:sz w:val="32"/>
        </w:rPr>
        <w:t>4.公共安全支出(类)公安(款)信息化建设(项):支出决算数为0.00万元，比上年决算减少50.00万元，下降100.00%,主要原因是：本年度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信息化建设项目支出。</w:t>
      </w:r>
    </w:p>
    <w:p w14:paraId="36D86216">
      <w:pPr>
        <w:spacing w:line="580" w:lineRule="exact"/>
        <w:ind w:firstLine="640"/>
        <w:jc w:val="both"/>
      </w:pPr>
      <w:r>
        <w:rPr>
          <w:rFonts w:ascii="仿宋_GB2312" w:hAnsi="仿宋_GB2312" w:eastAsia="仿宋_GB2312"/>
          <w:b w:val="0"/>
          <w:sz w:val="32"/>
        </w:rPr>
        <w:t>5.公共安全支出(类)公安(款)执法办案(项):支出决算数为62.02万元，比上年决算增加18.04万元，增长41.02%,主要原因是：本年度进一步加大执法办案力度，导致执法办案项目资金增加。</w:t>
      </w:r>
    </w:p>
    <w:p w14:paraId="27073F0F">
      <w:pPr>
        <w:spacing w:line="580" w:lineRule="exact"/>
        <w:ind w:firstLine="640"/>
        <w:jc w:val="both"/>
      </w:pPr>
      <w:r>
        <w:rPr>
          <w:rFonts w:ascii="仿宋_GB2312" w:hAnsi="仿宋_GB2312" w:eastAsia="仿宋_GB2312"/>
          <w:b w:val="0"/>
          <w:sz w:val="32"/>
        </w:rPr>
        <w:t>6.公共安全支出(类)公安(款)特别业务(项):支出决算数为86.14万元，比上年决算增加86.14万元，增长100.00%,主要原因是：本年度进一步加大执法办案力度，导致特别业务项目资金增加。</w:t>
      </w:r>
    </w:p>
    <w:p w14:paraId="061AFA96">
      <w:pPr>
        <w:spacing w:line="580" w:lineRule="exact"/>
        <w:ind w:firstLine="640"/>
        <w:jc w:val="both"/>
      </w:pPr>
      <w:r>
        <w:rPr>
          <w:rFonts w:ascii="仿宋_GB2312" w:hAnsi="仿宋_GB2312" w:eastAsia="仿宋_GB2312"/>
          <w:b w:val="0"/>
          <w:sz w:val="32"/>
        </w:rPr>
        <w:t>7.公共安全支出(类)公安(款)其他公安支出(项):支出决算数为7,357.44万元，比上年决算增加5,092.40万元，增长224.83%,主要原因是：本年中央政法专项转移资金较上年增加。</w:t>
      </w:r>
    </w:p>
    <w:p w14:paraId="68A7630D">
      <w:pPr>
        <w:spacing w:line="580" w:lineRule="exact"/>
        <w:ind w:firstLine="640"/>
        <w:jc w:val="both"/>
      </w:pPr>
      <w:r>
        <w:rPr>
          <w:rFonts w:ascii="仿宋_GB2312" w:hAnsi="仿宋_GB2312" w:eastAsia="仿宋_GB2312"/>
          <w:b w:val="0"/>
          <w:sz w:val="32"/>
        </w:rPr>
        <w:t>8.科学技术支出(类)科技条件与服务(款)其他科技条件与服务支出(项):支出决算数为36.77万元，比上年决算增加36.77万元，增长100.00%,主要原因是：本年度新增科技类支出，导致工程建设项目资金增加。</w:t>
      </w:r>
    </w:p>
    <w:p w14:paraId="1FF1D24C">
      <w:pPr>
        <w:spacing w:line="580" w:lineRule="exact"/>
        <w:ind w:firstLine="640"/>
        <w:jc w:val="both"/>
      </w:pPr>
      <w:r>
        <w:rPr>
          <w:rFonts w:ascii="仿宋_GB2312" w:hAnsi="仿宋_GB2312" w:eastAsia="仿宋_GB2312"/>
          <w:b w:val="0"/>
          <w:sz w:val="32"/>
        </w:rPr>
        <w:t>9.科学技术支出(类)其他科学技术支出(款)其他科学技术支出(项):支出决算数为167.22万元，比上年决算增加167.22万元，增长100.00%,主要原因是：本年度加大对科技支出的资金投入力度，导致科技项目金额增加。</w:t>
      </w:r>
    </w:p>
    <w:p w14:paraId="0BCF270C">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10.社会保障和就业支出(类)行政事业单位养老支出(款)行政单位离退休(项):支出决算数为113.24万元，比上年决算增加32.58万元，增长40.39%,主要原因是：本年退休人员增加，退休费支出增加。</w:t>
      </w:r>
    </w:p>
    <w:p w14:paraId="01F6EC84">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1,079.39万元，比上年决算增加93.10万元，增长9.44%,主要原因是：本年在职人员工资基数调增，养老缴费基数上涨，相应支出增加。</w:t>
      </w:r>
    </w:p>
    <w:p w14:paraId="7CA3BC24">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12.社会保障和就业支出(类)行政事业单位养老支出(款)机关事业单位职业年金缴费支出(项):支出决算数为96.92万元，比上年决算增加60.92万元，增长169.22%,主要原因是：本年新增退休人员，职业年金缴费支出增加。</w:t>
      </w:r>
    </w:p>
    <w:p w14:paraId="4B674E9C">
      <w:pPr>
        <w:spacing w:line="580" w:lineRule="exact"/>
        <w:ind w:firstLine="640"/>
        <w:jc w:val="both"/>
      </w:pPr>
      <w:r>
        <w:rPr>
          <w:rFonts w:ascii="仿宋_GB2312" w:hAnsi="仿宋_GB2312" w:eastAsia="仿宋_GB2312"/>
          <w:b w:val="0"/>
          <w:sz w:val="32"/>
        </w:rPr>
        <w:t>13.卫生健康支出(类)行政事业单位医疗(款)行政单位医疗(项):支出决算数为459.84万元，比上年决算增加19.04万元，增长4.32%,主要原因是：本年在职人员工资基数调增，医疗缴费基数上涨，相应支出增加。</w:t>
      </w:r>
    </w:p>
    <w:p w14:paraId="64DB4FC7">
      <w:pPr>
        <w:spacing w:line="580" w:lineRule="exact"/>
        <w:ind w:firstLine="640"/>
        <w:jc w:val="both"/>
      </w:pPr>
      <w:r>
        <w:rPr>
          <w:rFonts w:ascii="仿宋_GB2312" w:hAnsi="仿宋_GB2312" w:eastAsia="仿宋_GB2312"/>
          <w:b w:val="0"/>
          <w:sz w:val="32"/>
        </w:rPr>
        <w:t>14.卫生健康支出(类)行政事业单位医疗(款)公务员医疗补助(项):支出决算数为127.32万元，比上年决算增加9.11万元，增长7.71%,主要原因是：本年在职人员工资基数调增，公务员医疗补助支出增加，相应支出增加。</w:t>
      </w:r>
    </w:p>
    <w:p w14:paraId="073BC90E">
      <w:pPr>
        <w:spacing w:line="580" w:lineRule="exact"/>
        <w:ind w:firstLine="640"/>
        <w:jc w:val="both"/>
      </w:pPr>
      <w:r>
        <w:rPr>
          <w:rFonts w:ascii="仿宋_GB2312" w:hAnsi="仿宋_GB2312" w:eastAsia="仿宋_GB2312"/>
          <w:b w:val="0"/>
          <w:sz w:val="32"/>
        </w:rPr>
        <w:t>15.住房保障支出(类)住房改革支出(款)住房公积金(项):支出决算数为868.44万元，比上年决算增加68.75万元，增长8.60%,主要原因是：本年在职人员工资基数调增，公积金缴费基数上涨，相应支出增加。</w:t>
      </w:r>
    </w:p>
    <w:p w14:paraId="55550C8D">
      <w:pPr>
        <w:spacing w:line="580" w:lineRule="exact"/>
        <w:ind w:firstLine="640"/>
        <w:jc w:val="both"/>
      </w:pPr>
      <w:r>
        <w:rPr>
          <w:rFonts w:ascii="仿宋_GB2312" w:hAnsi="仿宋_GB2312" w:eastAsia="仿宋_GB2312"/>
          <w:b w:val="0"/>
          <w:sz w:val="32"/>
        </w:rPr>
        <w:t>16.其他支出(类)其他支出(款)其他支出(项):支出决算数为1,000.00万元，比上年决算增加933.45万元，增长1,402.63%,主要原因是：本年度增加WW支出项目，导致经费较上年增加。</w:t>
      </w:r>
    </w:p>
    <w:p w14:paraId="693215BB">
      <w:pPr>
        <w:spacing w:line="640" w:lineRule="exact"/>
        <w:ind w:firstLine="640"/>
        <w:jc w:val="both"/>
        <w:outlineLvl w:val="2"/>
      </w:pPr>
      <w:r>
        <w:rPr>
          <w:rFonts w:ascii="黑体" w:hAnsi="黑体" w:eastAsia="黑体"/>
          <w:sz w:val="32"/>
        </w:rPr>
        <w:t>六、一般公共预算财政拨款基本支出决算情况说明</w:t>
      </w:r>
    </w:p>
    <w:p w14:paraId="77CE4B4B">
      <w:pPr>
        <w:spacing w:line="580" w:lineRule="exact"/>
        <w:ind w:firstLine="640"/>
        <w:jc w:val="both"/>
      </w:pPr>
      <w:r>
        <w:rPr>
          <w:rFonts w:ascii="仿宋_GB2312" w:hAnsi="仿宋_GB2312" w:eastAsia="仿宋_GB2312"/>
          <w:b w:val="0"/>
          <w:sz w:val="32"/>
        </w:rPr>
        <w:t>2024年度一般公共预算财政拨款基本支出12,783.65万元，其中：</w:t>
      </w:r>
      <w:r>
        <w:rPr>
          <w:rFonts w:ascii="仿宋_GB2312" w:hAnsi="仿宋_GB2312" w:eastAsia="仿宋_GB2312"/>
          <w:b/>
          <w:sz w:val="32"/>
        </w:rPr>
        <w:t>人员经费12,114.13万元，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05456954">
      <w:pPr>
        <w:spacing w:line="580" w:lineRule="exact"/>
        <w:ind w:firstLine="640"/>
        <w:jc w:val="both"/>
      </w:pPr>
      <w:r>
        <w:rPr>
          <w:rFonts w:ascii="仿宋_GB2312" w:hAnsi="仿宋_GB2312" w:eastAsia="仿宋_GB2312"/>
          <w:b/>
          <w:sz w:val="32"/>
        </w:rPr>
        <w:t>公用经费669.52万元，</w:t>
      </w:r>
      <w:r>
        <w:rPr>
          <w:rFonts w:ascii="仿宋_GB2312" w:hAnsi="仿宋_GB2312" w:eastAsia="仿宋_GB2312"/>
          <w:b w:val="0"/>
          <w:sz w:val="32"/>
        </w:rPr>
        <w:t>包括：办公费、水费、电费、取暖费、物业管理费、专用材料费、劳务费、委托业务费、公务用车运行维护费、其他商品和服务支出。</w:t>
      </w:r>
    </w:p>
    <w:p w14:paraId="6431B2B1">
      <w:pPr>
        <w:spacing w:line="640" w:lineRule="exact"/>
        <w:ind w:firstLine="640"/>
        <w:jc w:val="both"/>
        <w:outlineLvl w:val="2"/>
      </w:pPr>
      <w:r>
        <w:rPr>
          <w:rFonts w:ascii="黑体" w:hAnsi="黑体" w:eastAsia="黑体"/>
          <w:sz w:val="32"/>
        </w:rPr>
        <w:t>七、政府性基金预算财政拨款收入支出决算情况说明</w:t>
      </w:r>
    </w:p>
    <w:p w14:paraId="402FB9C0">
      <w:pPr>
        <w:spacing w:line="580" w:lineRule="exact"/>
        <w:ind w:firstLine="640"/>
        <w:jc w:val="both"/>
      </w:pPr>
      <w:r>
        <w:rPr>
          <w:rFonts w:ascii="仿宋_GB2312" w:hAnsi="仿宋_GB2312" w:eastAsia="仿宋_GB2312"/>
          <w:b/>
          <w:sz w:val="32"/>
        </w:rPr>
        <w:t>2024年度政府性基金预算财政拨款收入总计8,343.00万元，</w:t>
      </w:r>
      <w:r>
        <w:rPr>
          <w:rFonts w:ascii="仿宋_GB2312" w:hAnsi="仿宋_GB2312" w:eastAsia="仿宋_GB2312"/>
          <w:b w:val="0"/>
          <w:sz w:val="32"/>
        </w:rPr>
        <w:t>其中：年初结转和结余0.00万元，本年收入8,343.00万元。</w:t>
      </w:r>
      <w:r>
        <w:rPr>
          <w:rFonts w:ascii="仿宋_GB2312" w:hAnsi="仿宋_GB2312" w:eastAsia="仿宋_GB2312"/>
          <w:b/>
          <w:sz w:val="32"/>
        </w:rPr>
        <w:t>政府性基金预算财政拨款支出总计8,343.00万元，</w:t>
      </w:r>
      <w:r>
        <w:rPr>
          <w:rFonts w:ascii="仿宋_GB2312" w:hAnsi="仿宋_GB2312" w:eastAsia="仿宋_GB2312"/>
          <w:b w:val="0"/>
          <w:sz w:val="32"/>
        </w:rPr>
        <w:t>其中：年末结转和结余0.00万元，本年支出8,343.00万元。</w:t>
      </w:r>
    </w:p>
    <w:p w14:paraId="34731E3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增加8,343.00万元，增长100.00%，主要原因是：本年度增加化解资金项目，导致经费较上年增加。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年初预算数0.00万元，决算数8,343.00万元，预决算差异率100.00%，主要原因是：年中追加化解资金项目，导致预决算存在差异。</w:t>
      </w:r>
    </w:p>
    <w:p w14:paraId="59205416">
      <w:pPr>
        <w:spacing w:line="580" w:lineRule="exact"/>
        <w:ind w:firstLine="640"/>
        <w:jc w:val="both"/>
      </w:pPr>
      <w:r>
        <w:rPr>
          <w:rFonts w:ascii="仿宋_GB2312" w:hAnsi="仿宋_GB2312" w:eastAsia="仿宋_GB2312"/>
          <w:b w:val="0"/>
          <w:sz w:val="32"/>
        </w:rPr>
        <w:t>政府性基金预算财政拨款支出8,343.00万元。</w:t>
      </w:r>
    </w:p>
    <w:p w14:paraId="710C2D4B">
      <w:pPr>
        <w:spacing w:line="580" w:lineRule="exact"/>
        <w:ind w:firstLine="640"/>
        <w:jc w:val="both"/>
      </w:pPr>
      <w:r>
        <w:rPr>
          <w:rFonts w:ascii="仿宋_GB2312" w:hAnsi="仿宋_GB2312" w:eastAsia="仿宋_GB2312"/>
          <w:b w:val="0"/>
          <w:sz w:val="32"/>
        </w:rPr>
        <w:t>1.城乡社区支出(类)国有土地使用权出让收入对应专项债务收入安排的支出(款)其他国有土地使用权出让收入对应专项债务收入安排的支出(项):支出决算数为8,343.00万元，比上年决算增加8,343.00万元，增长100.00%,主要原因是：本年度增加化解资金项目，导致经费较上年增加。</w:t>
      </w:r>
    </w:p>
    <w:p w14:paraId="66A83912">
      <w:pPr>
        <w:spacing w:line="640" w:lineRule="exact"/>
        <w:ind w:firstLine="640"/>
        <w:jc w:val="both"/>
        <w:outlineLvl w:val="2"/>
      </w:pPr>
      <w:r>
        <w:rPr>
          <w:rFonts w:ascii="黑体" w:hAnsi="黑体" w:eastAsia="黑体"/>
          <w:sz w:val="32"/>
        </w:rPr>
        <w:t>八、国有资本经营预算财政拨款收入支出决算情况说明</w:t>
      </w:r>
    </w:p>
    <w:p w14:paraId="4F11D4A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C0F8CF0">
      <w:pPr>
        <w:spacing w:line="640" w:lineRule="exact"/>
        <w:ind w:firstLine="640"/>
        <w:jc w:val="both"/>
        <w:outlineLvl w:val="2"/>
      </w:pPr>
      <w:r>
        <w:rPr>
          <w:rFonts w:ascii="黑体" w:hAnsi="黑体" w:eastAsia="黑体"/>
          <w:sz w:val="32"/>
        </w:rPr>
        <w:t>九、财政拨款“三公”经费支出决算情况说明</w:t>
      </w:r>
    </w:p>
    <w:p w14:paraId="595545C5">
      <w:pPr>
        <w:spacing w:line="580" w:lineRule="exact"/>
        <w:ind w:firstLine="640"/>
        <w:jc w:val="both"/>
      </w:pPr>
      <w:r>
        <w:rPr>
          <w:rFonts w:ascii="仿宋_GB2312" w:hAnsi="仿宋_GB2312" w:eastAsia="仿宋_GB2312"/>
          <w:b/>
          <w:sz w:val="32"/>
        </w:rPr>
        <w:t>2024年度财政拨款“三公”经费支出13.80万元，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13.80万元，占100.00%，比上年增加0.00万元，增长0.00%，主要原因是：本单位公务用车运行维护费与上年一致无变化。公务接待费支出0.00万元，占0.00%，比上年增加0.00万元，增长0.00%，主要原因是：2023年与2024年均未安排公务接待费支出。</w:t>
      </w:r>
    </w:p>
    <w:p w14:paraId="56B33F8B">
      <w:pPr>
        <w:spacing w:line="580" w:lineRule="exact"/>
        <w:ind w:firstLine="640"/>
        <w:jc w:val="both"/>
      </w:pPr>
      <w:r>
        <w:rPr>
          <w:rFonts w:ascii="仿宋_GB2312" w:hAnsi="仿宋_GB2312" w:eastAsia="仿宋_GB2312"/>
          <w:b/>
          <w:sz w:val="32"/>
        </w:rPr>
        <w:t>具体情况如下：</w:t>
      </w:r>
    </w:p>
    <w:p w14:paraId="3DD563E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EDA792">
      <w:pPr>
        <w:spacing w:line="580" w:lineRule="exact"/>
        <w:ind w:firstLine="640"/>
        <w:jc w:val="both"/>
      </w:pPr>
      <w:r>
        <w:rPr>
          <w:rFonts w:ascii="仿宋_GB2312" w:hAnsi="仿宋_GB2312" w:eastAsia="仿宋_GB2312"/>
          <w:b w:val="0"/>
          <w:sz w:val="32"/>
        </w:rPr>
        <w:t>公务用车购置及运行维护费13.80万元，其中：公务用车购置费0.00万元，公务用车运行维护费13.80万元。公务用车运行维护费开支内容包括车辆加油费、维修费、保险费、审车费、过路费等。公务用车购置数0辆，公务用车保有量10辆。国有资产占用情况中固定资产车辆82辆，与公务用车保有量差异原因是：差异车辆为单位业务用车，预算未安排公务用车运行维护费。</w:t>
      </w:r>
    </w:p>
    <w:p w14:paraId="64C4C86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5B09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13.80万元，决算数13.80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13.80万元，决算数13.80万元，预决算差异率0.00%，主要原因是：严格按照预算执行，预决算无差异。公务接待费全年预算数0.00万元，决算数0.00万元，预决算差异率0.00%，主要原因是：本单位无公务接待费。</w:t>
      </w:r>
    </w:p>
    <w:p w14:paraId="18201D6D">
      <w:pPr>
        <w:spacing w:line="640" w:lineRule="exact"/>
        <w:ind w:firstLine="640"/>
        <w:jc w:val="both"/>
        <w:outlineLvl w:val="2"/>
      </w:pPr>
      <w:r>
        <w:rPr>
          <w:rFonts w:ascii="黑体" w:hAnsi="黑体" w:eastAsia="黑体"/>
          <w:sz w:val="32"/>
        </w:rPr>
        <w:t>十、其他重要事项的情况说明</w:t>
      </w:r>
    </w:p>
    <w:p w14:paraId="1B988044">
      <w:pPr>
        <w:spacing w:line="640" w:lineRule="exact"/>
        <w:ind w:firstLine="640"/>
        <w:jc w:val="both"/>
        <w:outlineLvl w:val="3"/>
      </w:pPr>
      <w:r>
        <w:rPr>
          <w:rFonts w:ascii="楷体_GB2312" w:hAnsi="楷体_GB2312" w:eastAsia="楷体_GB2312"/>
          <w:b/>
          <w:sz w:val="32"/>
        </w:rPr>
        <w:t>（一）机关运行经费及公用经费支出情况</w:t>
      </w:r>
    </w:p>
    <w:p w14:paraId="7A5CBFC6">
      <w:pPr>
        <w:spacing w:line="580" w:lineRule="exact"/>
        <w:ind w:firstLine="640"/>
        <w:jc w:val="both"/>
      </w:pPr>
      <w:r>
        <w:rPr>
          <w:rFonts w:ascii="仿宋_GB2312" w:hAnsi="仿宋_GB2312" w:eastAsia="仿宋_GB2312"/>
          <w:b w:val="0"/>
          <w:sz w:val="32"/>
        </w:rPr>
        <w:t>2024年度英吉沙县公安局（行政单位和参照公务员法管理事业单位）机关运行经费支出669.52万元，比上年增加307.10万元，增长84.74%，主要原因是：本年办公费、电费、取暖费、专用材料费、劳务费、委托业务费增加，导致机关运行经费较上年增加。</w:t>
      </w:r>
    </w:p>
    <w:p w14:paraId="30C0A0D2">
      <w:pPr>
        <w:spacing w:line="640" w:lineRule="exact"/>
        <w:ind w:firstLine="640"/>
        <w:jc w:val="both"/>
        <w:outlineLvl w:val="3"/>
      </w:pPr>
      <w:r>
        <w:rPr>
          <w:rFonts w:ascii="楷体_GB2312" w:hAnsi="楷体_GB2312" w:eastAsia="楷体_GB2312"/>
          <w:b/>
          <w:sz w:val="32"/>
        </w:rPr>
        <w:t>（二）政府采购情况</w:t>
      </w:r>
    </w:p>
    <w:p w14:paraId="0AA8D6F8">
      <w:pPr>
        <w:spacing w:line="580" w:lineRule="exact"/>
        <w:ind w:firstLine="640"/>
        <w:jc w:val="both"/>
      </w:pPr>
      <w:r>
        <w:rPr>
          <w:rFonts w:ascii="仿宋_GB2312" w:hAnsi="仿宋_GB2312" w:eastAsia="仿宋_GB2312"/>
          <w:b w:val="0"/>
          <w:sz w:val="32"/>
        </w:rPr>
        <w:t>2024年度政府采购支出总额1,143.61万元，其中：政府采购货物支出869.68万元、政府采购工程支出39.51万元、政府采购服务支出234.43万元。</w:t>
      </w:r>
    </w:p>
    <w:p w14:paraId="47AC3CD1">
      <w:pPr>
        <w:spacing w:line="580" w:lineRule="exact"/>
        <w:ind w:firstLine="640"/>
        <w:jc w:val="both"/>
      </w:pPr>
      <w:r>
        <w:rPr>
          <w:rFonts w:ascii="仿宋_GB2312" w:hAnsi="仿宋_GB2312" w:eastAsia="仿宋_GB2312"/>
          <w:b w:val="0"/>
          <w:sz w:val="32"/>
        </w:rPr>
        <w:t>授予中小企业合同金额1,143.61万元，占政府采购支出总额的100.00%，其中：授予小微企业合同金额1,141.62万元，占政府采购支出总额的99.83%。</w:t>
      </w:r>
    </w:p>
    <w:p w14:paraId="4C44BA92">
      <w:pPr>
        <w:spacing w:line="640" w:lineRule="exact"/>
        <w:ind w:firstLine="640"/>
        <w:jc w:val="both"/>
        <w:outlineLvl w:val="3"/>
      </w:pPr>
      <w:r>
        <w:rPr>
          <w:rFonts w:ascii="楷体_GB2312" w:hAnsi="楷体_GB2312" w:eastAsia="楷体_GB2312"/>
          <w:b/>
          <w:sz w:val="32"/>
        </w:rPr>
        <w:t>（三）国有资产占用情况说明</w:t>
      </w:r>
    </w:p>
    <w:p w14:paraId="7C05309B">
      <w:pPr>
        <w:spacing w:line="580" w:lineRule="exact"/>
        <w:ind w:firstLine="640"/>
        <w:jc w:val="both"/>
      </w:pPr>
      <w:r>
        <w:rPr>
          <w:rFonts w:ascii="仿宋_GB2312" w:hAnsi="仿宋_GB2312" w:eastAsia="仿宋_GB2312"/>
          <w:b w:val="0"/>
          <w:sz w:val="32"/>
        </w:rPr>
        <w:t>截至2024年12月31日，房屋50,353.86平方米，价值7,953.79万元。车辆82辆，价值2,787.13万元，其中：副部（省）级及以上领导用车0辆、主要负责人用车0辆、机要通信用车0辆、应急保障用车0辆、执法执勤用车64辆、特种专业技术用车1辆、离退休干部服务用车0辆、其他用车17辆，其他用车主要是：一般公务用车10辆，一般业务用车7辆。单价100万元（含）以上设备（不含车辆）45台（套）。</w:t>
      </w:r>
    </w:p>
    <w:p w14:paraId="54725D9C">
      <w:pPr>
        <w:spacing w:line="640" w:lineRule="exact"/>
        <w:ind w:firstLine="640"/>
        <w:jc w:val="both"/>
        <w:outlineLvl w:val="2"/>
      </w:pPr>
      <w:r>
        <w:rPr>
          <w:rFonts w:ascii="黑体" w:hAnsi="黑体" w:eastAsia="黑体"/>
          <w:sz w:val="32"/>
        </w:rPr>
        <w:t>十一、预算绩效的情况说明</w:t>
      </w:r>
    </w:p>
    <w:p w14:paraId="6BE6D94C">
      <w:pPr>
        <w:spacing w:line="580" w:lineRule="exact"/>
        <w:ind w:firstLine="640"/>
        <w:jc w:val="both"/>
      </w:pPr>
      <w:r>
        <w:rPr>
          <w:rFonts w:ascii="仿宋_GB2312" w:hAnsi="仿宋_GB2312" w:eastAsia="仿宋_GB2312"/>
          <w:b w:val="0"/>
          <w:sz w:val="32"/>
        </w:rPr>
        <w:t>根据预算绩效管</w:t>
      </w:r>
      <w:r>
        <w:rPr>
          <w:rFonts w:ascii="仿宋_GB2312" w:hAnsi="仿宋_GB2312" w:eastAsia="仿宋_GB2312"/>
          <w:b w:val="0"/>
          <w:sz w:val="32"/>
          <w:highlight w:val="none"/>
        </w:rPr>
        <w:t>理要求，本单位2024年度预算绩效管理形成整体支出绩效自评表1个，全年预算总额</w:t>
      </w:r>
      <w:r>
        <w:rPr>
          <w:rFonts w:hint="eastAsia" w:ascii="仿宋_GB2312" w:hAnsi="仿宋_GB2312" w:eastAsia="仿宋_GB2312"/>
          <w:b w:val="0"/>
          <w:sz w:val="32"/>
          <w:highlight w:val="none"/>
          <w:lang w:val="en-US" w:eastAsia="zh-CN"/>
        </w:rPr>
        <w:t>36,083.96</w:t>
      </w:r>
      <w:r>
        <w:rPr>
          <w:rFonts w:ascii="仿宋_GB2312" w:hAnsi="仿宋_GB2312" w:eastAsia="仿宋_GB2312"/>
          <w:b w:val="0"/>
          <w:sz w:val="32"/>
          <w:highlight w:val="none"/>
        </w:rPr>
        <w:t>万元，实际执行总额</w:t>
      </w:r>
      <w:r>
        <w:rPr>
          <w:rFonts w:hint="eastAsia" w:ascii="仿宋_GB2312" w:hAnsi="仿宋_GB2312" w:eastAsia="仿宋_GB2312"/>
          <w:b w:val="0"/>
          <w:sz w:val="32"/>
          <w:highlight w:val="none"/>
          <w:lang w:val="en-US" w:eastAsia="zh-CN"/>
        </w:rPr>
        <w:t>35,889.36</w:t>
      </w:r>
      <w:r>
        <w:rPr>
          <w:rFonts w:ascii="仿宋_GB2312" w:hAnsi="仿宋_GB2312" w:eastAsia="仿宋_GB2312"/>
          <w:b w:val="0"/>
          <w:sz w:val="32"/>
          <w:highlight w:val="none"/>
        </w:rPr>
        <w:t>万元；预算绩效评价项目</w:t>
      </w:r>
      <w:r>
        <w:rPr>
          <w:rFonts w:hint="eastAsia" w:ascii="仿宋_GB2312" w:hAnsi="仿宋_GB2312" w:eastAsia="仿宋_GB2312"/>
          <w:b w:val="0"/>
          <w:sz w:val="32"/>
          <w:highlight w:val="none"/>
          <w:lang w:val="en-US" w:eastAsia="zh-CN"/>
        </w:rPr>
        <w:t>9</w:t>
      </w:r>
      <w:r>
        <w:rPr>
          <w:rFonts w:ascii="仿宋_GB2312" w:hAnsi="仿宋_GB2312" w:eastAsia="仿宋_GB2312"/>
          <w:b w:val="0"/>
          <w:sz w:val="32"/>
          <w:highlight w:val="none"/>
        </w:rPr>
        <w:t>个，全年预算数</w:t>
      </w:r>
      <w:r>
        <w:rPr>
          <w:rFonts w:hint="eastAsia" w:ascii="仿宋_GB2312" w:hAnsi="仿宋_GB2312" w:eastAsia="仿宋_GB2312"/>
          <w:b w:val="0"/>
          <w:sz w:val="32"/>
          <w:highlight w:val="none"/>
        </w:rPr>
        <w:t>10</w:t>
      </w:r>
      <w:r>
        <w:rPr>
          <w:rFonts w:hint="eastAsia" w:ascii="仿宋_GB2312" w:hAnsi="仿宋_GB2312" w:eastAsia="仿宋_GB2312"/>
          <w:b w:val="0"/>
          <w:sz w:val="32"/>
          <w:highlight w:val="none"/>
          <w:lang w:val="en-US" w:eastAsia="zh-CN"/>
        </w:rPr>
        <w:t>,</w:t>
      </w:r>
      <w:r>
        <w:rPr>
          <w:rFonts w:hint="eastAsia" w:ascii="仿宋_GB2312" w:hAnsi="仿宋_GB2312" w:eastAsia="仿宋_GB2312"/>
          <w:b w:val="0"/>
          <w:sz w:val="32"/>
          <w:highlight w:val="none"/>
        </w:rPr>
        <w:t>555.28</w:t>
      </w:r>
      <w:r>
        <w:rPr>
          <w:rFonts w:ascii="仿宋_GB2312" w:hAnsi="仿宋_GB2312" w:eastAsia="仿宋_GB2312"/>
          <w:b w:val="0"/>
          <w:sz w:val="32"/>
          <w:highlight w:val="none"/>
        </w:rPr>
        <w:t>万元，全年执行数</w:t>
      </w:r>
      <w:r>
        <w:rPr>
          <w:rFonts w:hint="eastAsia" w:ascii="仿宋_GB2312" w:hAnsi="仿宋_GB2312" w:eastAsia="仿宋_GB2312"/>
          <w:b w:val="0"/>
          <w:sz w:val="32"/>
          <w:highlight w:val="none"/>
        </w:rPr>
        <w:t>10</w:t>
      </w:r>
      <w:r>
        <w:rPr>
          <w:rFonts w:hint="eastAsia" w:ascii="仿宋_GB2312" w:hAnsi="仿宋_GB2312" w:eastAsia="仿宋_GB2312"/>
          <w:b w:val="0"/>
          <w:sz w:val="32"/>
          <w:highlight w:val="none"/>
          <w:lang w:val="en-US" w:eastAsia="zh-CN"/>
        </w:rPr>
        <w:t>,</w:t>
      </w:r>
      <w:r>
        <w:rPr>
          <w:rFonts w:hint="eastAsia" w:ascii="仿宋_GB2312" w:hAnsi="仿宋_GB2312" w:eastAsia="仿宋_GB2312"/>
          <w:b w:val="0"/>
          <w:sz w:val="32"/>
          <w:highlight w:val="none"/>
        </w:rPr>
        <w:t>075.77</w:t>
      </w:r>
      <w:r>
        <w:rPr>
          <w:rFonts w:ascii="仿宋_GB2312" w:hAnsi="仿宋_GB2312" w:eastAsia="仿宋_GB2312"/>
          <w:b w:val="0"/>
          <w:sz w:val="32"/>
          <w:highlight w:val="none"/>
        </w:rPr>
        <w:t>万元。预算绩效管理取得的成效：本单位以本次绩效评价为契机，健</w:t>
      </w:r>
      <w:r>
        <w:rPr>
          <w:rFonts w:ascii="仿宋_GB2312" w:hAnsi="仿宋_GB2312" w:eastAsia="仿宋_GB2312"/>
          <w:b w:val="0"/>
          <w:sz w:val="32"/>
        </w:rPr>
        <w:t>全预算项目管理制度，项目前期合理设置内部管理机构和岗位，明确职责权限，注重团队协作，明确业务各个环节流程、时间要求、审批权限等，保障信息对接及时，领导分工明确，事事有人管，件件有人抓，注重风险评估，明确单位内部各个业务归口管理责任，强化预算绩效意识。发现的问题及原因：</w:t>
      </w:r>
      <w:r>
        <w:rPr>
          <w:rFonts w:hint="eastAsia" w:ascii="仿宋_GB2312" w:hAnsi="仿宋_GB2312" w:eastAsia="仿宋_GB2312"/>
          <w:b w:val="0"/>
          <w:sz w:val="32"/>
          <w:lang w:val="en-US" w:eastAsia="zh-CN"/>
        </w:rPr>
        <w:t>一是</w:t>
      </w:r>
      <w:r>
        <w:rPr>
          <w:rFonts w:ascii="仿宋_GB2312" w:hAnsi="仿宋_GB2312" w:eastAsia="仿宋_GB2312"/>
          <w:b w:val="0"/>
          <w:sz w:val="32"/>
        </w:rPr>
        <w:t>部门沟通协调不足，监督责任不明确。</w:t>
      </w:r>
      <w:r>
        <w:rPr>
          <w:rFonts w:hint="eastAsia" w:ascii="仿宋_GB2312" w:hAnsi="仿宋_GB2312" w:eastAsia="仿宋_GB2312"/>
          <w:b w:val="0"/>
          <w:sz w:val="32"/>
          <w:lang w:val="en-US" w:eastAsia="zh-CN"/>
        </w:rPr>
        <w:t>二是</w:t>
      </w:r>
      <w:r>
        <w:rPr>
          <w:rFonts w:ascii="仿宋_GB2312" w:hAnsi="仿宋_GB2312" w:eastAsia="仿宋_GB2312"/>
          <w:b w:val="0"/>
          <w:sz w:val="32"/>
        </w:rPr>
        <w:t>项目资金监督和管理需进一步完善。</w:t>
      </w:r>
      <w:r>
        <w:rPr>
          <w:rFonts w:hint="eastAsia" w:ascii="仿宋_GB2312" w:hAnsi="仿宋_GB2312" w:eastAsia="仿宋_GB2312"/>
          <w:b w:val="0"/>
          <w:sz w:val="32"/>
          <w:lang w:val="en-US" w:eastAsia="zh-CN"/>
        </w:rPr>
        <w:t>三是</w:t>
      </w:r>
      <w:r>
        <w:rPr>
          <w:rFonts w:ascii="仿宋_GB2312" w:hAnsi="仿宋_GB2312" w:eastAsia="仿宋_GB2312"/>
          <w:b w:val="0"/>
          <w:sz w:val="32"/>
        </w:rPr>
        <w:t>现场评价的工作量少，后续效益评价具体措施和方法较少。下一步改进措施：一是在项目决策中，严格按照上级单位及领导的要求，拟定项目执行的任务，建章立制，扎实推进相关要求，做好项目进度计划设定，强化实施计划与组织管理，加强外部协调与沟通。二是明确项目组自身定位，深入、细致的工程策划，锁定资源，制定相关计划，加强过程控制，分阶段组织实施，与所有相关方积极互动，建立良好团队及环境建设。具体附项目支出绩效自评表和评价报告。</w:t>
      </w:r>
    </w:p>
    <w:p w14:paraId="064EE5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C7C763A">
        <w:tblPrEx>
          <w:tblCellMar>
            <w:top w:w="0" w:type="dxa"/>
            <w:left w:w="108" w:type="dxa"/>
            <w:bottom w:w="0" w:type="dxa"/>
            <w:right w:w="108" w:type="dxa"/>
          </w:tblCellMar>
        </w:tblPrEx>
        <w:tc>
          <w:tcPr>
            <w:tcW w:w="8848" w:type="dxa"/>
            <w:gridSpan w:val="14"/>
            <w:vAlign w:val="center"/>
          </w:tcPr>
          <w:p w14:paraId="52CE5F33">
            <w:pPr>
              <w:jc w:val="center"/>
            </w:pPr>
            <w:r>
              <w:rPr>
                <w:rFonts w:ascii="宋体" w:hAnsi="宋体" w:eastAsia="宋体"/>
                <w:sz w:val="24"/>
              </w:rPr>
              <w:t>项目支出绩效自评表</w:t>
            </w:r>
          </w:p>
        </w:tc>
      </w:tr>
      <w:tr w14:paraId="2D62417E">
        <w:tblPrEx>
          <w:tblCellMar>
            <w:top w:w="0" w:type="dxa"/>
            <w:left w:w="108" w:type="dxa"/>
            <w:bottom w:w="0" w:type="dxa"/>
            <w:right w:w="108" w:type="dxa"/>
          </w:tblCellMar>
        </w:tblPrEx>
        <w:tc>
          <w:tcPr>
            <w:tcW w:w="8848" w:type="dxa"/>
            <w:gridSpan w:val="14"/>
            <w:vAlign w:val="center"/>
          </w:tcPr>
          <w:p w14:paraId="6CAC2A42">
            <w:pPr>
              <w:jc w:val="center"/>
            </w:pPr>
            <w:r>
              <w:rPr>
                <w:rFonts w:ascii="宋体" w:hAnsi="宋体" w:eastAsia="宋体"/>
                <w:sz w:val="24"/>
              </w:rPr>
              <w:t>(2024年度)</w:t>
            </w:r>
          </w:p>
        </w:tc>
      </w:tr>
      <w:tr w14:paraId="259295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B3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999062">
            <w:pPr>
              <w:jc w:val="center"/>
            </w:pPr>
            <w:r>
              <w:rPr>
                <w:rFonts w:ascii="宋体" w:hAnsi="宋体" w:eastAsia="宋体"/>
                <w:sz w:val="16"/>
              </w:rPr>
              <w:t>公安局2024年化债项目</w:t>
            </w:r>
          </w:p>
        </w:tc>
      </w:tr>
      <w:tr w14:paraId="3BFC47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477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BC9F0">
            <w:pPr>
              <w:jc w:val="center"/>
            </w:pPr>
            <w:r>
              <w:rPr>
                <w:rFonts w:ascii="宋体" w:hAnsi="宋体" w:eastAsia="宋体"/>
                <w:sz w:val="16"/>
              </w:rPr>
              <w:t>英吉沙县公安局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40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686BA3">
            <w:pPr>
              <w:jc w:val="center"/>
            </w:pPr>
            <w:r>
              <w:rPr>
                <w:rFonts w:ascii="宋体" w:hAnsi="宋体" w:eastAsia="宋体"/>
                <w:sz w:val="16"/>
              </w:rPr>
              <w:t>英吉沙县公安局</w:t>
            </w:r>
          </w:p>
        </w:tc>
      </w:tr>
      <w:tr w14:paraId="444AE9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606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491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984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D6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A19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EB4D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D580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CF34">
            <w:pPr>
              <w:jc w:val="center"/>
            </w:pPr>
            <w:r>
              <w:rPr>
                <w:rFonts w:ascii="宋体" w:hAnsi="宋体" w:eastAsia="宋体"/>
                <w:sz w:val="16"/>
              </w:rPr>
              <w:t>得分</w:t>
            </w:r>
          </w:p>
        </w:tc>
      </w:tr>
      <w:tr w14:paraId="7FDF6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946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C21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5B58">
            <w:pPr>
              <w:jc w:val="center"/>
            </w:pPr>
            <w:r>
              <w:rPr>
                <w:rFonts w:ascii="宋体" w:hAnsi="宋体" w:eastAsia="宋体"/>
                <w:sz w:val="16"/>
              </w:rPr>
              <w:t>882.00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4F30">
            <w:pPr>
              <w:jc w:val="center"/>
            </w:pPr>
            <w:r>
              <w:rPr>
                <w:rFonts w:ascii="宋体" w:hAnsi="宋体" w:eastAsia="宋体"/>
                <w:sz w:val="16"/>
              </w:rPr>
              <w:t>882.00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1323">
            <w:pPr>
              <w:jc w:val="center"/>
            </w:pPr>
            <w:r>
              <w:rPr>
                <w:rFonts w:ascii="宋体" w:hAnsi="宋体" w:eastAsia="宋体"/>
                <w:sz w:val="16"/>
              </w:rPr>
              <w:t>882.00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8CD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625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C7F3">
            <w:pPr>
              <w:jc w:val="center"/>
            </w:pPr>
            <w:r>
              <w:rPr>
                <w:rFonts w:ascii="宋体" w:hAnsi="宋体" w:eastAsia="宋体"/>
                <w:sz w:val="16"/>
              </w:rPr>
              <w:t>10.00分</w:t>
            </w:r>
          </w:p>
        </w:tc>
      </w:tr>
      <w:tr w14:paraId="1F961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03D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6C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528B">
            <w:pPr>
              <w:jc w:val="center"/>
            </w:pPr>
            <w:r>
              <w:rPr>
                <w:rFonts w:ascii="宋体" w:hAnsi="宋体" w:eastAsia="宋体"/>
                <w:sz w:val="16"/>
              </w:rPr>
              <w:t>882.00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96A29">
            <w:pPr>
              <w:jc w:val="center"/>
            </w:pPr>
            <w:r>
              <w:rPr>
                <w:rFonts w:ascii="宋体" w:hAnsi="宋体" w:eastAsia="宋体"/>
                <w:sz w:val="16"/>
              </w:rPr>
              <w:t>882.00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EF341">
            <w:pPr>
              <w:jc w:val="center"/>
            </w:pPr>
            <w:r>
              <w:rPr>
                <w:rFonts w:ascii="宋体" w:hAnsi="宋体" w:eastAsia="宋体"/>
                <w:sz w:val="16"/>
              </w:rPr>
              <w:t>882.00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DA9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155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A8E6">
            <w:pPr>
              <w:jc w:val="center"/>
            </w:pPr>
            <w:r>
              <w:rPr>
                <w:rFonts w:ascii="宋体" w:hAnsi="宋体" w:eastAsia="宋体"/>
                <w:sz w:val="16"/>
              </w:rPr>
              <w:t>—</w:t>
            </w:r>
          </w:p>
        </w:tc>
      </w:tr>
      <w:tr w14:paraId="4F621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770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FB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457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55B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9F7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75B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1C9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BF8C">
            <w:pPr>
              <w:jc w:val="center"/>
            </w:pPr>
            <w:r>
              <w:rPr>
                <w:rFonts w:ascii="宋体" w:hAnsi="宋体" w:eastAsia="宋体"/>
                <w:sz w:val="16"/>
              </w:rPr>
              <w:t>—</w:t>
            </w:r>
          </w:p>
        </w:tc>
      </w:tr>
      <w:tr w14:paraId="6DAA08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449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A7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E1183">
            <w:pPr>
              <w:jc w:val="center"/>
            </w:pPr>
            <w:r>
              <w:rPr>
                <w:rFonts w:ascii="宋体" w:hAnsi="宋体" w:eastAsia="宋体"/>
                <w:sz w:val="16"/>
              </w:rPr>
              <w:t>实际完成情况</w:t>
            </w:r>
          </w:p>
        </w:tc>
      </w:tr>
      <w:tr w14:paraId="09642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7C0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A08E2">
            <w:pPr>
              <w:jc w:val="both"/>
            </w:pPr>
            <w:r>
              <w:rPr>
                <w:rFonts w:ascii="宋体" w:hAnsi="宋体" w:eastAsia="宋体"/>
                <w:sz w:val="16"/>
              </w:rPr>
              <w:t>该项目计划使用资金882万元，化债项目数量4个，按照《中华人民共和国财政监测平台》即债务平台中还款计划按期支付偿还DNA数据库2024年化解债务计划。项目的实施，能有效提高政府的公信力。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2FB56">
            <w:pPr>
              <w:jc w:val="both"/>
            </w:pPr>
            <w:r>
              <w:rPr>
                <w:rFonts w:hint="eastAsia" w:ascii="宋体" w:hAnsi="宋体"/>
                <w:sz w:val="16"/>
                <w:lang w:eastAsia="zh-CN"/>
              </w:rPr>
              <w:t>截至</w:t>
            </w:r>
            <w:r>
              <w:rPr>
                <w:rFonts w:ascii="宋体" w:hAnsi="宋体" w:eastAsia="宋体"/>
                <w:sz w:val="16"/>
              </w:rPr>
              <w:t>2024年5月31日，已完成化债项目数量4个，项目的实施，能有效提高政府的公信力，受益使用单位满意度达到95%。</w:t>
            </w:r>
          </w:p>
        </w:tc>
      </w:tr>
      <w:tr w14:paraId="5D1DF4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D46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B3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B1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E9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6C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5E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24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84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3B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5C3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8F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24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8AE0F">
            <w:pPr>
              <w:jc w:val="center"/>
            </w:pPr>
            <w:r>
              <w:rPr>
                <w:rFonts w:ascii="宋体" w:hAnsi="宋体" w:eastAsia="宋体"/>
                <w:sz w:val="16"/>
              </w:rPr>
              <w:t>偏差原因分析及改进措施</w:t>
            </w:r>
          </w:p>
        </w:tc>
      </w:tr>
      <w:tr w14:paraId="099BC3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567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6A6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5B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4AFE">
            <w:pPr>
              <w:jc w:val="center"/>
            </w:pPr>
            <w:r>
              <w:rPr>
                <w:rFonts w:ascii="宋体" w:hAnsi="宋体" w:eastAsia="宋体"/>
                <w:sz w:val="16"/>
              </w:rPr>
              <w:t>化债项目数量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9A6E">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A7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9E07">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22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7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84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A53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6C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AEB3">
            <w:pPr>
              <w:jc w:val="center"/>
            </w:pPr>
            <w:r>
              <w:rPr>
                <w:rFonts w:ascii="宋体" w:hAnsi="宋体" w:eastAsia="宋体"/>
                <w:sz w:val="16"/>
              </w:rPr>
              <w:t>无</w:t>
            </w:r>
          </w:p>
        </w:tc>
      </w:tr>
      <w:tr w14:paraId="4E8B9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C2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91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D2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5994">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F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9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1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03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94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7F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E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B90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05D07">
            <w:pPr>
              <w:jc w:val="center"/>
            </w:pPr>
            <w:r>
              <w:rPr>
                <w:rFonts w:ascii="宋体" w:hAnsi="宋体" w:eastAsia="宋体"/>
                <w:sz w:val="16"/>
              </w:rPr>
              <w:t>无</w:t>
            </w:r>
          </w:p>
        </w:tc>
      </w:tr>
      <w:tr w14:paraId="737BB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4F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B0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79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6F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2A7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2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A0EB">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87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A6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D7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1F5F">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F7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A9AD0">
            <w:pPr>
              <w:jc w:val="center"/>
            </w:pPr>
            <w:r>
              <w:rPr>
                <w:rFonts w:ascii="宋体" w:hAnsi="宋体" w:eastAsia="宋体"/>
                <w:sz w:val="16"/>
              </w:rPr>
              <w:t>无</w:t>
            </w:r>
          </w:p>
        </w:tc>
      </w:tr>
      <w:tr w14:paraId="330CD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C11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4699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571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DD6B">
            <w:pPr>
              <w:jc w:val="center"/>
            </w:pPr>
            <w:r>
              <w:rPr>
                <w:rFonts w:ascii="宋体" w:hAnsi="宋体" w:eastAsia="宋体"/>
                <w:sz w:val="16"/>
              </w:rPr>
              <w:t>DNA数据库化债成本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0939">
            <w:pPr>
              <w:jc w:val="center"/>
            </w:pPr>
            <w:r>
              <w:rPr>
                <w:rFonts w:ascii="宋体" w:hAnsi="宋体" w:eastAsia="宋体"/>
                <w:sz w:val="16"/>
              </w:rPr>
              <w:t>&lt;=73万元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86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AED7">
            <w:pPr>
              <w:jc w:val="center"/>
            </w:pPr>
            <w:r>
              <w:rPr>
                <w:rFonts w:ascii="宋体" w:hAnsi="宋体" w:eastAsia="宋体"/>
                <w:sz w:val="16"/>
              </w:rPr>
              <w: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5A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5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76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A4B8">
            <w:pPr>
              <w:jc w:val="center"/>
            </w:pPr>
            <w:r>
              <w:rPr>
                <w:rFonts w:ascii="宋体" w:hAnsi="宋体" w:eastAsia="宋体"/>
                <w:sz w:val="16"/>
              </w:rPr>
              <w: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3C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94CA3">
            <w:pPr>
              <w:jc w:val="center"/>
            </w:pPr>
            <w:r>
              <w:rPr>
                <w:rFonts w:ascii="宋体" w:hAnsi="宋体" w:eastAsia="宋体"/>
                <w:sz w:val="16"/>
              </w:rPr>
              <w:t>无</w:t>
            </w:r>
          </w:p>
        </w:tc>
      </w:tr>
      <w:tr w14:paraId="7247B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94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9A7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97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087F">
            <w:pPr>
              <w:jc w:val="center"/>
            </w:pPr>
            <w:r>
              <w:rPr>
                <w:rFonts w:ascii="宋体" w:hAnsi="宋体" w:eastAsia="宋体"/>
                <w:sz w:val="16"/>
              </w:rPr>
              <w:t>便民站项目化债成本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3BED">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47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8ABE">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9F7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3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69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0744">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231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75AFD">
            <w:pPr>
              <w:jc w:val="center"/>
            </w:pPr>
            <w:r>
              <w:rPr>
                <w:rFonts w:ascii="宋体" w:hAnsi="宋体" w:eastAsia="宋体"/>
                <w:sz w:val="16"/>
              </w:rPr>
              <w:t>无</w:t>
            </w:r>
          </w:p>
        </w:tc>
      </w:tr>
      <w:tr w14:paraId="70273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C5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820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EE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1989">
            <w:pPr>
              <w:jc w:val="center"/>
            </w:pPr>
            <w:r>
              <w:rPr>
                <w:rFonts w:ascii="宋体" w:hAnsi="宋体" w:eastAsia="宋体"/>
                <w:sz w:val="16"/>
              </w:rPr>
              <w:t>英吉沙县技侦无线侦控项目化债成本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1DA6">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5A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8C5A">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390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DC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B0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EBF0">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58CC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9DCDF">
            <w:pPr>
              <w:jc w:val="center"/>
            </w:pPr>
            <w:r>
              <w:rPr>
                <w:rFonts w:ascii="宋体" w:hAnsi="宋体" w:eastAsia="宋体"/>
                <w:sz w:val="16"/>
              </w:rPr>
              <w:t>无</w:t>
            </w:r>
          </w:p>
        </w:tc>
      </w:tr>
      <w:tr w14:paraId="504254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F6D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E5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50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4BD4">
            <w:pPr>
              <w:jc w:val="center"/>
            </w:pPr>
            <w:r>
              <w:rPr>
                <w:rFonts w:ascii="宋体" w:hAnsi="宋体" w:eastAsia="宋体"/>
                <w:sz w:val="16"/>
              </w:rPr>
              <w:t>英吉沙县视频卡口设备、后端存储及后端服务化债成本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780B">
            <w:pPr>
              <w:jc w:val="center"/>
            </w:pPr>
            <w:r>
              <w:rPr>
                <w:rFonts w:ascii="宋体" w:hAnsi="宋体" w:eastAsia="宋体"/>
                <w:sz w:val="16"/>
              </w:rPr>
              <w:t>&lt;=740万元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EF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C7DF">
            <w:pPr>
              <w:jc w:val="center"/>
            </w:pPr>
            <w:r>
              <w:rPr>
                <w:rFonts w:ascii="宋体" w:hAnsi="宋体" w:eastAsia="宋体"/>
                <w:sz w:val="16"/>
              </w:rPr>
              <w: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7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37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CC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91D7">
            <w:pPr>
              <w:jc w:val="center"/>
            </w:pPr>
            <w:r>
              <w:rPr>
                <w:rFonts w:ascii="宋体" w:hAnsi="宋体" w:eastAsia="宋体"/>
                <w:sz w:val="16"/>
              </w:rPr>
              <w: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03D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C533">
            <w:pPr>
              <w:jc w:val="center"/>
            </w:pPr>
            <w:r>
              <w:rPr>
                <w:rFonts w:ascii="宋体" w:hAnsi="宋体" w:eastAsia="宋体"/>
                <w:sz w:val="16"/>
              </w:rPr>
              <w:t>无</w:t>
            </w:r>
          </w:p>
        </w:tc>
      </w:tr>
      <w:tr w14:paraId="4D3F3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8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17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09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EFE0">
            <w:pPr>
              <w:jc w:val="center"/>
            </w:pPr>
            <w:r>
              <w:rPr>
                <w:rFonts w:ascii="宋体" w:hAnsi="宋体" w:eastAsia="宋体"/>
                <w:sz w:val="16"/>
              </w:rPr>
              <w:t>有效提高政府的公信力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EF5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5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5556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C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C8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D36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8FB9">
            <w:pPr>
              <w:jc w:val="center"/>
            </w:pPr>
            <w:r>
              <w:rPr>
                <w:rFonts w:ascii="宋体" w:hAnsi="宋体" w:eastAsia="宋体"/>
                <w:sz w:val="16"/>
              </w:rPr>
              <w:t>与预期目标</w:t>
            </w:r>
            <w:r>
              <w:rPr>
                <w:rFonts w:hint="eastAsia" w:ascii="宋体" w:hAnsi="宋体"/>
                <w:sz w:val="16"/>
                <w:lang w:eastAsia="zh-CN"/>
              </w:rPr>
              <w:t>一致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0A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7F1F0">
            <w:pPr>
              <w:jc w:val="center"/>
            </w:pPr>
            <w:r>
              <w:rPr>
                <w:rFonts w:ascii="宋体" w:hAnsi="宋体" w:eastAsia="宋体"/>
                <w:sz w:val="16"/>
              </w:rPr>
              <w:t>无</w:t>
            </w:r>
          </w:p>
        </w:tc>
      </w:tr>
      <w:tr w14:paraId="142D3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8C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34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6D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DFAF">
            <w:pPr>
              <w:jc w:val="center"/>
            </w:pPr>
            <w:r>
              <w:rPr>
                <w:rFonts w:ascii="宋体" w:hAnsi="宋体" w:eastAsia="宋体"/>
                <w:sz w:val="16"/>
              </w:rPr>
              <w:t>受益使用单位满意度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96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A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0D2D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F2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87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2B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2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D4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E378">
            <w:pPr>
              <w:jc w:val="center"/>
            </w:pPr>
            <w:r>
              <w:rPr>
                <w:rFonts w:ascii="宋体" w:hAnsi="宋体" w:eastAsia="宋体"/>
                <w:sz w:val="16"/>
              </w:rPr>
              <w:t>无</w:t>
            </w:r>
          </w:p>
        </w:tc>
      </w:tr>
      <w:tr w14:paraId="368AFF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F89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58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747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4E9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7E4970"/>
        </w:tc>
      </w:tr>
    </w:tbl>
    <w:p w14:paraId="59469D2E">
      <w:r>
        <w:br w:type="page"/>
      </w:r>
    </w:p>
    <w:p w14:paraId="349B5D41">
      <w:pPr>
        <w:spacing w:line="640" w:lineRule="exact"/>
        <w:ind w:firstLine="640"/>
        <w:jc w:val="both"/>
        <w:outlineLvl w:val="2"/>
      </w:pPr>
      <w:r>
        <w:rPr>
          <w:rFonts w:ascii="黑体" w:hAnsi="黑体" w:eastAsia="黑体"/>
          <w:sz w:val="32"/>
        </w:rPr>
        <w:t>十二、其他需说明的事项</w:t>
      </w:r>
    </w:p>
    <w:p w14:paraId="77F645D5">
      <w:pPr>
        <w:spacing w:line="580" w:lineRule="exact"/>
        <w:ind w:firstLine="640"/>
        <w:jc w:val="both"/>
      </w:pPr>
      <w:r>
        <w:rPr>
          <w:rFonts w:ascii="仿宋_GB2312" w:hAnsi="仿宋_GB2312" w:eastAsia="仿宋_GB2312"/>
          <w:b w:val="0"/>
          <w:sz w:val="32"/>
        </w:rPr>
        <w:t>本年度本单位整体绩效自评表不予公开。</w:t>
      </w:r>
    </w:p>
    <w:p w14:paraId="53BDA3E7">
      <w:pPr>
        <w:spacing w:line="580" w:lineRule="exact"/>
        <w:ind w:firstLine="640"/>
        <w:jc w:val="both"/>
      </w:pPr>
      <w:r>
        <w:rPr>
          <w:rFonts w:ascii="仿宋_GB2312" w:hAnsi="仿宋_GB2312" w:eastAsia="仿宋_GB2312"/>
          <w:b w:val="0"/>
          <w:sz w:val="32"/>
        </w:rPr>
        <w:t>本年本单位SM项目8个，全年预算数9</w:t>
      </w:r>
      <w:r>
        <w:rPr>
          <w:rFonts w:hint="eastAsia" w:ascii="仿宋_GB2312" w:hAnsi="仿宋_GB2312" w:eastAsia="仿宋_GB2312"/>
          <w:b w:val="0"/>
          <w:sz w:val="32"/>
          <w:lang w:val="en-US" w:eastAsia="zh-CN"/>
        </w:rPr>
        <w:t>,</w:t>
      </w:r>
      <w:r>
        <w:rPr>
          <w:rFonts w:ascii="仿宋_GB2312" w:hAnsi="仿宋_GB2312" w:eastAsia="仿宋_GB2312"/>
          <w:b w:val="0"/>
          <w:sz w:val="32"/>
        </w:rPr>
        <w:t>673.28万元，全年执行数9</w:t>
      </w:r>
      <w:r>
        <w:rPr>
          <w:rFonts w:hint="eastAsia" w:ascii="仿宋_GB2312" w:hAnsi="仿宋_GB2312" w:eastAsia="仿宋_GB2312"/>
          <w:b w:val="0"/>
          <w:sz w:val="32"/>
          <w:lang w:val="en-US" w:eastAsia="zh-CN"/>
        </w:rPr>
        <w:t>,</w:t>
      </w:r>
      <w:r>
        <w:rPr>
          <w:rFonts w:ascii="仿宋_GB2312" w:hAnsi="仿宋_GB2312" w:eastAsia="仿宋_GB2312"/>
          <w:b w:val="0"/>
          <w:sz w:val="32"/>
        </w:rPr>
        <w:t>193.77万元。</w:t>
      </w:r>
    </w:p>
    <w:p w14:paraId="58E8EF75">
      <w:r>
        <w:br w:type="page"/>
      </w:r>
    </w:p>
    <w:p w14:paraId="44E191BE">
      <w:pPr>
        <w:spacing w:line="240" w:lineRule="auto"/>
        <w:jc w:val="center"/>
        <w:outlineLvl w:val="1"/>
      </w:pPr>
      <w:r>
        <w:rPr>
          <w:rFonts w:ascii="黑体" w:hAnsi="黑体" w:eastAsia="黑体"/>
          <w:sz w:val="32"/>
        </w:rPr>
        <w:t>第三部分 专业名词解释</w:t>
      </w:r>
    </w:p>
    <w:p w14:paraId="6E43FA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149AD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41A7E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C1424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220DD7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60E44C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31AD6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86E389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796A1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0BA0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29AD8D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F1141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4FB5D3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F0239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A4399B3">
      <w:r>
        <w:br w:type="page"/>
      </w:r>
    </w:p>
    <w:p w14:paraId="2C033211">
      <w:pPr>
        <w:spacing w:line="240" w:lineRule="auto"/>
        <w:jc w:val="center"/>
        <w:outlineLvl w:val="1"/>
      </w:pPr>
      <w:r>
        <w:rPr>
          <w:rFonts w:ascii="黑体" w:hAnsi="黑体" w:eastAsia="黑体"/>
          <w:sz w:val="32"/>
        </w:rPr>
        <w:t>第四部分 部门决算报表（见附表）</w:t>
      </w:r>
    </w:p>
    <w:p w14:paraId="013B463D">
      <w:pPr>
        <w:spacing w:line="240" w:lineRule="auto"/>
        <w:ind w:firstLine="640"/>
        <w:jc w:val="both"/>
      </w:pPr>
      <w:r>
        <w:rPr>
          <w:rFonts w:ascii="仿宋_GB2312" w:hAnsi="仿宋_GB2312" w:eastAsia="仿宋_GB2312"/>
          <w:b w:val="0"/>
          <w:sz w:val="32"/>
        </w:rPr>
        <w:t>一、《收入支出决算总表》</w:t>
      </w:r>
    </w:p>
    <w:p w14:paraId="4E356540">
      <w:pPr>
        <w:spacing w:line="240" w:lineRule="auto"/>
        <w:ind w:firstLine="640"/>
        <w:jc w:val="both"/>
      </w:pPr>
      <w:r>
        <w:rPr>
          <w:rFonts w:ascii="仿宋_GB2312" w:hAnsi="仿宋_GB2312" w:eastAsia="仿宋_GB2312"/>
          <w:b w:val="0"/>
          <w:sz w:val="32"/>
        </w:rPr>
        <w:t>二、《收入决算表》</w:t>
      </w:r>
    </w:p>
    <w:p w14:paraId="17A68355">
      <w:pPr>
        <w:spacing w:line="240" w:lineRule="auto"/>
        <w:ind w:firstLine="640"/>
        <w:jc w:val="both"/>
      </w:pPr>
      <w:r>
        <w:rPr>
          <w:rFonts w:ascii="仿宋_GB2312" w:hAnsi="仿宋_GB2312" w:eastAsia="仿宋_GB2312"/>
          <w:b w:val="0"/>
          <w:sz w:val="32"/>
        </w:rPr>
        <w:t>三、《支出决算表》</w:t>
      </w:r>
    </w:p>
    <w:p w14:paraId="158EC328">
      <w:pPr>
        <w:spacing w:line="240" w:lineRule="auto"/>
        <w:ind w:firstLine="640"/>
        <w:jc w:val="both"/>
      </w:pPr>
      <w:r>
        <w:rPr>
          <w:rFonts w:ascii="仿宋_GB2312" w:hAnsi="仿宋_GB2312" w:eastAsia="仿宋_GB2312"/>
          <w:b w:val="0"/>
          <w:sz w:val="32"/>
        </w:rPr>
        <w:t>四、《财政拨款收入支出决算总表》</w:t>
      </w:r>
    </w:p>
    <w:p w14:paraId="0B6D8BAC">
      <w:pPr>
        <w:spacing w:line="240" w:lineRule="auto"/>
        <w:ind w:firstLine="640"/>
        <w:jc w:val="both"/>
      </w:pPr>
      <w:r>
        <w:rPr>
          <w:rFonts w:ascii="仿宋_GB2312" w:hAnsi="仿宋_GB2312" w:eastAsia="仿宋_GB2312"/>
          <w:b w:val="0"/>
          <w:sz w:val="32"/>
        </w:rPr>
        <w:t>五、《一般公共预算财政拨款支出决算表》</w:t>
      </w:r>
    </w:p>
    <w:p w14:paraId="59E7801D">
      <w:pPr>
        <w:spacing w:line="240" w:lineRule="auto"/>
        <w:ind w:firstLine="640"/>
        <w:jc w:val="both"/>
      </w:pPr>
      <w:r>
        <w:rPr>
          <w:rFonts w:ascii="仿宋_GB2312" w:hAnsi="仿宋_GB2312" w:eastAsia="仿宋_GB2312"/>
          <w:b w:val="0"/>
          <w:sz w:val="32"/>
        </w:rPr>
        <w:t>六、《一般公共预算财政拨款基本支出决算表》</w:t>
      </w:r>
    </w:p>
    <w:p w14:paraId="6842F0D6">
      <w:pPr>
        <w:spacing w:line="240" w:lineRule="auto"/>
        <w:ind w:firstLine="640"/>
        <w:jc w:val="both"/>
      </w:pPr>
      <w:r>
        <w:rPr>
          <w:rFonts w:ascii="仿宋_GB2312" w:hAnsi="仿宋_GB2312" w:eastAsia="仿宋_GB2312"/>
          <w:b w:val="0"/>
          <w:sz w:val="32"/>
        </w:rPr>
        <w:t>七、《政府性基金预算财政拨款收入支出决算表》</w:t>
      </w:r>
    </w:p>
    <w:p w14:paraId="2CD4BA03">
      <w:pPr>
        <w:spacing w:line="240" w:lineRule="auto"/>
        <w:ind w:firstLine="640"/>
        <w:jc w:val="both"/>
      </w:pPr>
      <w:r>
        <w:rPr>
          <w:rFonts w:ascii="仿宋_GB2312" w:hAnsi="仿宋_GB2312" w:eastAsia="仿宋_GB2312"/>
          <w:b w:val="0"/>
          <w:sz w:val="32"/>
        </w:rPr>
        <w:t>八、《国有资本经营预算财政拨款收入支出决算表》</w:t>
      </w:r>
    </w:p>
    <w:p w14:paraId="37EFCE05">
      <w:pPr>
        <w:spacing w:line="240" w:lineRule="auto"/>
        <w:ind w:firstLine="640"/>
        <w:jc w:val="both"/>
      </w:pPr>
      <w:r>
        <w:rPr>
          <w:rFonts w:ascii="仿宋_GB2312" w:hAnsi="仿宋_GB2312" w:eastAsia="仿宋_GB2312"/>
          <w:b w:val="0"/>
          <w:sz w:val="32"/>
        </w:rPr>
        <w:t>九、《财政拨款“三公”经费支出决算表》</w:t>
      </w:r>
    </w:p>
    <w:p w14:paraId="55DF21F9">
      <w:pPr>
        <w:spacing w:line="240" w:lineRule="auto"/>
        <w:ind w:firstLine="640"/>
        <w:jc w:val="both"/>
      </w:pPr>
    </w:p>
    <w:p w14:paraId="5A3B5A78">
      <w:pPr>
        <w:spacing w:line="240" w:lineRule="auto"/>
        <w:ind w:firstLine="640"/>
        <w:jc w:val="both"/>
      </w:pPr>
    </w:p>
    <w:p w14:paraId="23B50E9A">
      <w:pPr>
        <w:spacing w:line="240" w:lineRule="auto"/>
        <w:ind w:firstLine="640"/>
        <w:jc w:val="both"/>
      </w:pPr>
    </w:p>
    <w:p w14:paraId="441D1546">
      <w:pPr>
        <w:spacing w:line="240" w:lineRule="auto"/>
        <w:ind w:firstLine="640"/>
        <w:jc w:val="both"/>
      </w:pPr>
    </w:p>
    <w:p w14:paraId="33A537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0A7C96-462E-4F8B-BA9C-F0073A9ADC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0E56908-3756-4AC5-AE16-712EE623F699}"/>
  </w:font>
  <w:font w:name="仿宋_GB2312">
    <w:panose1 w:val="02010609030101010101"/>
    <w:charset w:val="86"/>
    <w:family w:val="modern"/>
    <w:pitch w:val="default"/>
    <w:sig w:usb0="00000001" w:usb1="080E0000" w:usb2="00000000" w:usb3="00000000" w:csb0="00040000" w:csb1="00000000"/>
    <w:embedRegular r:id="rId3" w:fontKey="{FF05AF63-DC7D-4EAD-8466-D7A0FB2D88C5}"/>
  </w:font>
  <w:font w:name="楷体_GB2312">
    <w:panose1 w:val="02010609030101010101"/>
    <w:charset w:val="86"/>
    <w:family w:val="auto"/>
    <w:pitch w:val="default"/>
    <w:sig w:usb0="00000001" w:usb1="080E0000" w:usb2="00000000" w:usb3="00000000" w:csb0="00040000" w:csb1="00000000"/>
    <w:embedRegular r:id="rId4" w:fontKey="{EDB7B460-9D3D-45C5-B2FF-BE1EA00217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490AE1"/>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5B5C63"/>
    <w:rsid w:val="464B7E04"/>
    <w:rsid w:val="464F7E64"/>
    <w:rsid w:val="46901EEE"/>
    <w:rsid w:val="469C74D2"/>
    <w:rsid w:val="47445515"/>
    <w:rsid w:val="4B4C0111"/>
    <w:rsid w:val="4BB23021"/>
    <w:rsid w:val="4F3F074E"/>
    <w:rsid w:val="50DB5F45"/>
    <w:rsid w:val="52F92565"/>
    <w:rsid w:val="543D17CB"/>
    <w:rsid w:val="55DA564E"/>
    <w:rsid w:val="567119AB"/>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3749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7079</Words>
  <Characters>8338</Characters>
  <Lines>0</Lines>
  <Paragraphs>0</Paragraphs>
  <TotalTime>17</TotalTime>
  <ScaleCrop>false</ScaleCrop>
  <LinksUpToDate>false</LinksUpToDate>
  <CharactersWithSpaces>8351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2025-10-17T02:26:03Z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