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EF6ACB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英吉沙县司法局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EF2653">
      <w:r>
        <w:br w:type="page"/>
      </w:r>
    </w:p>
    <w:p w14:paraId="05031952">
      <w:pPr>
        <w:spacing w:line="640" w:lineRule="exact"/>
        <w:jc w:val="center"/>
        <w:outlineLvl w:val="1"/>
      </w:pPr>
      <w:r>
        <w:rPr>
          <w:rFonts w:ascii="黑体" w:hAnsi="黑体" w:eastAsia="黑体"/>
          <w:sz w:val="32"/>
        </w:rPr>
        <w:t>第一部分 单位概况</w:t>
      </w:r>
    </w:p>
    <w:p w14:paraId="203E558E">
      <w:pPr>
        <w:spacing w:line="640" w:lineRule="exact"/>
        <w:ind w:firstLine="640"/>
        <w:jc w:val="both"/>
        <w:outlineLvl w:val="2"/>
      </w:pPr>
      <w:r>
        <w:rPr>
          <w:rFonts w:ascii="黑体" w:hAnsi="黑体" w:eastAsia="黑体"/>
          <w:sz w:val="32"/>
        </w:rPr>
        <w:t>一、主要职能</w:t>
      </w:r>
    </w:p>
    <w:p w14:paraId="349890AA">
      <w:pPr>
        <w:spacing w:line="580" w:lineRule="exact"/>
        <w:ind w:firstLine="640"/>
        <w:jc w:val="both"/>
      </w:pPr>
      <w:r>
        <w:rPr>
          <w:rFonts w:ascii="仿宋_GB2312" w:hAnsi="仿宋_GB2312" w:eastAsia="仿宋_GB2312"/>
          <w:sz w:val="32"/>
        </w:rPr>
        <w:t>本单位主要职能不予公开。</w:t>
      </w:r>
    </w:p>
    <w:p w14:paraId="3BF07C67">
      <w:pPr>
        <w:spacing w:line="640" w:lineRule="exact"/>
        <w:ind w:firstLine="640"/>
        <w:jc w:val="both"/>
        <w:outlineLvl w:val="2"/>
      </w:pPr>
      <w:r>
        <w:rPr>
          <w:rFonts w:ascii="黑体" w:hAnsi="黑体" w:eastAsia="黑体"/>
          <w:sz w:val="32"/>
        </w:rPr>
        <w:t>二、机构设置及人员情况</w:t>
      </w:r>
    </w:p>
    <w:p w14:paraId="4EC43B7C">
      <w:pPr>
        <w:spacing w:line="580" w:lineRule="exact"/>
        <w:ind w:firstLine="640"/>
        <w:jc w:val="both"/>
      </w:pPr>
      <w:r>
        <w:rPr>
          <w:rFonts w:ascii="仿宋_GB2312" w:hAnsi="仿宋_GB2312" w:eastAsia="仿宋_GB2312"/>
          <w:sz w:val="32"/>
        </w:rPr>
        <w:t>本单位机构设置及人员情况不予公开。</w:t>
      </w:r>
    </w:p>
    <w:p w14:paraId="57DDB03D">
      <w:r>
        <w:br w:type="page"/>
      </w:r>
    </w:p>
    <w:p w14:paraId="1EC1E40B">
      <w:pPr>
        <w:spacing w:line="240" w:lineRule="auto"/>
        <w:jc w:val="center"/>
        <w:outlineLvl w:val="1"/>
      </w:pPr>
      <w:r>
        <w:rPr>
          <w:rFonts w:ascii="黑体" w:hAnsi="黑体" w:eastAsia="黑体"/>
          <w:sz w:val="32"/>
        </w:rPr>
        <w:t>第二部分 部门决算情况说明</w:t>
      </w:r>
    </w:p>
    <w:p w14:paraId="16095016">
      <w:pPr>
        <w:spacing w:line="640" w:lineRule="exact"/>
        <w:ind w:firstLine="640"/>
        <w:jc w:val="both"/>
        <w:outlineLvl w:val="2"/>
      </w:pPr>
      <w:r>
        <w:rPr>
          <w:rFonts w:ascii="黑体" w:hAnsi="黑体" w:eastAsia="黑体"/>
          <w:sz w:val="32"/>
        </w:rPr>
        <w:t>一、收入支出决算总体情况说明</w:t>
      </w:r>
    </w:p>
    <w:p w14:paraId="1376463F">
      <w:pPr>
        <w:spacing w:line="580" w:lineRule="exact"/>
        <w:ind w:firstLine="640"/>
        <w:jc w:val="both"/>
      </w:pPr>
      <w:r>
        <w:rPr>
          <w:rFonts w:ascii="仿宋_GB2312" w:hAnsi="仿宋_GB2312" w:eastAsia="仿宋_GB2312"/>
          <w:b/>
          <w:sz w:val="32"/>
        </w:rPr>
        <w:t>2024年度收入总计1,019.62万元，</w:t>
      </w:r>
      <w:r>
        <w:rPr>
          <w:rFonts w:ascii="仿宋_GB2312" w:hAnsi="仿宋_GB2312" w:eastAsia="仿宋_GB2312"/>
          <w:b w:val="0"/>
          <w:sz w:val="32"/>
        </w:rPr>
        <w:t>其中：本年收入合计966.41万元，使用非财政拨款结余（含专用结余）0.00万元，年初结转和结余53.21万元。</w:t>
      </w:r>
    </w:p>
    <w:p w14:paraId="542705D6">
      <w:pPr>
        <w:spacing w:line="580" w:lineRule="exact"/>
        <w:ind w:firstLine="640"/>
        <w:jc w:val="both"/>
      </w:pPr>
      <w:r>
        <w:rPr>
          <w:rFonts w:ascii="仿宋_GB2312" w:hAnsi="仿宋_GB2312" w:eastAsia="仿宋_GB2312"/>
          <w:b/>
          <w:sz w:val="32"/>
        </w:rPr>
        <w:t>2024年度支出总计1,019.62万元，</w:t>
      </w:r>
      <w:r>
        <w:rPr>
          <w:rFonts w:ascii="仿宋_GB2312" w:hAnsi="仿宋_GB2312" w:eastAsia="仿宋_GB2312"/>
          <w:b w:val="0"/>
          <w:sz w:val="32"/>
        </w:rPr>
        <w:t>其中：本年支出合计959.83万元，结余分配0.00万元，年末结转和结余59.79万元。</w:t>
      </w:r>
    </w:p>
    <w:p w14:paraId="26186A03">
      <w:pPr>
        <w:spacing w:line="580" w:lineRule="exact"/>
        <w:ind w:firstLine="640"/>
        <w:jc w:val="both"/>
      </w:pPr>
      <w:r>
        <w:rPr>
          <w:rFonts w:ascii="仿宋_GB2312" w:hAnsi="仿宋_GB2312" w:eastAsia="仿宋_GB2312"/>
          <w:b w:val="0"/>
          <w:sz w:val="32"/>
        </w:rPr>
        <w:t>收入支出总体与上年相比，减少133.90万元，下降11.61%，主要原因是：本年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建设英吉沙县司法局化债项目经费，导致相关经费减少。</w:t>
      </w:r>
    </w:p>
    <w:p w14:paraId="59ADC1BF">
      <w:pPr>
        <w:spacing w:line="640" w:lineRule="exact"/>
        <w:ind w:firstLine="640"/>
        <w:jc w:val="both"/>
        <w:outlineLvl w:val="2"/>
      </w:pPr>
      <w:r>
        <w:rPr>
          <w:rFonts w:ascii="黑体" w:hAnsi="黑体" w:eastAsia="黑体"/>
          <w:sz w:val="32"/>
        </w:rPr>
        <w:t>二、收入决算情况说明</w:t>
      </w:r>
    </w:p>
    <w:p w14:paraId="038E66D9">
      <w:pPr>
        <w:spacing w:line="580" w:lineRule="exact"/>
        <w:ind w:firstLine="640"/>
        <w:jc w:val="both"/>
      </w:pPr>
      <w:r>
        <w:rPr>
          <w:rFonts w:ascii="仿宋_GB2312" w:hAnsi="仿宋_GB2312" w:eastAsia="仿宋_GB2312"/>
          <w:b/>
          <w:sz w:val="32"/>
        </w:rPr>
        <w:t>本年收入966.41万元，</w:t>
      </w:r>
      <w:r>
        <w:rPr>
          <w:rFonts w:ascii="仿宋_GB2312" w:hAnsi="仿宋_GB2312" w:eastAsia="仿宋_GB2312"/>
          <w:b w:val="0"/>
          <w:sz w:val="32"/>
        </w:rPr>
        <w:t>其中：财政拨款收入951.41万元，占98.45%；上级补助收入0.00万元，占0.00%；事业收入0.00万元，占0.00%；经营收入0.00万元，占0.00%；附属单位上缴收入0.00万元，占0.00%；其他收入15.00万元，占1.55%。</w:t>
      </w:r>
    </w:p>
    <w:p w14:paraId="76DD5A4F">
      <w:pPr>
        <w:spacing w:line="640" w:lineRule="exact"/>
        <w:ind w:firstLine="640"/>
        <w:jc w:val="both"/>
        <w:outlineLvl w:val="2"/>
      </w:pPr>
      <w:r>
        <w:rPr>
          <w:rFonts w:ascii="黑体" w:hAnsi="黑体" w:eastAsia="黑体"/>
          <w:sz w:val="32"/>
        </w:rPr>
        <w:t>三、支出决算情况说明</w:t>
      </w:r>
    </w:p>
    <w:p w14:paraId="2533430F">
      <w:pPr>
        <w:spacing w:line="580" w:lineRule="exact"/>
        <w:ind w:firstLine="640"/>
        <w:jc w:val="both"/>
      </w:pPr>
      <w:r>
        <w:rPr>
          <w:rFonts w:ascii="仿宋_GB2312" w:hAnsi="仿宋_GB2312" w:eastAsia="仿宋_GB2312"/>
          <w:b/>
          <w:sz w:val="32"/>
        </w:rPr>
        <w:t>本年支出959.83万元，</w:t>
      </w:r>
      <w:r>
        <w:rPr>
          <w:rFonts w:ascii="仿宋_GB2312" w:hAnsi="仿宋_GB2312" w:eastAsia="仿宋_GB2312"/>
          <w:b w:val="0"/>
          <w:sz w:val="32"/>
        </w:rPr>
        <w:t>其中：基本支出723.19万元，占75.35%；项目支出236.64万元，占24.65%；上缴上级支出0.00万元，占0.00%；经营支出0.00万元，占0.00%；对附属单位补助支出0.00万元，占0.00%。</w:t>
      </w:r>
    </w:p>
    <w:p w14:paraId="43A5C1A0">
      <w:pPr>
        <w:spacing w:line="640" w:lineRule="exact"/>
        <w:ind w:firstLine="640"/>
        <w:jc w:val="both"/>
        <w:outlineLvl w:val="2"/>
      </w:pPr>
      <w:r>
        <w:rPr>
          <w:rFonts w:ascii="黑体" w:hAnsi="黑体" w:eastAsia="黑体"/>
          <w:sz w:val="32"/>
        </w:rPr>
        <w:t>四、财政拨款收入支出决算总体情况说明</w:t>
      </w:r>
    </w:p>
    <w:p w14:paraId="1E602463">
      <w:pPr>
        <w:spacing w:line="580" w:lineRule="exact"/>
        <w:ind w:firstLine="640"/>
        <w:jc w:val="both"/>
      </w:pPr>
      <w:r>
        <w:rPr>
          <w:rFonts w:ascii="仿宋_GB2312" w:hAnsi="仿宋_GB2312" w:eastAsia="仿宋_GB2312"/>
          <w:b/>
          <w:sz w:val="32"/>
        </w:rPr>
        <w:t>2024年度财政拨款收入总计951.41万元，</w:t>
      </w:r>
      <w:r>
        <w:rPr>
          <w:rFonts w:ascii="仿宋_GB2312" w:hAnsi="仿宋_GB2312" w:eastAsia="仿宋_GB2312"/>
          <w:b w:val="0"/>
          <w:sz w:val="32"/>
        </w:rPr>
        <w:t>其中：年初财政拨款结转和结余0.00万元，本年财政拨款收入951.41万元。</w:t>
      </w:r>
      <w:r>
        <w:rPr>
          <w:rFonts w:ascii="仿宋_GB2312" w:hAnsi="仿宋_GB2312" w:eastAsia="仿宋_GB2312"/>
          <w:b/>
          <w:sz w:val="32"/>
        </w:rPr>
        <w:t>财政拨款支出总计951.41万元，</w:t>
      </w:r>
      <w:r>
        <w:rPr>
          <w:rFonts w:ascii="仿宋_GB2312" w:hAnsi="仿宋_GB2312" w:eastAsia="仿宋_GB2312"/>
          <w:b w:val="0"/>
          <w:sz w:val="32"/>
        </w:rPr>
        <w:t>其中：年末财政拨款结转和结余0.00万元，本年财政拨款支出951.41万元。</w:t>
      </w:r>
    </w:p>
    <w:p w14:paraId="2A133D7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减少137.43万元，下降12.62%，主要原因是：本年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建设英吉沙县司法局化债项目经费，导致相关经费减少。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年初预算数776.06万元，决算数951.41万元，预决算差异率22.59%，主要原因是：年中追加人员工资、社保、公积金基数调增部分资金及中央政法转移支付经费项目下达第二批经费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59094874">
      <w:pPr>
        <w:spacing w:line="640" w:lineRule="exact"/>
        <w:ind w:firstLine="640"/>
        <w:jc w:val="both"/>
        <w:outlineLvl w:val="2"/>
      </w:pPr>
      <w:r>
        <w:rPr>
          <w:rFonts w:ascii="黑体" w:hAnsi="黑体" w:eastAsia="黑体"/>
          <w:sz w:val="32"/>
        </w:rPr>
        <w:t>五、一般公共预算财政拨款支出决算情况说明</w:t>
      </w:r>
    </w:p>
    <w:p w14:paraId="2A5158E6">
      <w:pPr>
        <w:spacing w:line="640" w:lineRule="exact"/>
        <w:ind w:firstLine="640"/>
        <w:jc w:val="both"/>
        <w:outlineLvl w:val="3"/>
      </w:pPr>
      <w:r>
        <w:rPr>
          <w:rFonts w:ascii="楷体_GB2312" w:hAnsi="楷体_GB2312" w:eastAsia="楷体_GB2312"/>
          <w:b/>
          <w:sz w:val="32"/>
        </w:rPr>
        <w:t>（一）一般公共预算财政拨款支出决算总体情况</w:t>
      </w:r>
    </w:p>
    <w:p w14:paraId="55342271">
      <w:pPr>
        <w:spacing w:line="580" w:lineRule="exact"/>
        <w:ind w:firstLine="640"/>
        <w:jc w:val="both"/>
      </w:pPr>
      <w:r>
        <w:rPr>
          <w:rFonts w:ascii="仿宋_GB2312" w:hAnsi="仿宋_GB2312" w:eastAsia="仿宋_GB2312"/>
          <w:b/>
          <w:sz w:val="32"/>
        </w:rPr>
        <w:t>2024年度一般公共预算财政拨款支出951.41万元，</w:t>
      </w:r>
      <w:r>
        <w:rPr>
          <w:rFonts w:ascii="仿宋_GB2312" w:hAnsi="仿宋_GB2312" w:eastAsia="仿宋_GB2312"/>
          <w:b w:val="0"/>
          <w:sz w:val="32"/>
        </w:rPr>
        <w:t>占本年支出合计的99.12%。</w:t>
      </w:r>
      <w:r>
        <w:rPr>
          <w:rFonts w:ascii="仿宋_GB2312" w:hAnsi="仿宋_GB2312" w:eastAsia="仿宋_GB2312"/>
          <w:b/>
          <w:sz w:val="32"/>
        </w:rPr>
        <w:t>与上年相比，</w:t>
      </w:r>
      <w:r>
        <w:rPr>
          <w:rFonts w:ascii="仿宋_GB2312" w:hAnsi="仿宋_GB2312" w:eastAsia="仿宋_GB2312"/>
          <w:b w:val="0"/>
          <w:sz w:val="32"/>
        </w:rPr>
        <w:t>减少137.43万元，下降12.62%，主要原因是：本年减少建设英吉沙县司法局化债项目经费，导致相关经费减少。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年初预算数776.06万元，决算数951.41万元，预决算差异率22.59%，主要原因是：年中追加人员工资、社保、公积金基数调增部分资金及中央政法转移支付经费项目下达第二批经费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60D15FC">
      <w:pPr>
        <w:spacing w:line="640" w:lineRule="exact"/>
        <w:ind w:firstLine="640"/>
        <w:jc w:val="both"/>
        <w:outlineLvl w:val="3"/>
      </w:pPr>
      <w:r>
        <w:rPr>
          <w:rFonts w:ascii="楷体_GB2312" w:hAnsi="楷体_GB2312" w:eastAsia="楷体_GB2312"/>
          <w:b/>
          <w:sz w:val="32"/>
        </w:rPr>
        <w:t>（二）一般公共预算财政拨款支出决算结构情况</w:t>
      </w:r>
    </w:p>
    <w:p w14:paraId="1CF71857">
      <w:pPr>
        <w:spacing w:line="580" w:lineRule="exact"/>
        <w:ind w:firstLine="640"/>
        <w:jc w:val="both"/>
      </w:pPr>
      <w:r>
        <w:rPr>
          <w:rFonts w:ascii="仿宋_GB2312" w:hAnsi="仿宋_GB2312" w:eastAsia="仿宋_GB2312"/>
          <w:b w:val="0"/>
          <w:sz w:val="32"/>
        </w:rPr>
        <w:t>1.</w:t>
      </w:r>
      <w:bookmarkStart w:id="0" w:name="_GoBack"/>
      <w:r>
        <w:rPr>
          <w:rFonts w:ascii="仿宋_GB2312" w:hAnsi="仿宋_GB2312" w:eastAsia="仿宋_GB2312"/>
          <w:b w:val="0"/>
          <w:sz w:val="32"/>
        </w:rPr>
        <w:t>公共安全</w:t>
      </w:r>
      <w:bookmarkEnd w:id="0"/>
      <w:r>
        <w:rPr>
          <w:rFonts w:ascii="仿宋_GB2312" w:hAnsi="仿宋_GB2312" w:eastAsia="仿宋_GB2312"/>
          <w:b w:val="0"/>
          <w:sz w:val="32"/>
        </w:rPr>
        <w:t>支出(类)781.39万元,占82.13%。</w:t>
      </w:r>
    </w:p>
    <w:p w14:paraId="74563318">
      <w:pPr>
        <w:spacing w:line="580" w:lineRule="exact"/>
        <w:ind w:firstLine="640"/>
        <w:jc w:val="both"/>
      </w:pPr>
      <w:r>
        <w:rPr>
          <w:rFonts w:ascii="仿宋_GB2312" w:hAnsi="仿宋_GB2312" w:eastAsia="仿宋_GB2312"/>
          <w:b w:val="0"/>
          <w:sz w:val="32"/>
        </w:rPr>
        <w:t>2.社会保障和就业支出(类)90.49万元,占9.51%。</w:t>
      </w:r>
    </w:p>
    <w:p w14:paraId="15EB8719">
      <w:pPr>
        <w:spacing w:line="580" w:lineRule="exact"/>
        <w:ind w:firstLine="640"/>
        <w:jc w:val="both"/>
      </w:pPr>
      <w:r>
        <w:rPr>
          <w:rFonts w:ascii="仿宋_GB2312" w:hAnsi="仿宋_GB2312" w:eastAsia="仿宋_GB2312"/>
          <w:b w:val="0"/>
          <w:sz w:val="32"/>
        </w:rPr>
        <w:t>3.卫生健康支出(类)31.48万元,占3.31%。</w:t>
      </w:r>
    </w:p>
    <w:p w14:paraId="6EE6FBAD">
      <w:pPr>
        <w:spacing w:line="580" w:lineRule="exact"/>
        <w:ind w:firstLine="640"/>
        <w:jc w:val="both"/>
      </w:pPr>
      <w:r>
        <w:rPr>
          <w:rFonts w:ascii="仿宋_GB2312" w:hAnsi="仿宋_GB2312" w:eastAsia="仿宋_GB2312"/>
          <w:b w:val="0"/>
          <w:sz w:val="32"/>
        </w:rPr>
        <w:t>4.住房保障支出(类)48.05万元,占5.05%。</w:t>
      </w:r>
    </w:p>
    <w:p w14:paraId="7B3AA215">
      <w:pPr>
        <w:spacing w:line="640" w:lineRule="exact"/>
        <w:ind w:firstLine="640"/>
        <w:jc w:val="both"/>
        <w:outlineLvl w:val="3"/>
      </w:pPr>
      <w:r>
        <w:rPr>
          <w:rFonts w:ascii="楷体_GB2312" w:hAnsi="楷体_GB2312" w:eastAsia="楷体_GB2312"/>
          <w:b/>
          <w:sz w:val="32"/>
        </w:rPr>
        <w:t>（三）一般公共预算财政拨款支出决算具体情况</w:t>
      </w:r>
    </w:p>
    <w:p w14:paraId="6BFD6F05">
      <w:pPr>
        <w:spacing w:line="580" w:lineRule="exact"/>
        <w:ind w:firstLine="640"/>
        <w:jc w:val="both"/>
      </w:pPr>
      <w:r>
        <w:rPr>
          <w:rFonts w:ascii="仿宋_GB2312" w:hAnsi="仿宋_GB2312" w:eastAsia="仿宋_GB2312"/>
          <w:b w:val="0"/>
          <w:sz w:val="32"/>
        </w:rPr>
        <w:t>1.一般公共服务支出(类)其他一般公共服务支出(款)其他一般公共服务支出(项):支出决算数为0.00万元，比上年决算减少11.83万元，下降100.00%,主要原因是：本年功能科目调整，人民调解经费上年度单独列支，本年调整至主科目列支，导致经费较上年减少。</w:t>
      </w:r>
    </w:p>
    <w:p w14:paraId="3F757D87">
      <w:pPr>
        <w:spacing w:line="580" w:lineRule="exact"/>
        <w:ind w:firstLine="640"/>
        <w:jc w:val="both"/>
      </w:pPr>
      <w:r>
        <w:rPr>
          <w:rFonts w:ascii="仿宋_GB2312" w:hAnsi="仿宋_GB2312" w:eastAsia="仿宋_GB2312"/>
          <w:b w:val="0"/>
          <w:sz w:val="32"/>
        </w:rPr>
        <w:t>2.公共安全支出(类)司法(款)行政运行(项):支出决算数为493.07万元，比上年决算增加77.56万元，增长18.67%,主要原因是：本年增加差旅费、公务用车运行维护费等经费，新增在职人员，人员经费增加，导致经费较上年有所增加。</w:t>
      </w:r>
    </w:p>
    <w:p w14:paraId="3E6A5A00">
      <w:pPr>
        <w:spacing w:line="580" w:lineRule="exact"/>
        <w:ind w:firstLine="640"/>
        <w:jc w:val="both"/>
      </w:pPr>
      <w:r>
        <w:rPr>
          <w:rFonts w:ascii="仿宋_GB2312" w:hAnsi="仿宋_GB2312" w:eastAsia="仿宋_GB2312"/>
          <w:b w:val="0"/>
          <w:sz w:val="32"/>
        </w:rPr>
        <w:t>3.公共安全支出(类)司法(款)事业运行(项):支出决算数为51.67万元，比上年决算增加0.99万元，增长1.95%,主要原因是：本年新增在职人员，人员经费增加，导致经费较上年有所增加。</w:t>
      </w:r>
    </w:p>
    <w:p w14:paraId="1FF37AE9">
      <w:pPr>
        <w:spacing w:line="580" w:lineRule="exact"/>
        <w:ind w:firstLine="640"/>
        <w:jc w:val="both"/>
      </w:pPr>
      <w:r>
        <w:rPr>
          <w:rFonts w:ascii="仿宋_GB2312" w:hAnsi="仿宋_GB2312" w:eastAsia="仿宋_GB2312"/>
          <w:b w:val="0"/>
          <w:sz w:val="32"/>
        </w:rPr>
        <w:t>4.公共安全支出(类)司法(款)其他司法支出(项):支出决算数为236.64万元，比上年决算增加121.05万元，增长104.72%,主要原因是：本年增加2024年中央政法转移支付资金项目经费，导致相关经费增加。</w:t>
      </w:r>
    </w:p>
    <w:p w14:paraId="20AF4E45">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5.社会保障和就业支出(类)行政事业单位养老支出(款)行政单位离退休(项):支出决算数为21.09万元，比上年决算增加5.35万元，增长33.99%,主要原因是：本年退休人员增加，退休费支出增加。</w:t>
      </w:r>
    </w:p>
    <w:p w14:paraId="776AEB1C">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64.01万元，比上年决算增加33.63万元，增长110.70%,主要原因是：本年在职人员增加、在职人员工资基数调增，养老缴费基数上涨，相应支出增加。</w:t>
      </w:r>
    </w:p>
    <w:p w14:paraId="1895619E">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5.38万元，比上年决算减少12.62万元，下降70.11%,主要原因是：本年新增退休人员及辞职调出人员较上年减少，职业年金缴费较上年减少。</w:t>
      </w:r>
    </w:p>
    <w:p w14:paraId="4A5A2062">
      <w:pPr>
        <w:spacing w:line="580" w:lineRule="exact"/>
        <w:ind w:firstLine="640"/>
        <w:jc w:val="both"/>
      </w:pPr>
      <w:r>
        <w:rPr>
          <w:rFonts w:ascii="仿宋_GB2312" w:hAnsi="仿宋_GB2312" w:eastAsia="仿宋_GB2312"/>
          <w:b w:val="0"/>
          <w:sz w:val="32"/>
        </w:rPr>
        <w:t>8.卫生健康支出(类)行政事业单位医疗(款)行政单位医疗(项):支出决算数为25.38万元，比上年决算增加7.37万元，增长40.92%,主要原因是：本年在职人员增加，本年在职人员工资基数调增，医疗缴费基数上涨，相应支出增加。</w:t>
      </w:r>
    </w:p>
    <w:p w14:paraId="410978F7">
      <w:pPr>
        <w:spacing w:line="580" w:lineRule="exact"/>
        <w:ind w:firstLine="640"/>
        <w:jc w:val="both"/>
      </w:pPr>
      <w:r>
        <w:rPr>
          <w:rFonts w:ascii="仿宋_GB2312" w:hAnsi="仿宋_GB2312" w:eastAsia="仿宋_GB2312"/>
          <w:b w:val="0"/>
          <w:sz w:val="32"/>
        </w:rPr>
        <w:t>9.卫生健康支出(类)行政事业单位医疗(款)公务员医疗补助(项):支出决算数为6.10万元，比上年决算增加1.03万元，增长20.32%,主要原因是：本年在职人员增加，本年在职人员工资基数调增，医疗缴费基数上涨，相应支出增加。</w:t>
      </w:r>
    </w:p>
    <w:p w14:paraId="4A0E1FBB">
      <w:pPr>
        <w:spacing w:line="580" w:lineRule="exact"/>
        <w:ind w:firstLine="640"/>
        <w:jc w:val="both"/>
      </w:pPr>
      <w:r>
        <w:rPr>
          <w:rFonts w:ascii="仿宋_GB2312" w:hAnsi="仿宋_GB2312" w:eastAsia="仿宋_GB2312"/>
          <w:b w:val="0"/>
          <w:sz w:val="32"/>
        </w:rPr>
        <w:t>10.住房保障支出(类)住房改革支出(款)住房公积金(项):支出决算数为48.05万元，比上年决算增加23.61万元，增长96.60%,主要原因是：本年在职人员增加，本年在职人员工资基数调增，公积金缴费基数上涨，相应支出增加。</w:t>
      </w:r>
    </w:p>
    <w:p w14:paraId="1708106E">
      <w:pPr>
        <w:spacing w:line="580" w:lineRule="exact"/>
        <w:ind w:firstLine="640"/>
        <w:jc w:val="both"/>
      </w:pPr>
      <w:r>
        <w:rPr>
          <w:rFonts w:ascii="仿宋_GB2312" w:hAnsi="仿宋_GB2312" w:eastAsia="仿宋_GB2312"/>
          <w:b w:val="0"/>
          <w:sz w:val="32"/>
        </w:rPr>
        <w:t>11.其他支出(类)其他支出(款)其他支出(项):支出决算数为0.00万元，比上年决算减少383.60万元，下降100.00%,主要原因是：本年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建设英吉沙县司法局化债项目经费，导致相关经费减少。</w:t>
      </w:r>
    </w:p>
    <w:p w14:paraId="4DED8517">
      <w:pPr>
        <w:spacing w:line="640" w:lineRule="exact"/>
        <w:ind w:firstLine="640"/>
        <w:jc w:val="both"/>
        <w:outlineLvl w:val="2"/>
      </w:pPr>
      <w:r>
        <w:rPr>
          <w:rFonts w:ascii="黑体" w:hAnsi="黑体" w:eastAsia="黑体"/>
          <w:sz w:val="32"/>
        </w:rPr>
        <w:t>六、一般公共预算财政拨款基本支出决算情况说明</w:t>
      </w:r>
    </w:p>
    <w:p w14:paraId="641C9E31">
      <w:pPr>
        <w:spacing w:line="580" w:lineRule="exact"/>
        <w:ind w:firstLine="640"/>
        <w:jc w:val="both"/>
      </w:pPr>
      <w:r>
        <w:rPr>
          <w:rFonts w:ascii="仿宋_GB2312" w:hAnsi="仿宋_GB2312" w:eastAsia="仿宋_GB2312"/>
          <w:b w:val="0"/>
          <w:sz w:val="32"/>
        </w:rPr>
        <w:t>2024年度一般公共预算财政拨款基本支出714.76万元，其中：</w:t>
      </w:r>
      <w:r>
        <w:rPr>
          <w:rFonts w:ascii="仿宋_GB2312" w:hAnsi="仿宋_GB2312" w:eastAsia="仿宋_GB2312"/>
          <w:b/>
          <w:sz w:val="32"/>
        </w:rPr>
        <w:t>人员经费676.64万元，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FC74160">
      <w:pPr>
        <w:spacing w:line="580" w:lineRule="exact"/>
        <w:ind w:firstLine="640"/>
        <w:jc w:val="both"/>
      </w:pPr>
      <w:r>
        <w:rPr>
          <w:rFonts w:ascii="仿宋_GB2312" w:hAnsi="仿宋_GB2312" w:eastAsia="仿宋_GB2312"/>
          <w:b/>
          <w:sz w:val="32"/>
        </w:rPr>
        <w:t>公用经费38.13万元，</w:t>
      </w:r>
      <w:r>
        <w:rPr>
          <w:rFonts w:ascii="仿宋_GB2312" w:hAnsi="仿宋_GB2312" w:eastAsia="仿宋_GB2312"/>
          <w:b w:val="0"/>
          <w:sz w:val="32"/>
        </w:rPr>
        <w:t>包括：办公费、邮电费、差旅费、公务用车运行维护费。</w:t>
      </w:r>
    </w:p>
    <w:p w14:paraId="2B8C1C7B">
      <w:pPr>
        <w:spacing w:line="640" w:lineRule="exact"/>
        <w:ind w:firstLine="640"/>
        <w:jc w:val="both"/>
        <w:outlineLvl w:val="2"/>
      </w:pPr>
      <w:r>
        <w:rPr>
          <w:rFonts w:ascii="黑体" w:hAnsi="黑体" w:eastAsia="黑体"/>
          <w:sz w:val="32"/>
        </w:rPr>
        <w:t>七、政府性基金预算财政拨款收入支出决算情况说明</w:t>
      </w:r>
    </w:p>
    <w:p w14:paraId="54A09B2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6512DAC">
      <w:pPr>
        <w:spacing w:line="640" w:lineRule="exact"/>
        <w:ind w:firstLine="640"/>
        <w:jc w:val="both"/>
        <w:outlineLvl w:val="2"/>
      </w:pPr>
      <w:r>
        <w:rPr>
          <w:rFonts w:ascii="黑体" w:hAnsi="黑体" w:eastAsia="黑体"/>
          <w:sz w:val="32"/>
        </w:rPr>
        <w:t>八、国有资本经营预算财政拨款收入支出决算情况说明</w:t>
      </w:r>
    </w:p>
    <w:p w14:paraId="58389DF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C731B4">
      <w:pPr>
        <w:spacing w:line="640" w:lineRule="exact"/>
        <w:ind w:firstLine="640"/>
        <w:jc w:val="both"/>
        <w:outlineLvl w:val="2"/>
      </w:pPr>
      <w:r>
        <w:rPr>
          <w:rFonts w:ascii="黑体" w:hAnsi="黑体" w:eastAsia="黑体"/>
          <w:sz w:val="32"/>
        </w:rPr>
        <w:t>九、财政拨款“三公”经费支出决算情况说明</w:t>
      </w:r>
    </w:p>
    <w:p w14:paraId="3DCE3E65">
      <w:pPr>
        <w:spacing w:line="580" w:lineRule="exact"/>
        <w:ind w:firstLine="640"/>
        <w:jc w:val="both"/>
      </w:pPr>
      <w:r>
        <w:rPr>
          <w:rFonts w:ascii="仿宋_GB2312" w:hAnsi="仿宋_GB2312" w:eastAsia="仿宋_GB2312"/>
          <w:b/>
          <w:sz w:val="32"/>
        </w:rPr>
        <w:t>2024年度财政拨款“三公”经费支出39.50万元，</w:t>
      </w:r>
      <w:r>
        <w:rPr>
          <w:rFonts w:ascii="仿宋_GB2312" w:hAnsi="仿宋_GB2312" w:eastAsia="仿宋_GB2312"/>
          <w:b w:val="0"/>
          <w:sz w:val="32"/>
        </w:rPr>
        <w:t>比上年增加6.06万元，增长18.12%，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39.50万元，占100.00%，比上年增加6.06万元，增长18.12%，主要原因是：本年因业务需求，用车次数增加，燃油费增加，导致公务用车运行维护费较上年增加。公务接待费支出0.00万元，占0.00%，比上年增加0.00万元，增长0.00%，主要原因是：2023年与2024年均未安排公务接待费支出。</w:t>
      </w:r>
    </w:p>
    <w:p w14:paraId="33EED383">
      <w:pPr>
        <w:spacing w:line="580" w:lineRule="exact"/>
        <w:ind w:firstLine="640"/>
        <w:jc w:val="both"/>
      </w:pPr>
      <w:r>
        <w:rPr>
          <w:rFonts w:ascii="仿宋_GB2312" w:hAnsi="仿宋_GB2312" w:eastAsia="仿宋_GB2312"/>
          <w:b/>
          <w:sz w:val="32"/>
        </w:rPr>
        <w:t>具体情况如下：</w:t>
      </w:r>
    </w:p>
    <w:p w14:paraId="4A5EDC0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290EC58">
      <w:pPr>
        <w:spacing w:line="580" w:lineRule="exact"/>
        <w:ind w:firstLine="640"/>
        <w:jc w:val="both"/>
      </w:pPr>
      <w:r>
        <w:rPr>
          <w:rFonts w:ascii="仿宋_GB2312" w:hAnsi="仿宋_GB2312" w:eastAsia="仿宋_GB2312"/>
          <w:b w:val="0"/>
          <w:sz w:val="32"/>
        </w:rPr>
        <w:t>公务用车购置及运行维护费39.50万元，其中：公务用车购置费17.98万元，公务用车运行维护费21.52万元。公务用车运行维护费开支内容包括车辆加油费、维修费、保险费、审车费、过路费。公务用车购置数1辆，公务用车保有量9辆。国有资产占用情况中固定资产车辆9辆，与公务用车保有量差异原因是：本单位固定资产车辆与公务用车保有量一致无差异。</w:t>
      </w:r>
    </w:p>
    <w:p w14:paraId="3EE0304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DFA18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39.50万元，决算数39.50万元，预决算差异率0.00%，主要原因是：严格按照预算执行，预决算无差异。其中：因公出国（境）费全年预算数0.00万元，决算数0.00万元，预决算差异率0.00%，主要原因是：本单位无因公出国（境）费。公务用车购置费全年预算数17.98万元，决算数17.98万元，预决算差异率0.00%，主要原因是：严格按照预算执行，预决算无差异。公务用车运行维护费全年预算数21.52万元，决算数21.52万元，预决算差异率0.00%，主要原因是：严格按照预算执行，预决算无差异。公务接待费全年预算数0.00万元，决算数0.00万元，预决算差异率0.00%，主要原因是：本单位无公务接待费。</w:t>
      </w:r>
    </w:p>
    <w:p w14:paraId="70132701">
      <w:pPr>
        <w:spacing w:line="640" w:lineRule="exact"/>
        <w:ind w:firstLine="640"/>
        <w:jc w:val="both"/>
        <w:outlineLvl w:val="2"/>
      </w:pPr>
      <w:r>
        <w:rPr>
          <w:rFonts w:ascii="黑体" w:hAnsi="黑体" w:eastAsia="黑体"/>
          <w:sz w:val="32"/>
        </w:rPr>
        <w:t>十、其他重要事项的情况说明</w:t>
      </w:r>
    </w:p>
    <w:p w14:paraId="3648A3EC">
      <w:pPr>
        <w:spacing w:line="640" w:lineRule="exact"/>
        <w:ind w:firstLine="640"/>
        <w:jc w:val="both"/>
        <w:outlineLvl w:val="3"/>
      </w:pPr>
      <w:r>
        <w:rPr>
          <w:rFonts w:ascii="楷体_GB2312" w:hAnsi="楷体_GB2312" w:eastAsia="楷体_GB2312"/>
          <w:b/>
          <w:sz w:val="32"/>
        </w:rPr>
        <w:t>（一）机关运行经费及公用经费支出情况</w:t>
      </w:r>
    </w:p>
    <w:p w14:paraId="399E8805">
      <w:pPr>
        <w:spacing w:line="580" w:lineRule="exact"/>
        <w:ind w:firstLine="640"/>
        <w:jc w:val="both"/>
      </w:pPr>
      <w:r>
        <w:rPr>
          <w:rFonts w:ascii="仿宋_GB2312" w:hAnsi="仿宋_GB2312" w:eastAsia="仿宋_GB2312"/>
          <w:b w:val="0"/>
          <w:sz w:val="32"/>
        </w:rPr>
        <w:t>2024年度英吉沙县司法局（行政单位和参照公务员法管理事业单位）机关运行经费支出38.13万元，比上年增加28.89万元，增长312.66%，主要原因是：根据编制文件要求14个乡镇司法所人、财、物均归我局统一管理，我局人员增加，基本公用经费增加。</w:t>
      </w:r>
    </w:p>
    <w:p w14:paraId="5D41C119">
      <w:pPr>
        <w:spacing w:line="640" w:lineRule="exact"/>
        <w:ind w:firstLine="640"/>
        <w:jc w:val="both"/>
        <w:outlineLvl w:val="3"/>
      </w:pPr>
      <w:r>
        <w:rPr>
          <w:rFonts w:ascii="楷体_GB2312" w:hAnsi="楷体_GB2312" w:eastAsia="楷体_GB2312"/>
          <w:b/>
          <w:sz w:val="32"/>
        </w:rPr>
        <w:t>（二）政府采购情况</w:t>
      </w:r>
    </w:p>
    <w:p w14:paraId="07118DDC">
      <w:pPr>
        <w:spacing w:line="580" w:lineRule="exact"/>
        <w:ind w:firstLine="640"/>
        <w:jc w:val="both"/>
      </w:pPr>
      <w:r>
        <w:rPr>
          <w:rFonts w:ascii="仿宋_GB2312" w:hAnsi="仿宋_GB2312" w:eastAsia="仿宋_GB2312"/>
          <w:b w:val="0"/>
          <w:sz w:val="32"/>
        </w:rPr>
        <w:t>2024年度政府采购支出总额63.31万元，其中：政府采购货物支出34.40万元、政府采购工程支出0.00万元、政府采购服务支出28.92万元。</w:t>
      </w:r>
    </w:p>
    <w:p w14:paraId="485B9B08">
      <w:pPr>
        <w:spacing w:line="580" w:lineRule="exact"/>
        <w:ind w:firstLine="640"/>
        <w:jc w:val="both"/>
      </w:pPr>
      <w:r>
        <w:rPr>
          <w:rFonts w:ascii="仿宋_GB2312" w:hAnsi="仿宋_GB2312" w:eastAsia="仿宋_GB2312"/>
          <w:b w:val="0"/>
          <w:sz w:val="32"/>
        </w:rPr>
        <w:t>授予中小企业合同金额57.96万元，占政府采购支出总额的91.55%，其中：授予小微企业合同金额39.98万元，占政府采购支出总额的63.15%。</w:t>
      </w:r>
    </w:p>
    <w:p w14:paraId="7352FB93">
      <w:pPr>
        <w:spacing w:line="640" w:lineRule="exact"/>
        <w:ind w:firstLine="640"/>
        <w:jc w:val="both"/>
        <w:outlineLvl w:val="3"/>
      </w:pPr>
      <w:r>
        <w:rPr>
          <w:rFonts w:ascii="楷体_GB2312" w:hAnsi="楷体_GB2312" w:eastAsia="楷体_GB2312"/>
          <w:b/>
          <w:sz w:val="32"/>
        </w:rPr>
        <w:t>（三）国有资产占用情况说明</w:t>
      </w:r>
    </w:p>
    <w:p w14:paraId="533BCB9B">
      <w:pPr>
        <w:spacing w:line="580" w:lineRule="exact"/>
        <w:ind w:firstLine="640"/>
        <w:jc w:val="both"/>
      </w:pPr>
      <w:r>
        <w:rPr>
          <w:rFonts w:ascii="仿宋_GB2312" w:hAnsi="仿宋_GB2312" w:eastAsia="仿宋_GB2312"/>
          <w:b w:val="0"/>
          <w:sz w:val="32"/>
        </w:rPr>
        <w:t>截至2024年12月31日，房屋2,749.51平方米，价值517.17万元。车辆9辆，价值193.98万元，其中：副部（省）级及以上领导用车0辆、主要负责人用车0辆、机要通信用车0辆、应急保障用车0辆、执法执勤用车8辆、特种专业技术用车1辆、离退休干部服务用车0辆、其他用车0辆，其他用车主要是：本单位无其他用车。单价100万元（含）以上设备（不含车辆）0台（套）。</w:t>
      </w:r>
    </w:p>
    <w:p w14:paraId="6107EE6B">
      <w:pPr>
        <w:spacing w:line="640" w:lineRule="exact"/>
        <w:ind w:firstLine="640"/>
        <w:jc w:val="both"/>
        <w:outlineLvl w:val="2"/>
      </w:pPr>
      <w:r>
        <w:rPr>
          <w:rFonts w:ascii="黑体" w:hAnsi="黑体" w:eastAsia="黑体"/>
          <w:sz w:val="32"/>
        </w:rPr>
        <w:t>十一、预算绩效的情况说明</w:t>
      </w:r>
    </w:p>
    <w:p w14:paraId="161F124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951.41</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951.41</w:t>
      </w:r>
      <w:r>
        <w:rPr>
          <w:rFonts w:ascii="仿宋_GB2312" w:hAnsi="仿宋_GB2312" w:eastAsia="仿宋_GB2312"/>
          <w:b w:val="0"/>
          <w:sz w:val="32"/>
        </w:rPr>
        <w:t>万元；本单位预算绩效评价项目3个，全年预算数236.64万元，全年执行数236.64万元。预算绩效管理取得的成效：</w:t>
      </w:r>
      <w:r>
        <w:rPr>
          <w:rFonts w:hint="eastAsia" w:ascii="仿宋_GB2312" w:hAnsi="仿宋_GB2312" w:eastAsia="仿宋_GB2312"/>
          <w:b w:val="0"/>
          <w:sz w:val="32"/>
        </w:rPr>
        <w:t>本单位项目绩效自评表不予公开</w:t>
      </w:r>
      <w:r>
        <w:rPr>
          <w:rFonts w:ascii="仿宋_GB2312" w:hAnsi="仿宋_GB2312" w:eastAsia="仿宋_GB2312"/>
          <w:b w:val="0"/>
          <w:sz w:val="32"/>
        </w:rPr>
        <w:t>。发现的问题及原因：</w:t>
      </w:r>
      <w:r>
        <w:rPr>
          <w:rFonts w:hint="eastAsia" w:ascii="仿宋_GB2312" w:hAnsi="仿宋_GB2312" w:eastAsia="仿宋_GB2312"/>
          <w:b w:val="0"/>
          <w:sz w:val="32"/>
        </w:rPr>
        <w:t>本单位项目绩效自评表不予公开</w:t>
      </w:r>
      <w:r>
        <w:rPr>
          <w:rFonts w:ascii="仿宋_GB2312" w:hAnsi="仿宋_GB2312" w:eastAsia="仿宋_GB2312"/>
          <w:b w:val="0"/>
          <w:sz w:val="32"/>
        </w:rPr>
        <w:t>。下一步改进措施：</w:t>
      </w:r>
      <w:r>
        <w:rPr>
          <w:rFonts w:hint="eastAsia" w:ascii="仿宋_GB2312" w:hAnsi="仿宋_GB2312" w:eastAsia="仿宋_GB2312"/>
          <w:b w:val="0"/>
          <w:sz w:val="32"/>
        </w:rPr>
        <w:t>本单位项目绩效自评表不予公开</w:t>
      </w:r>
      <w:r>
        <w:rPr>
          <w:rFonts w:ascii="仿宋_GB2312" w:hAnsi="仿宋_GB2312" w:eastAsia="仿宋_GB2312"/>
          <w:b w:val="0"/>
          <w:sz w:val="32"/>
        </w:rPr>
        <w:t>。</w:t>
      </w:r>
    </w:p>
    <w:p w14:paraId="24216508">
      <w:r>
        <w:br w:type="page"/>
      </w:r>
    </w:p>
    <w:p w14:paraId="3C8AE4B0">
      <w:pPr>
        <w:spacing w:line="640" w:lineRule="exact"/>
        <w:ind w:firstLine="640"/>
        <w:jc w:val="both"/>
        <w:outlineLvl w:val="2"/>
      </w:pPr>
      <w:r>
        <w:rPr>
          <w:rFonts w:ascii="黑体" w:hAnsi="黑体" w:eastAsia="黑体"/>
          <w:sz w:val="32"/>
        </w:rPr>
        <w:t>十二、其他需说明的事项</w:t>
      </w:r>
    </w:p>
    <w:p w14:paraId="00DBCB1C">
      <w:pPr>
        <w:spacing w:line="580" w:lineRule="exact"/>
        <w:ind w:firstLine="640"/>
        <w:jc w:val="both"/>
      </w:pPr>
      <w:r>
        <w:rPr>
          <w:rFonts w:ascii="仿宋_GB2312" w:hAnsi="仿宋_GB2312" w:eastAsia="仿宋_GB2312"/>
          <w:b w:val="0"/>
          <w:sz w:val="32"/>
        </w:rPr>
        <w:t>本年度本单位整体绩效自评表不予公开。</w:t>
      </w:r>
    </w:p>
    <w:p w14:paraId="41A9924A">
      <w:pPr>
        <w:spacing w:line="580" w:lineRule="exact"/>
        <w:ind w:firstLine="640"/>
        <w:jc w:val="both"/>
      </w:pPr>
      <w:r>
        <w:rPr>
          <w:rFonts w:ascii="仿宋_GB2312" w:hAnsi="仿宋_GB2312" w:eastAsia="仿宋_GB2312"/>
          <w:b w:val="0"/>
          <w:sz w:val="32"/>
        </w:rPr>
        <w:t>本年本单位SM项目3个，全年预算数236.64万元，全年执行数236.64万元。</w:t>
      </w:r>
    </w:p>
    <w:p w14:paraId="34313722">
      <w:r>
        <w:br w:type="page"/>
      </w:r>
    </w:p>
    <w:p w14:paraId="0AA14298">
      <w:pPr>
        <w:spacing w:line="240" w:lineRule="auto"/>
        <w:jc w:val="center"/>
        <w:outlineLvl w:val="1"/>
      </w:pPr>
      <w:r>
        <w:rPr>
          <w:rFonts w:ascii="黑体" w:hAnsi="黑体" w:eastAsia="黑体"/>
          <w:sz w:val="32"/>
        </w:rPr>
        <w:t>第三部分 专业名词解释</w:t>
      </w:r>
    </w:p>
    <w:p w14:paraId="301781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CA18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D90D0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17BA7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EE83E0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C65D66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1C750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AE077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70453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9CB96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6DDE2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709B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14212A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2D25E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5A761A">
      <w:r>
        <w:br w:type="page"/>
      </w:r>
    </w:p>
    <w:p w14:paraId="0939F28D">
      <w:pPr>
        <w:spacing w:line="240" w:lineRule="auto"/>
        <w:jc w:val="center"/>
        <w:outlineLvl w:val="1"/>
      </w:pPr>
      <w:r>
        <w:rPr>
          <w:rFonts w:ascii="黑体" w:hAnsi="黑体" w:eastAsia="黑体"/>
          <w:sz w:val="32"/>
        </w:rPr>
        <w:t>第四部分 部门决算报表（见附表）</w:t>
      </w:r>
    </w:p>
    <w:p w14:paraId="41CE81DD">
      <w:pPr>
        <w:spacing w:line="240" w:lineRule="auto"/>
        <w:ind w:firstLine="640"/>
        <w:jc w:val="both"/>
      </w:pPr>
      <w:r>
        <w:rPr>
          <w:rFonts w:ascii="仿宋_GB2312" w:hAnsi="仿宋_GB2312" w:eastAsia="仿宋_GB2312"/>
          <w:b w:val="0"/>
          <w:sz w:val="32"/>
        </w:rPr>
        <w:t>一、《收入支出决算总表》</w:t>
      </w:r>
    </w:p>
    <w:p w14:paraId="2BC619D7">
      <w:pPr>
        <w:spacing w:line="240" w:lineRule="auto"/>
        <w:ind w:firstLine="640"/>
        <w:jc w:val="both"/>
      </w:pPr>
      <w:r>
        <w:rPr>
          <w:rFonts w:ascii="仿宋_GB2312" w:hAnsi="仿宋_GB2312" w:eastAsia="仿宋_GB2312"/>
          <w:b w:val="0"/>
          <w:sz w:val="32"/>
        </w:rPr>
        <w:t>二、《收入决算表》</w:t>
      </w:r>
    </w:p>
    <w:p w14:paraId="3752A4D6">
      <w:pPr>
        <w:spacing w:line="240" w:lineRule="auto"/>
        <w:ind w:firstLine="640"/>
        <w:jc w:val="both"/>
      </w:pPr>
      <w:r>
        <w:rPr>
          <w:rFonts w:ascii="仿宋_GB2312" w:hAnsi="仿宋_GB2312" w:eastAsia="仿宋_GB2312"/>
          <w:b w:val="0"/>
          <w:sz w:val="32"/>
        </w:rPr>
        <w:t>三、《支出决算表》</w:t>
      </w:r>
    </w:p>
    <w:p w14:paraId="306A617C">
      <w:pPr>
        <w:spacing w:line="240" w:lineRule="auto"/>
        <w:ind w:firstLine="640"/>
        <w:jc w:val="both"/>
      </w:pPr>
      <w:r>
        <w:rPr>
          <w:rFonts w:ascii="仿宋_GB2312" w:hAnsi="仿宋_GB2312" w:eastAsia="仿宋_GB2312"/>
          <w:b w:val="0"/>
          <w:sz w:val="32"/>
        </w:rPr>
        <w:t>四、《财政拨款收入支出决算总表》</w:t>
      </w:r>
    </w:p>
    <w:p w14:paraId="0AD90460">
      <w:pPr>
        <w:spacing w:line="240" w:lineRule="auto"/>
        <w:ind w:firstLine="640"/>
        <w:jc w:val="both"/>
      </w:pPr>
      <w:r>
        <w:rPr>
          <w:rFonts w:ascii="仿宋_GB2312" w:hAnsi="仿宋_GB2312" w:eastAsia="仿宋_GB2312"/>
          <w:b w:val="0"/>
          <w:sz w:val="32"/>
        </w:rPr>
        <w:t>五、《一般公共预算财政拨款支出决算表》</w:t>
      </w:r>
    </w:p>
    <w:p w14:paraId="3F4380CD">
      <w:pPr>
        <w:spacing w:line="240" w:lineRule="auto"/>
        <w:ind w:firstLine="640"/>
        <w:jc w:val="both"/>
      </w:pPr>
      <w:r>
        <w:rPr>
          <w:rFonts w:ascii="仿宋_GB2312" w:hAnsi="仿宋_GB2312" w:eastAsia="仿宋_GB2312"/>
          <w:b w:val="0"/>
          <w:sz w:val="32"/>
        </w:rPr>
        <w:t>六、《一般公共预算财政拨款基本支出决算表》</w:t>
      </w:r>
    </w:p>
    <w:p w14:paraId="7A4A569C">
      <w:pPr>
        <w:spacing w:line="240" w:lineRule="auto"/>
        <w:ind w:firstLine="640"/>
        <w:jc w:val="both"/>
      </w:pPr>
      <w:r>
        <w:rPr>
          <w:rFonts w:ascii="仿宋_GB2312" w:hAnsi="仿宋_GB2312" w:eastAsia="仿宋_GB2312"/>
          <w:b w:val="0"/>
          <w:sz w:val="32"/>
        </w:rPr>
        <w:t>七、《政府性基金预算财政拨款收入支出决算表》</w:t>
      </w:r>
    </w:p>
    <w:p w14:paraId="1B804F9E">
      <w:pPr>
        <w:spacing w:line="240" w:lineRule="auto"/>
        <w:ind w:firstLine="640"/>
        <w:jc w:val="both"/>
      </w:pPr>
      <w:r>
        <w:rPr>
          <w:rFonts w:ascii="仿宋_GB2312" w:hAnsi="仿宋_GB2312" w:eastAsia="仿宋_GB2312"/>
          <w:b w:val="0"/>
          <w:sz w:val="32"/>
        </w:rPr>
        <w:t>八、《国有资本经营预算财政拨款收入支出决算表》</w:t>
      </w:r>
    </w:p>
    <w:p w14:paraId="7D67746C">
      <w:pPr>
        <w:spacing w:line="240" w:lineRule="auto"/>
        <w:ind w:firstLine="640"/>
        <w:jc w:val="both"/>
      </w:pPr>
      <w:r>
        <w:rPr>
          <w:rFonts w:ascii="仿宋_GB2312" w:hAnsi="仿宋_GB2312" w:eastAsia="仿宋_GB2312"/>
          <w:b w:val="0"/>
          <w:sz w:val="32"/>
        </w:rPr>
        <w:t>九、《财政拨款“三公”经费支出决算表》</w:t>
      </w:r>
    </w:p>
    <w:p w14:paraId="417C4C1D">
      <w:pPr>
        <w:spacing w:line="240" w:lineRule="auto"/>
        <w:ind w:firstLine="640"/>
        <w:jc w:val="both"/>
      </w:pPr>
    </w:p>
    <w:p w14:paraId="2A841248">
      <w:pPr>
        <w:spacing w:line="240" w:lineRule="auto"/>
        <w:ind w:firstLine="640"/>
        <w:jc w:val="both"/>
      </w:pPr>
    </w:p>
    <w:p w14:paraId="7BDF60AE">
      <w:pPr>
        <w:spacing w:line="240" w:lineRule="auto"/>
        <w:ind w:firstLine="640"/>
        <w:jc w:val="both"/>
      </w:pPr>
    </w:p>
    <w:p w14:paraId="6D971AEF">
      <w:pPr>
        <w:spacing w:line="240" w:lineRule="auto"/>
        <w:ind w:firstLine="640"/>
        <w:jc w:val="both"/>
      </w:pPr>
    </w:p>
    <w:p w14:paraId="28FC84C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220EE5"/>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54408B"/>
    <w:rsid w:val="4B4C0111"/>
    <w:rsid w:val="4BB23021"/>
    <w:rsid w:val="4F3F074E"/>
    <w:rsid w:val="50DB5F45"/>
    <w:rsid w:val="52F92565"/>
    <w:rsid w:val="543D17CB"/>
    <w:rsid w:val="55DA564E"/>
    <w:rsid w:val="56E07045"/>
    <w:rsid w:val="583059FA"/>
    <w:rsid w:val="587E6212"/>
    <w:rsid w:val="5AFC6609"/>
    <w:rsid w:val="5D010A8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5363</Words>
  <Characters>6107</Characters>
  <Lines>0</Lines>
  <Paragraphs>0</Paragraphs>
  <TotalTime>10</TotalTime>
  <ScaleCrop>false</ScaleCrop>
  <LinksUpToDate>false</LinksUpToDate>
  <CharactersWithSpaces>6117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2025-09-05T03:20:18Z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