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英吉沙县审计局2024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DCFD7F1">
      <w:r>
        <w:br w:type="page"/>
      </w:r>
    </w:p>
    <w:p w14:paraId="68A80DA2">
      <w:pPr>
        <w:spacing w:line="640" w:lineRule="exact"/>
        <w:jc w:val="center"/>
        <w:outlineLvl w:val="1"/>
      </w:pPr>
      <w:r>
        <w:rPr>
          <w:rFonts w:ascii="黑体" w:hAnsi="黑体" w:eastAsia="黑体"/>
          <w:sz w:val="32"/>
        </w:rPr>
        <w:t>第一部分 单位概况</w:t>
      </w:r>
    </w:p>
    <w:p w14:paraId="38E51B66">
      <w:pPr>
        <w:spacing w:line="640" w:lineRule="exact"/>
        <w:ind w:firstLine="640"/>
        <w:jc w:val="both"/>
        <w:outlineLvl w:val="2"/>
      </w:pPr>
      <w:r>
        <w:rPr>
          <w:rFonts w:ascii="黑体" w:hAnsi="黑体" w:eastAsia="黑体"/>
          <w:sz w:val="32"/>
        </w:rPr>
        <w:t>一、主要职能</w:t>
      </w:r>
    </w:p>
    <w:p w14:paraId="04EE74D8">
      <w:pPr>
        <w:spacing w:line="580" w:lineRule="exact"/>
        <w:ind w:firstLine="640"/>
        <w:jc w:val="both"/>
      </w:pPr>
      <w:r>
        <w:rPr>
          <w:rFonts w:ascii="仿宋_GB2312" w:hAnsi="仿宋_GB2312" w:eastAsia="仿宋_GB2312"/>
          <w:sz w:val="32"/>
        </w:rPr>
        <w:t>（1）主管全县审计工作。负责对全县财政收支和法律法规规定属于审计监督范围的财务收支的真实、合法和效益进行审计监督，对公共资金、国有资产、国有资源和领导干部</w:t>
      </w:r>
      <w:r>
        <w:rPr>
          <w:rFonts w:hint="eastAsia" w:ascii="仿宋_GB2312" w:hAnsi="仿宋_GB2312" w:eastAsia="仿宋_GB2312"/>
          <w:sz w:val="32"/>
          <w:lang w:eastAsia="zh-CN"/>
        </w:rPr>
        <w:t>履行</w:t>
      </w:r>
      <w:r>
        <w:rPr>
          <w:rFonts w:ascii="仿宋_GB2312" w:hAnsi="仿宋_GB2312" w:eastAsia="仿宋_GB2312"/>
          <w:sz w:val="32"/>
        </w:rPr>
        <w:t>经济责任情况实行审计全覆盖，对重大项目进行稽查，对领导干部实行自然资源资产离任审计，对国家有关重大政策措施贯彻落实情况进行跟踪审计；对审计、专项审计调查和核查社会审计机构相关审计报告的结果承担责任，并负有督促被审计单位整改的责任。</w:t>
      </w:r>
    </w:p>
    <w:p w14:paraId="36675078">
      <w:pPr>
        <w:spacing w:line="580" w:lineRule="exact"/>
        <w:ind w:firstLine="640"/>
        <w:jc w:val="both"/>
      </w:pPr>
      <w:r>
        <w:rPr>
          <w:rFonts w:ascii="仿宋_GB2312" w:hAnsi="仿宋_GB2312" w:eastAsia="仿宋_GB2312"/>
          <w:sz w:val="32"/>
        </w:rPr>
        <w:t>（2）贯彻执行审计法律法规规章、国家审计准则和指南并监督执行。制定并组织实施专业领域审计工作规划。对直接审计、调查和核查的事项依法进行审计评价。</w:t>
      </w:r>
      <w:r>
        <w:rPr>
          <w:rFonts w:hint="eastAsia" w:ascii="仿宋_GB2312" w:hAnsi="仿宋_GB2312" w:eastAsia="仿宋_GB2312"/>
          <w:sz w:val="32"/>
          <w:lang w:val="en-US" w:eastAsia="zh-CN"/>
        </w:rPr>
        <w:t>作</w:t>
      </w:r>
      <w:bookmarkStart w:id="0" w:name="_GoBack"/>
      <w:bookmarkEnd w:id="0"/>
      <w:r>
        <w:rPr>
          <w:rFonts w:ascii="仿宋_GB2312" w:hAnsi="仿宋_GB2312" w:eastAsia="仿宋_GB2312"/>
          <w:sz w:val="32"/>
        </w:rPr>
        <w:t>出审计决定或提出审计建议。</w:t>
      </w:r>
    </w:p>
    <w:p w14:paraId="2415B64F">
      <w:pPr>
        <w:spacing w:line="580" w:lineRule="exact"/>
        <w:ind w:firstLine="640"/>
        <w:jc w:val="both"/>
      </w:pPr>
      <w:r>
        <w:rPr>
          <w:rFonts w:ascii="仿宋_GB2312" w:hAnsi="仿宋_GB2312" w:eastAsia="仿宋_GB2312"/>
          <w:sz w:val="32"/>
        </w:rPr>
        <w:t>（3）向县委审计委员会提出年度财政预算执行和其他财政支出情况审计报告。向县人民政府提出年度财政预算执行和其他财政收支情况的审计结果报告。受县人民政府委托向县人大常委会提出</w:t>
      </w:r>
      <w:r>
        <w:rPr>
          <w:rFonts w:hint="eastAsia" w:ascii="仿宋_GB2312" w:hAnsi="仿宋_GB2312" w:eastAsia="仿宋_GB2312"/>
          <w:sz w:val="32"/>
          <w:lang w:eastAsia="zh-CN"/>
        </w:rPr>
        <w:t>本级</w:t>
      </w:r>
      <w:r>
        <w:rPr>
          <w:rFonts w:ascii="仿宋_GB2312" w:hAnsi="仿宋_GB2312" w:eastAsia="仿宋_GB2312"/>
          <w:sz w:val="32"/>
        </w:rPr>
        <w:t>预算执行和其他财政收支情况的审计工作报告、审计查出问题整改情况报告。向县委、县人民政府报告对其他事项的审计和专项审计调查情况及结果。依法向社会公布审计结果。向县直有关部门、乡镇通报审计情况和审计结果。</w:t>
      </w:r>
    </w:p>
    <w:p w14:paraId="633524DB">
      <w:pPr>
        <w:spacing w:line="580" w:lineRule="exact"/>
        <w:ind w:firstLine="640"/>
        <w:jc w:val="both"/>
      </w:pPr>
      <w:r>
        <w:rPr>
          <w:rFonts w:ascii="仿宋_GB2312" w:hAnsi="仿宋_GB2312" w:eastAsia="仿宋_GB2312"/>
          <w:sz w:val="32"/>
        </w:rPr>
        <w:t>（4）直接审计下列事项，出具审计报告，在法定职权范围内做出审计决定，包括国家有关重大政策措施贯彻落实情况；县级预算执行情况和其他财政收支，县直各部门（含直属单位）预算执行情况、决算草案和其他财政收支，县级财政转移支付资金；县预算执行情况、决算草案和其他财政收支，使用县财政资金的事业单位和社会团体的财政收支；国家投资和以国家投资为主的建设项目的预算执行情况和决算；国家重大公共工程项目的资金管理使用和建设运营情况；自然资源管理、污染防治和生态保护与修复情况；县国有企业和金融机构、县人民政府规定的国有资本控股或占主导地位的企业和金融机构境内外资产、负债和损益；有关社会保障基金、社会捐赠资金及其他基金、资金的财务收支；国际组织和外国政府援助、贷款项目；法律法规规定的其他事项。</w:t>
      </w:r>
    </w:p>
    <w:p w14:paraId="10301751">
      <w:pPr>
        <w:spacing w:line="580" w:lineRule="exact"/>
        <w:ind w:firstLine="640"/>
        <w:jc w:val="both"/>
      </w:pPr>
      <w:r>
        <w:rPr>
          <w:rFonts w:ascii="仿宋_GB2312" w:hAnsi="仿宋_GB2312" w:eastAsia="仿宋_GB2312"/>
          <w:sz w:val="32"/>
        </w:rPr>
        <w:t>（5）按规定对属于县级审计机关审计监督对象的党政主要领导干部及其他单位主要负责人实施经济责任审计和自然资源资产离任审计。</w:t>
      </w:r>
    </w:p>
    <w:p w14:paraId="22DC3E90">
      <w:pPr>
        <w:spacing w:line="580" w:lineRule="exact"/>
        <w:ind w:firstLine="640"/>
        <w:jc w:val="both"/>
        <w:rPr>
          <w:rFonts w:ascii="仿宋_GB2312" w:hAnsi="仿宋_GB2312" w:eastAsia="仿宋_GB2312"/>
          <w:sz w:val="32"/>
        </w:rPr>
      </w:pPr>
      <w:r>
        <w:rPr>
          <w:rFonts w:ascii="仿宋_GB2312" w:hAnsi="仿宋_GB2312" w:eastAsia="仿宋_GB2312"/>
          <w:sz w:val="32"/>
        </w:rPr>
        <w:t>（6）组织实施对国家财经法律法规、规章、政策和宏观调控措施执行情况、财政预算管理及国有资产管理使用等与国家财政收支有关的事项进行专项审计调查</w:t>
      </w:r>
    </w:p>
    <w:p w14:paraId="4AB0588C">
      <w:pPr>
        <w:spacing w:line="580" w:lineRule="exact"/>
        <w:ind w:firstLine="640"/>
        <w:jc w:val="both"/>
      </w:pPr>
      <w:r>
        <w:rPr>
          <w:rFonts w:ascii="仿宋_GB2312" w:hAnsi="仿宋_GB2312" w:eastAsia="仿宋_GB2312"/>
          <w:sz w:val="32"/>
        </w:rPr>
        <w:t>（7）依法检查审计决定执行情况，监督整改审计查出的问题，依法办理被审计单位对审计决定提请行政复议、行政诉讼或县人民政府裁决中的有关事项，协助配合有关部门查处相关重大案件。</w:t>
      </w:r>
    </w:p>
    <w:p w14:paraId="6D9C674F">
      <w:pPr>
        <w:spacing w:line="580" w:lineRule="exact"/>
        <w:ind w:firstLine="640"/>
        <w:jc w:val="both"/>
      </w:pPr>
      <w:r>
        <w:rPr>
          <w:rFonts w:ascii="仿宋_GB2312" w:hAnsi="仿宋_GB2312" w:eastAsia="仿宋_GB2312"/>
          <w:sz w:val="32"/>
        </w:rPr>
        <w:t>（8）指导和监督内部审计工作，核查社会审计机构对依法属于审计监督对象的单位出具的相关审计报告。</w:t>
      </w:r>
    </w:p>
    <w:p w14:paraId="033D0E3A">
      <w:pPr>
        <w:spacing w:line="580" w:lineRule="exact"/>
        <w:ind w:firstLine="640"/>
        <w:jc w:val="both"/>
      </w:pPr>
      <w:r>
        <w:rPr>
          <w:rFonts w:ascii="仿宋_GB2312" w:hAnsi="仿宋_GB2312" w:eastAsia="仿宋_GB2312"/>
          <w:sz w:val="32"/>
        </w:rPr>
        <w:t>（9）指导和推广信息技术在审计领域的应用。</w:t>
      </w:r>
    </w:p>
    <w:p w14:paraId="1E9DB379">
      <w:pPr>
        <w:spacing w:line="580" w:lineRule="exact"/>
        <w:ind w:firstLine="640"/>
        <w:jc w:val="both"/>
      </w:pPr>
      <w:r>
        <w:rPr>
          <w:rFonts w:ascii="仿宋_GB2312" w:hAnsi="仿宋_GB2312" w:eastAsia="仿宋_GB2312"/>
          <w:sz w:val="32"/>
        </w:rPr>
        <w:t>（10）完成县委、县人民政府交办的其他任务。</w:t>
      </w:r>
    </w:p>
    <w:p w14:paraId="42987AA9">
      <w:pPr>
        <w:spacing w:line="580" w:lineRule="exact"/>
        <w:ind w:firstLine="640"/>
        <w:jc w:val="both"/>
      </w:pPr>
      <w:r>
        <w:rPr>
          <w:rFonts w:ascii="仿宋_GB2312" w:hAnsi="仿宋_GB2312" w:eastAsia="仿宋_GB2312"/>
          <w:sz w:val="32"/>
        </w:rPr>
        <w:t>（11）职能转变。进一步完善全县审计管理体制，加强全县审计工作统筹审计机关职能定位，理顺内部职责关系，优化审计资源配置，充实加强一线审计力量，构建集中统一，全面覆盖、权威高效的审计监督体系。优化审计工作机制，坚持科技强审，完善业务流程，改进工作方式，加强与相关部门的沟通协调，充分调动内部审计和社会审计力量，增强监督合力。</w:t>
      </w:r>
    </w:p>
    <w:p w14:paraId="2CAF399A">
      <w:pPr>
        <w:spacing w:line="640" w:lineRule="exact"/>
        <w:ind w:firstLine="640"/>
        <w:jc w:val="both"/>
        <w:outlineLvl w:val="2"/>
      </w:pPr>
      <w:r>
        <w:rPr>
          <w:rFonts w:ascii="黑体" w:hAnsi="黑体" w:eastAsia="黑体"/>
          <w:sz w:val="32"/>
        </w:rPr>
        <w:t>二、机构设置及人员情况</w:t>
      </w:r>
    </w:p>
    <w:p w14:paraId="104A2057">
      <w:pPr>
        <w:spacing w:line="580" w:lineRule="exact"/>
        <w:ind w:firstLine="640"/>
        <w:jc w:val="both"/>
      </w:pPr>
      <w:r>
        <w:rPr>
          <w:rFonts w:ascii="仿宋_GB2312" w:hAnsi="仿宋_GB2312" w:eastAsia="仿宋_GB2312"/>
          <w:sz w:val="32"/>
        </w:rPr>
        <w:t>英吉沙县审计局2024年度，实有人数18人，其中：在职人员13人，增加0人；离休人员0人，增加0人；退休人员5人,增加0人。</w:t>
      </w:r>
    </w:p>
    <w:p w14:paraId="2AB8311E">
      <w:pPr>
        <w:spacing w:line="580" w:lineRule="exact"/>
        <w:ind w:firstLine="640"/>
        <w:jc w:val="both"/>
      </w:pPr>
      <w:r>
        <w:rPr>
          <w:rFonts w:ascii="仿宋_GB2312" w:hAnsi="仿宋_GB2312" w:eastAsia="仿宋_GB2312"/>
          <w:sz w:val="32"/>
        </w:rPr>
        <w:t>英吉沙县审计局无下属预算单位，下设</w:t>
      </w:r>
      <w:r>
        <w:rPr>
          <w:rFonts w:hint="eastAsia" w:ascii="仿宋_GB2312" w:hAnsi="仿宋_GB2312" w:eastAsia="仿宋_GB2312"/>
          <w:sz w:val="32"/>
          <w:lang w:val="en-US" w:eastAsia="zh-CN"/>
        </w:rPr>
        <w:t>4</w:t>
      </w:r>
      <w:r>
        <w:rPr>
          <w:rFonts w:ascii="仿宋_GB2312" w:hAnsi="仿宋_GB2312" w:eastAsia="仿宋_GB2312"/>
          <w:sz w:val="32"/>
        </w:rPr>
        <w:t>个科室，分别是：行政办公室、审计委员会办公室、政策法规股、固定资产审核投资中心。</w:t>
      </w:r>
    </w:p>
    <w:p w14:paraId="7253E5A2">
      <w:r>
        <w:br w:type="page"/>
      </w:r>
    </w:p>
    <w:p w14:paraId="5C2B2F35">
      <w:pPr>
        <w:spacing w:line="240" w:lineRule="auto"/>
        <w:jc w:val="center"/>
        <w:outlineLvl w:val="1"/>
      </w:pPr>
      <w:r>
        <w:rPr>
          <w:rFonts w:ascii="黑体" w:hAnsi="黑体" w:eastAsia="黑体"/>
          <w:sz w:val="32"/>
        </w:rPr>
        <w:t>第二部分 部门决算情况说明</w:t>
      </w:r>
    </w:p>
    <w:p w14:paraId="29A58DC7">
      <w:pPr>
        <w:spacing w:line="640" w:lineRule="exact"/>
        <w:ind w:firstLine="640"/>
        <w:jc w:val="both"/>
        <w:outlineLvl w:val="2"/>
      </w:pPr>
      <w:r>
        <w:rPr>
          <w:rFonts w:ascii="黑体" w:hAnsi="黑体" w:eastAsia="黑体"/>
          <w:sz w:val="32"/>
        </w:rPr>
        <w:t>一、收入支出决算总体情况说明</w:t>
      </w:r>
    </w:p>
    <w:p w14:paraId="32437B76">
      <w:pPr>
        <w:spacing w:line="580" w:lineRule="exact"/>
        <w:ind w:firstLine="640"/>
        <w:jc w:val="both"/>
      </w:pPr>
      <w:r>
        <w:rPr>
          <w:rFonts w:ascii="仿宋_GB2312" w:hAnsi="仿宋_GB2312" w:eastAsia="仿宋_GB2312"/>
          <w:b/>
          <w:sz w:val="32"/>
        </w:rPr>
        <w:t>2024年度收入总计241.63万元，</w:t>
      </w:r>
      <w:r>
        <w:rPr>
          <w:rFonts w:ascii="仿宋_GB2312" w:hAnsi="仿宋_GB2312" w:eastAsia="仿宋_GB2312"/>
          <w:b w:val="0"/>
          <w:sz w:val="32"/>
        </w:rPr>
        <w:t>其中：本年收入合计241.63万元，使用非财政拨款结余（含专用结余）0.00万元，年初结转和结余0.00万元。</w:t>
      </w:r>
    </w:p>
    <w:p w14:paraId="56E1833F">
      <w:pPr>
        <w:spacing w:line="580" w:lineRule="exact"/>
        <w:ind w:firstLine="640"/>
        <w:jc w:val="both"/>
      </w:pPr>
      <w:r>
        <w:rPr>
          <w:rFonts w:ascii="仿宋_GB2312" w:hAnsi="仿宋_GB2312" w:eastAsia="仿宋_GB2312"/>
          <w:b/>
          <w:sz w:val="32"/>
        </w:rPr>
        <w:t>2024年度支出总计241.63万元，</w:t>
      </w:r>
      <w:r>
        <w:rPr>
          <w:rFonts w:ascii="仿宋_GB2312" w:hAnsi="仿宋_GB2312" w:eastAsia="仿宋_GB2312"/>
          <w:b w:val="0"/>
          <w:sz w:val="32"/>
        </w:rPr>
        <w:t>其中：本年支出合计241.63万元，结余分配0.00万元，年末结转和结余0.00万元。</w:t>
      </w:r>
    </w:p>
    <w:p w14:paraId="11EA1763">
      <w:pPr>
        <w:spacing w:line="580" w:lineRule="exact"/>
        <w:ind w:firstLine="640"/>
        <w:jc w:val="both"/>
      </w:pPr>
      <w:r>
        <w:rPr>
          <w:rFonts w:ascii="仿宋_GB2312" w:hAnsi="仿宋_GB2312" w:eastAsia="仿宋_GB2312"/>
          <w:b w:val="0"/>
          <w:sz w:val="32"/>
        </w:rPr>
        <w:t>收入支出总体与上年相比，减少83.25万元，下降25.62%，主要原因是：本年固定资产审核竣工结算等项目资金较上年减少。</w:t>
      </w:r>
    </w:p>
    <w:p w14:paraId="0ADC53E8">
      <w:pPr>
        <w:spacing w:line="640" w:lineRule="exact"/>
        <w:ind w:firstLine="640"/>
        <w:jc w:val="both"/>
        <w:outlineLvl w:val="2"/>
      </w:pPr>
      <w:r>
        <w:rPr>
          <w:rFonts w:ascii="黑体" w:hAnsi="黑体" w:eastAsia="黑体"/>
          <w:sz w:val="32"/>
        </w:rPr>
        <w:t>二、收入决算情况说明</w:t>
      </w:r>
    </w:p>
    <w:p w14:paraId="5EC8C70D">
      <w:pPr>
        <w:spacing w:line="580" w:lineRule="exact"/>
        <w:ind w:firstLine="640"/>
        <w:jc w:val="both"/>
      </w:pPr>
      <w:r>
        <w:rPr>
          <w:rFonts w:ascii="仿宋_GB2312" w:hAnsi="仿宋_GB2312" w:eastAsia="仿宋_GB2312"/>
          <w:b/>
          <w:sz w:val="32"/>
        </w:rPr>
        <w:t>本年收入241.63万元，</w:t>
      </w:r>
      <w:r>
        <w:rPr>
          <w:rFonts w:ascii="仿宋_GB2312" w:hAnsi="仿宋_GB2312" w:eastAsia="仿宋_GB2312"/>
          <w:b w:val="0"/>
          <w:sz w:val="32"/>
        </w:rPr>
        <w:t>其中：财政拨款收入241.63万元，占100.00%；上级补助收入0.00万元，占0.00%；事业收入0.00万元，占0.00%；经营收入0.00万元，占0.00%；附属单位上缴收入0.00万元，占0.00%；其他收入0.00万元，占0.00%。</w:t>
      </w:r>
    </w:p>
    <w:p w14:paraId="2ED94E96">
      <w:pPr>
        <w:spacing w:line="640" w:lineRule="exact"/>
        <w:ind w:firstLine="640"/>
        <w:jc w:val="both"/>
        <w:outlineLvl w:val="2"/>
      </w:pPr>
      <w:r>
        <w:rPr>
          <w:rFonts w:ascii="黑体" w:hAnsi="黑体" w:eastAsia="黑体"/>
          <w:sz w:val="32"/>
        </w:rPr>
        <w:t>三、支出决算情况说明</w:t>
      </w:r>
    </w:p>
    <w:p w14:paraId="3BF57748">
      <w:pPr>
        <w:spacing w:line="580" w:lineRule="exact"/>
        <w:ind w:firstLine="640"/>
        <w:jc w:val="both"/>
      </w:pPr>
      <w:r>
        <w:rPr>
          <w:rFonts w:ascii="仿宋_GB2312" w:hAnsi="仿宋_GB2312" w:eastAsia="仿宋_GB2312"/>
          <w:b/>
          <w:sz w:val="32"/>
        </w:rPr>
        <w:t>本年支出241.63万元，</w:t>
      </w:r>
      <w:r>
        <w:rPr>
          <w:rFonts w:ascii="仿宋_GB2312" w:hAnsi="仿宋_GB2312" w:eastAsia="仿宋_GB2312"/>
          <w:b w:val="0"/>
          <w:sz w:val="32"/>
        </w:rPr>
        <w:t>其中：基本支出231.63万元，占95.86%；项目支出10.00万元，占4.14%；上缴上级支出0.00万元，占0.00%；经营支出0.00万元，占0.00%；对附属单位补助支出0.00万元，占0.00%。</w:t>
      </w:r>
    </w:p>
    <w:p w14:paraId="5FFE7984">
      <w:pPr>
        <w:spacing w:line="640" w:lineRule="exact"/>
        <w:ind w:firstLine="640"/>
        <w:jc w:val="both"/>
        <w:outlineLvl w:val="2"/>
      </w:pPr>
      <w:r>
        <w:rPr>
          <w:rFonts w:ascii="黑体" w:hAnsi="黑体" w:eastAsia="黑体"/>
          <w:sz w:val="32"/>
        </w:rPr>
        <w:t>四、财政拨款收入支出决算总体情况说明</w:t>
      </w:r>
    </w:p>
    <w:p w14:paraId="6AF04041">
      <w:pPr>
        <w:spacing w:line="580" w:lineRule="exact"/>
        <w:ind w:firstLine="640"/>
        <w:jc w:val="both"/>
      </w:pPr>
      <w:r>
        <w:rPr>
          <w:rFonts w:ascii="仿宋_GB2312" w:hAnsi="仿宋_GB2312" w:eastAsia="仿宋_GB2312"/>
          <w:b/>
          <w:sz w:val="32"/>
        </w:rPr>
        <w:t>2024年度财政拨款收入总计241.63万元，</w:t>
      </w:r>
      <w:r>
        <w:rPr>
          <w:rFonts w:ascii="仿宋_GB2312" w:hAnsi="仿宋_GB2312" w:eastAsia="仿宋_GB2312"/>
          <w:b w:val="0"/>
          <w:sz w:val="32"/>
        </w:rPr>
        <w:t>其中：年初财政拨款结转和结余0.00万元，本年财政拨款收入241.63万元。</w:t>
      </w:r>
      <w:r>
        <w:rPr>
          <w:rFonts w:ascii="仿宋_GB2312" w:hAnsi="仿宋_GB2312" w:eastAsia="仿宋_GB2312"/>
          <w:b/>
          <w:sz w:val="32"/>
        </w:rPr>
        <w:t>财政拨款支出总计241.63万元，</w:t>
      </w:r>
      <w:r>
        <w:rPr>
          <w:rFonts w:ascii="仿宋_GB2312" w:hAnsi="仿宋_GB2312" w:eastAsia="仿宋_GB2312"/>
          <w:b w:val="0"/>
          <w:sz w:val="32"/>
        </w:rPr>
        <w:t>其中：年末财政拨款结转和结余0.00万元，本年财政拨款支出241.63万元。</w:t>
      </w:r>
    </w:p>
    <w:p w14:paraId="05ABC7B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减少83.25万元，下降25.62%，主要原因是：本年固定资产审核竣工结算等项目资金较上年减少。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年初预算数378.03万元，决算数241.63万元，预决算差异率-36.08%，主要原因是：固定资产审核竣工结算项目未执行完，年中调减项目经费。</w:t>
      </w:r>
    </w:p>
    <w:p w14:paraId="1551AF95">
      <w:pPr>
        <w:spacing w:line="640" w:lineRule="exact"/>
        <w:ind w:firstLine="640"/>
        <w:jc w:val="both"/>
        <w:outlineLvl w:val="2"/>
      </w:pPr>
      <w:r>
        <w:rPr>
          <w:rFonts w:ascii="黑体" w:hAnsi="黑体" w:eastAsia="黑体"/>
          <w:sz w:val="32"/>
        </w:rPr>
        <w:t>五、一般公共预算财政拨款支出决算情况说明</w:t>
      </w:r>
    </w:p>
    <w:p w14:paraId="10D4073F">
      <w:pPr>
        <w:spacing w:line="640" w:lineRule="exact"/>
        <w:ind w:firstLine="640"/>
        <w:jc w:val="both"/>
        <w:outlineLvl w:val="3"/>
      </w:pPr>
      <w:r>
        <w:rPr>
          <w:rFonts w:ascii="楷体_GB2312" w:hAnsi="楷体_GB2312" w:eastAsia="楷体_GB2312"/>
          <w:b/>
          <w:sz w:val="32"/>
        </w:rPr>
        <w:t>（一）一般公共预算财政拨款支出决算总体情况</w:t>
      </w:r>
    </w:p>
    <w:p w14:paraId="141DACF9">
      <w:pPr>
        <w:spacing w:line="580" w:lineRule="exact"/>
        <w:ind w:firstLine="640"/>
        <w:jc w:val="both"/>
      </w:pPr>
      <w:r>
        <w:rPr>
          <w:rFonts w:ascii="仿宋_GB2312" w:hAnsi="仿宋_GB2312" w:eastAsia="仿宋_GB2312"/>
          <w:b/>
          <w:sz w:val="32"/>
        </w:rPr>
        <w:t>2024年度一般公共预算财政拨款支出241.63万元，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减少83.25万元，下降25.62%，主要原因是：本年固定资产审核竣工结算等项目资金较上年减少。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年初预算数378.03万元，决算数241.63万元，预决算差异率-36.08%，主要原因是：固定资产审核竣工结算项目未执行完，年中调减项目经费。</w:t>
      </w:r>
    </w:p>
    <w:p w14:paraId="092E4F3C">
      <w:pPr>
        <w:spacing w:line="640" w:lineRule="exact"/>
        <w:ind w:firstLine="640"/>
        <w:jc w:val="both"/>
        <w:outlineLvl w:val="3"/>
      </w:pPr>
      <w:r>
        <w:rPr>
          <w:rFonts w:ascii="楷体_GB2312" w:hAnsi="楷体_GB2312" w:eastAsia="楷体_GB2312"/>
          <w:b/>
          <w:sz w:val="32"/>
        </w:rPr>
        <w:t>（二）一般公共预算财政拨款支出决算结构情况</w:t>
      </w:r>
    </w:p>
    <w:p w14:paraId="2E2B2476">
      <w:pPr>
        <w:spacing w:line="580" w:lineRule="exact"/>
        <w:ind w:firstLine="640"/>
        <w:jc w:val="both"/>
      </w:pPr>
      <w:r>
        <w:rPr>
          <w:rFonts w:ascii="仿宋_GB2312" w:hAnsi="仿宋_GB2312" w:eastAsia="仿宋_GB2312"/>
          <w:b w:val="0"/>
          <w:sz w:val="32"/>
        </w:rPr>
        <w:t>1.一般公共服务支出(类)188.63万元,占78.07%。</w:t>
      </w:r>
    </w:p>
    <w:p w14:paraId="6A8F0931">
      <w:pPr>
        <w:spacing w:line="580" w:lineRule="exact"/>
        <w:ind w:firstLine="640"/>
        <w:jc w:val="both"/>
      </w:pPr>
      <w:r>
        <w:rPr>
          <w:rFonts w:ascii="仿宋_GB2312" w:hAnsi="仿宋_GB2312" w:eastAsia="仿宋_GB2312"/>
          <w:b w:val="0"/>
          <w:sz w:val="32"/>
        </w:rPr>
        <w:t>2.社会保障和就业支出(类)24.62万元,占10.19%。</w:t>
      </w:r>
    </w:p>
    <w:p w14:paraId="12B00FB0">
      <w:pPr>
        <w:spacing w:line="580" w:lineRule="exact"/>
        <w:ind w:firstLine="640"/>
        <w:jc w:val="both"/>
      </w:pPr>
      <w:r>
        <w:rPr>
          <w:rFonts w:ascii="仿宋_GB2312" w:hAnsi="仿宋_GB2312" w:eastAsia="仿宋_GB2312"/>
          <w:b w:val="0"/>
          <w:sz w:val="32"/>
        </w:rPr>
        <w:t>3.卫生健康支出(类)12.33万元,占5.10%。</w:t>
      </w:r>
    </w:p>
    <w:p w14:paraId="674151DC">
      <w:pPr>
        <w:spacing w:line="580" w:lineRule="exact"/>
        <w:ind w:firstLine="640"/>
        <w:jc w:val="both"/>
      </w:pPr>
      <w:r>
        <w:rPr>
          <w:rFonts w:ascii="仿宋_GB2312" w:hAnsi="仿宋_GB2312" w:eastAsia="仿宋_GB2312"/>
          <w:b w:val="0"/>
          <w:sz w:val="32"/>
        </w:rPr>
        <w:t>4.住房保障支出(类)16.05万元,占6.64%。</w:t>
      </w:r>
    </w:p>
    <w:p w14:paraId="6473E6BB">
      <w:pPr>
        <w:spacing w:line="640" w:lineRule="exact"/>
        <w:ind w:firstLine="640"/>
        <w:jc w:val="both"/>
        <w:outlineLvl w:val="3"/>
      </w:pPr>
      <w:r>
        <w:rPr>
          <w:rFonts w:ascii="楷体_GB2312" w:hAnsi="楷体_GB2312" w:eastAsia="楷体_GB2312"/>
          <w:b/>
          <w:sz w:val="32"/>
        </w:rPr>
        <w:t>（三）一般公共预算财政拨款支出决算具体情况</w:t>
      </w:r>
    </w:p>
    <w:p w14:paraId="73039348">
      <w:pPr>
        <w:spacing w:line="580" w:lineRule="exact"/>
        <w:ind w:firstLine="640"/>
        <w:jc w:val="both"/>
      </w:pPr>
      <w:r>
        <w:rPr>
          <w:rFonts w:ascii="仿宋_GB2312" w:hAnsi="仿宋_GB2312" w:eastAsia="仿宋_GB2312"/>
          <w:b w:val="0"/>
          <w:sz w:val="32"/>
        </w:rPr>
        <w:t>1.一般公共服务支出(类)审计事务(款)行政运行(项):支出决算数为178.63万元，比上年决算减少0.22万元，下降0.12%,主要原因是：本年在职人员调入调出，人员职级不同，工资基数不同，导致人员经费较上年减少。</w:t>
      </w:r>
    </w:p>
    <w:p w14:paraId="09EE84FA">
      <w:pPr>
        <w:spacing w:line="580" w:lineRule="exact"/>
        <w:ind w:firstLine="640"/>
        <w:jc w:val="both"/>
      </w:pPr>
      <w:r>
        <w:rPr>
          <w:rFonts w:ascii="仿宋_GB2312" w:hAnsi="仿宋_GB2312" w:eastAsia="仿宋_GB2312"/>
          <w:b w:val="0"/>
          <w:sz w:val="32"/>
        </w:rPr>
        <w:t>2.一般公共服务支出(类)审计事务(款)审计业务(项):支出决算数为10.00万元，比上年决算减少97.01万元，下降90.66%,主要原因是：本年固定资产审核竣工结算等项目资金较上年减少。</w:t>
      </w:r>
    </w:p>
    <w:p w14:paraId="0114F267">
      <w:pPr>
        <w:spacing w:line="580" w:lineRule="exact"/>
        <w:ind w:firstLine="640"/>
        <w:jc w:val="both"/>
      </w:pPr>
      <w:r>
        <w:rPr>
          <w:rFonts w:ascii="仿宋_GB2312" w:hAnsi="仿宋_GB2312" w:eastAsia="仿宋_GB2312"/>
          <w:b w:val="0"/>
          <w:sz w:val="32"/>
        </w:rPr>
        <w:t>3.一般公共服务支出(类)审计事务(款)事业运行(项):支出决算数为0.00万元，比上年决算减少1.09万元，下降100.00%,主要原因是：本年此科目未安排办公经费支出。</w:t>
      </w:r>
    </w:p>
    <w:p w14:paraId="66DDD0F1">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4.社会保障和就业支出(类)行政事业单位养老支出(款)行政单位离退休(项):支出决算数为6.46万元，比上年决算增加3.35万元，增长107.72%,主要原因是：本年增加退休人员基础绩效奖，退休费支出增加。</w:t>
      </w:r>
    </w:p>
    <w:p w14:paraId="5D0FA2CF">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18.16万元，比上年决算增加3.19万元，增长21.31%,主要原因是：本年在职人员工资基数调增，养老缴费基数上涨，相应支出增加。</w:t>
      </w:r>
    </w:p>
    <w:p w14:paraId="4181B393">
      <w:pPr>
        <w:spacing w:line="580" w:lineRule="exact"/>
        <w:ind w:firstLine="640"/>
        <w:jc w:val="both"/>
      </w:pPr>
      <w:r>
        <w:rPr>
          <w:rFonts w:ascii="仿宋_GB2312" w:hAnsi="仿宋_GB2312" w:eastAsia="仿宋_GB2312"/>
          <w:b w:val="0"/>
          <w:sz w:val="32"/>
        </w:rPr>
        <w:t>6.卫生健康支出(类)行政事业单位医疗(款)行政单位医疗(项):支出决算数为10.31万元，比上年决算增加5.11万元，增长98.27%,主要原因是：本年在职人员工资基数调增，医疗缴费基数上涨，相应支出增加。</w:t>
      </w:r>
    </w:p>
    <w:p w14:paraId="7DBDC59B">
      <w:pPr>
        <w:spacing w:line="580" w:lineRule="exact"/>
        <w:ind w:firstLine="640"/>
        <w:jc w:val="both"/>
      </w:pPr>
      <w:r>
        <w:rPr>
          <w:rFonts w:ascii="仿宋_GB2312" w:hAnsi="仿宋_GB2312" w:eastAsia="仿宋_GB2312"/>
          <w:b w:val="0"/>
          <w:sz w:val="32"/>
        </w:rPr>
        <w:t>7.卫生健康支出(类)行政事业单位医疗(款)公务员医疗补助(项):支出决算数为2.02万元，比上年决算减少0.23万元，下降10.22%,主要原因是：本年在职人员调入调出，人员职级不同，缴费基数不同，导致公务员医疗补助较上年减少。</w:t>
      </w:r>
    </w:p>
    <w:p w14:paraId="79BC952D">
      <w:pPr>
        <w:spacing w:line="580" w:lineRule="exact"/>
        <w:ind w:firstLine="640"/>
        <w:jc w:val="both"/>
      </w:pPr>
      <w:r>
        <w:rPr>
          <w:rFonts w:ascii="仿宋_GB2312" w:hAnsi="仿宋_GB2312" w:eastAsia="仿宋_GB2312"/>
          <w:b w:val="0"/>
          <w:sz w:val="32"/>
        </w:rPr>
        <w:t>8.住房保障支出(类)住房改革支出(款)住房公积金(项):支出决算数为16.05万元，比上年决算增加3.65万元，增长29.44%,主要原因是：本年在职人员工资基数调增，公积金缴费基数上涨，相应支出增加。</w:t>
      </w:r>
    </w:p>
    <w:p w14:paraId="7F629CBC">
      <w:pPr>
        <w:spacing w:line="640" w:lineRule="exact"/>
        <w:ind w:firstLine="640"/>
        <w:jc w:val="both"/>
        <w:outlineLvl w:val="2"/>
      </w:pPr>
      <w:r>
        <w:rPr>
          <w:rFonts w:ascii="黑体" w:hAnsi="黑体" w:eastAsia="黑体"/>
          <w:sz w:val="32"/>
        </w:rPr>
        <w:t>六、一般公共预算财政拨款基本支出决算情况说明</w:t>
      </w:r>
    </w:p>
    <w:p w14:paraId="26CF2F6E">
      <w:pPr>
        <w:spacing w:line="580" w:lineRule="exact"/>
        <w:ind w:firstLine="640"/>
        <w:jc w:val="both"/>
      </w:pPr>
      <w:r>
        <w:rPr>
          <w:rFonts w:ascii="仿宋_GB2312" w:hAnsi="仿宋_GB2312" w:eastAsia="仿宋_GB2312"/>
          <w:b w:val="0"/>
          <w:sz w:val="32"/>
        </w:rPr>
        <w:t>2024年度一般公共预算财政拨款基本支出231.63万元，其中：</w:t>
      </w:r>
      <w:r>
        <w:rPr>
          <w:rFonts w:ascii="仿宋_GB2312" w:hAnsi="仿宋_GB2312" w:eastAsia="仿宋_GB2312"/>
          <w:b/>
          <w:sz w:val="32"/>
        </w:rPr>
        <w:t>人员经费225.41万元，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w:t>
      </w:r>
    </w:p>
    <w:p w14:paraId="2C8C4F25">
      <w:pPr>
        <w:spacing w:line="580" w:lineRule="exact"/>
        <w:ind w:firstLine="640"/>
        <w:jc w:val="both"/>
      </w:pPr>
      <w:r>
        <w:rPr>
          <w:rFonts w:ascii="仿宋_GB2312" w:hAnsi="仿宋_GB2312" w:eastAsia="仿宋_GB2312"/>
          <w:b/>
          <w:sz w:val="32"/>
        </w:rPr>
        <w:t>公用经费6.22万元，</w:t>
      </w:r>
      <w:r>
        <w:rPr>
          <w:rFonts w:ascii="仿宋_GB2312" w:hAnsi="仿宋_GB2312" w:eastAsia="仿宋_GB2312"/>
          <w:b w:val="0"/>
          <w:sz w:val="32"/>
        </w:rPr>
        <w:t>包括：办公费、水费、电费、邮电费、差旅费、公务用车运行维护费。</w:t>
      </w:r>
    </w:p>
    <w:p w14:paraId="5BBE23ED">
      <w:pPr>
        <w:spacing w:line="640" w:lineRule="exact"/>
        <w:ind w:firstLine="640"/>
        <w:jc w:val="both"/>
        <w:outlineLvl w:val="2"/>
      </w:pPr>
      <w:r>
        <w:rPr>
          <w:rFonts w:ascii="黑体" w:hAnsi="黑体" w:eastAsia="黑体"/>
          <w:sz w:val="32"/>
        </w:rPr>
        <w:t>七、政府性基金预算财政拨款收入支出决算情况说明</w:t>
      </w:r>
    </w:p>
    <w:p w14:paraId="0EA37C3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9347D12">
      <w:pPr>
        <w:spacing w:line="640" w:lineRule="exact"/>
        <w:ind w:firstLine="640"/>
        <w:jc w:val="both"/>
        <w:outlineLvl w:val="2"/>
      </w:pPr>
      <w:r>
        <w:rPr>
          <w:rFonts w:ascii="黑体" w:hAnsi="黑体" w:eastAsia="黑体"/>
          <w:sz w:val="32"/>
        </w:rPr>
        <w:t>八、国有资本经营预算财政拨款收入支出决算情况说明</w:t>
      </w:r>
    </w:p>
    <w:p w14:paraId="67E6CDF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F144773">
      <w:pPr>
        <w:spacing w:line="640" w:lineRule="exact"/>
        <w:ind w:firstLine="640"/>
        <w:jc w:val="both"/>
        <w:outlineLvl w:val="2"/>
      </w:pPr>
      <w:r>
        <w:rPr>
          <w:rFonts w:ascii="黑体" w:hAnsi="黑体" w:eastAsia="黑体"/>
          <w:sz w:val="32"/>
        </w:rPr>
        <w:t>九、财政拨款“三公”经费支出决算情况说明</w:t>
      </w:r>
    </w:p>
    <w:p w14:paraId="75E63D40">
      <w:pPr>
        <w:spacing w:line="580" w:lineRule="exact"/>
        <w:ind w:firstLine="640"/>
        <w:jc w:val="both"/>
      </w:pPr>
      <w:r>
        <w:rPr>
          <w:rFonts w:ascii="仿宋_GB2312" w:hAnsi="仿宋_GB2312" w:eastAsia="仿宋_GB2312"/>
          <w:b/>
          <w:sz w:val="32"/>
        </w:rPr>
        <w:t>2024年度财政拨款“三公”经费支出0.98万元，</w:t>
      </w:r>
      <w:r>
        <w:rPr>
          <w:rFonts w:ascii="仿宋_GB2312" w:hAnsi="仿宋_GB2312" w:eastAsia="仿宋_GB2312"/>
          <w:b w:val="0"/>
          <w:sz w:val="32"/>
        </w:rPr>
        <w:t>比上年减少0.20万元，下降16.95%，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0.98万元，占100.00%，比上年减少0.20万元，下降16.95%，主要原因是：严格落实中央八项规定精神，厉行节约，减少公务用车运行维护费。公务接待费支出0.00万元，占0.00%，比上年增加0.00万元，增长0.00%，主要原因是：2023年与2024年均未安排公务接待费支出。</w:t>
      </w:r>
    </w:p>
    <w:p w14:paraId="2E9BA3B7">
      <w:pPr>
        <w:spacing w:line="580" w:lineRule="exact"/>
        <w:ind w:firstLine="640"/>
        <w:jc w:val="both"/>
      </w:pPr>
      <w:r>
        <w:rPr>
          <w:rFonts w:ascii="仿宋_GB2312" w:hAnsi="仿宋_GB2312" w:eastAsia="仿宋_GB2312"/>
          <w:b/>
          <w:sz w:val="32"/>
        </w:rPr>
        <w:t>具体情况如下：</w:t>
      </w:r>
    </w:p>
    <w:p w14:paraId="0878446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89DE83A">
      <w:pPr>
        <w:spacing w:line="580" w:lineRule="exact"/>
        <w:ind w:firstLine="640"/>
        <w:jc w:val="both"/>
      </w:pPr>
      <w:r>
        <w:rPr>
          <w:rFonts w:ascii="仿宋_GB2312" w:hAnsi="仿宋_GB2312" w:eastAsia="仿宋_GB2312"/>
          <w:b w:val="0"/>
          <w:sz w:val="32"/>
        </w:rPr>
        <w:t>公务用车购置及运行维护费0.98万元，其中：公务用车购置费0.00万元，公务用车运行维护费0.98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0D5900C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20C85D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2.10万元，决算数0.98万元，预决算差异率-53.33%，主要原因是：严格落实中央八项规定精神，厉行节约，减少公务用车运行维护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0.98万元，预决算差异率-53.33%，主要原因是：严格落实中央八项规定精神，厉行节约，减少公务用车运行维护费。公务接待费全年预算数0.00万元，决算数0.00万元，预决算差异率0.00%，主要原因是：本单位无公务接待费。</w:t>
      </w:r>
    </w:p>
    <w:p w14:paraId="45D6854A">
      <w:pPr>
        <w:spacing w:line="640" w:lineRule="exact"/>
        <w:ind w:firstLine="640"/>
        <w:jc w:val="both"/>
        <w:outlineLvl w:val="2"/>
      </w:pPr>
      <w:r>
        <w:rPr>
          <w:rFonts w:ascii="黑体" w:hAnsi="黑体" w:eastAsia="黑体"/>
          <w:sz w:val="32"/>
        </w:rPr>
        <w:t>十、其他重要事项的情况说明</w:t>
      </w:r>
    </w:p>
    <w:p w14:paraId="331099CB">
      <w:pPr>
        <w:spacing w:line="640" w:lineRule="exact"/>
        <w:ind w:firstLine="640"/>
        <w:jc w:val="both"/>
        <w:outlineLvl w:val="3"/>
      </w:pPr>
      <w:r>
        <w:rPr>
          <w:rFonts w:ascii="楷体_GB2312" w:hAnsi="楷体_GB2312" w:eastAsia="楷体_GB2312"/>
          <w:b/>
          <w:sz w:val="32"/>
        </w:rPr>
        <w:t>（一）机关运行经费及公用经费支出情况</w:t>
      </w:r>
    </w:p>
    <w:p w14:paraId="1FEC0DB7">
      <w:pPr>
        <w:spacing w:line="580" w:lineRule="exact"/>
        <w:ind w:firstLine="640"/>
        <w:jc w:val="both"/>
      </w:pPr>
      <w:r>
        <w:rPr>
          <w:rFonts w:ascii="仿宋_GB2312" w:hAnsi="仿宋_GB2312" w:eastAsia="仿宋_GB2312"/>
          <w:b w:val="0"/>
          <w:sz w:val="32"/>
        </w:rPr>
        <w:t>2024年度英吉沙县审计局（行政单位和参照公务员法管理事业单位）机关运行经费支出6.22万元，比上年增加1.05万元，增长20.31%，主要原因是：本年更新、维护补充办公用品，导致机关运行经费较上年增加。</w:t>
      </w:r>
    </w:p>
    <w:p w14:paraId="4F3567E9">
      <w:pPr>
        <w:spacing w:line="640" w:lineRule="exact"/>
        <w:ind w:firstLine="640"/>
        <w:jc w:val="both"/>
        <w:outlineLvl w:val="3"/>
      </w:pPr>
      <w:r>
        <w:rPr>
          <w:rFonts w:ascii="楷体_GB2312" w:hAnsi="楷体_GB2312" w:eastAsia="楷体_GB2312"/>
          <w:b/>
          <w:sz w:val="32"/>
        </w:rPr>
        <w:t>（二）政府采购情况</w:t>
      </w:r>
    </w:p>
    <w:p w14:paraId="042567EA">
      <w:pPr>
        <w:spacing w:line="580" w:lineRule="exact"/>
        <w:ind w:firstLine="640"/>
        <w:jc w:val="both"/>
      </w:pPr>
      <w:r>
        <w:rPr>
          <w:rFonts w:ascii="仿宋_GB2312" w:hAnsi="仿宋_GB2312" w:eastAsia="仿宋_GB2312"/>
          <w:b w:val="0"/>
          <w:sz w:val="32"/>
        </w:rPr>
        <w:t>2024年度政府采购支出总额5.92万元，其中：政府采购货物支出5.67万元、政府采购工程支出0.00万元、政府采购服务支出0.25万元。</w:t>
      </w:r>
    </w:p>
    <w:p w14:paraId="2371C3E9">
      <w:pPr>
        <w:spacing w:line="580" w:lineRule="exact"/>
        <w:ind w:firstLine="640"/>
        <w:jc w:val="both"/>
      </w:pPr>
      <w:r>
        <w:rPr>
          <w:rFonts w:ascii="仿宋_GB2312" w:hAnsi="仿宋_GB2312" w:eastAsia="仿宋_GB2312"/>
          <w:b w:val="0"/>
          <w:sz w:val="32"/>
        </w:rPr>
        <w:t>授予中小企业合同金额5.92万元，占政府采购支出总额的100.00%，其中：授予小微企业合同金额5.92万元，占政府采购支出总额的100.00%。</w:t>
      </w:r>
    </w:p>
    <w:p w14:paraId="7F04DFF5">
      <w:pPr>
        <w:spacing w:line="640" w:lineRule="exact"/>
        <w:ind w:firstLine="640"/>
        <w:jc w:val="both"/>
        <w:outlineLvl w:val="3"/>
      </w:pPr>
      <w:r>
        <w:rPr>
          <w:rFonts w:ascii="楷体_GB2312" w:hAnsi="楷体_GB2312" w:eastAsia="楷体_GB2312"/>
          <w:b/>
          <w:sz w:val="32"/>
        </w:rPr>
        <w:t>（三）国有资产占用情况说明</w:t>
      </w:r>
    </w:p>
    <w:p w14:paraId="506FA0D3">
      <w:pPr>
        <w:spacing w:line="580" w:lineRule="exact"/>
        <w:ind w:firstLine="640"/>
        <w:jc w:val="both"/>
      </w:pPr>
      <w:r>
        <w:rPr>
          <w:rFonts w:ascii="仿宋_GB2312" w:hAnsi="仿宋_GB2312" w:eastAsia="仿宋_GB2312"/>
          <w:b w:val="0"/>
          <w:sz w:val="32"/>
        </w:rPr>
        <w:t>截至2024年12月31日，房屋0.00平方米，价值0.00万元。车辆1辆，价值14.84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74DD7396">
      <w:pPr>
        <w:spacing w:line="640" w:lineRule="exact"/>
        <w:ind w:firstLine="640"/>
        <w:jc w:val="both"/>
        <w:outlineLvl w:val="2"/>
      </w:pPr>
      <w:r>
        <w:rPr>
          <w:rFonts w:ascii="黑体" w:hAnsi="黑体" w:eastAsia="黑体"/>
          <w:sz w:val="32"/>
        </w:rPr>
        <w:t>十一、预算绩效的情况说明</w:t>
      </w:r>
    </w:p>
    <w:p w14:paraId="36773AA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341.63万元，实际执行总额341.63万元；预算绩效评价项目3个，全年预算数110.00万元，全年执行数110.00万元。预算绩效管理取得的成效：一是强化了单位职能为核心；二是全面提升了</w:t>
      </w:r>
      <w:r>
        <w:rPr>
          <w:rFonts w:hint="eastAsia" w:ascii="仿宋_GB2312" w:hAnsi="仿宋_GB2312" w:eastAsia="仿宋_GB2312"/>
          <w:b w:val="0"/>
          <w:sz w:val="32"/>
          <w:lang w:eastAsia="zh-CN"/>
        </w:rPr>
        <w:t>本单位</w:t>
      </w:r>
      <w:r>
        <w:rPr>
          <w:rFonts w:ascii="仿宋_GB2312" w:hAnsi="仿宋_GB2312" w:eastAsia="仿宋_GB2312"/>
          <w:b w:val="0"/>
          <w:sz w:val="32"/>
        </w:rPr>
        <w:t>公共服务水平。发现的问题及原因：一是绩效评价体系还不够完善。对预算绩效管理的重要性认识不足</w:t>
      </w:r>
      <w:r>
        <w:rPr>
          <w:rFonts w:hint="eastAsia" w:ascii="仿宋_GB2312" w:hAnsi="仿宋_GB2312" w:eastAsia="仿宋_GB2312"/>
          <w:b w:val="0"/>
          <w:sz w:val="32"/>
          <w:lang w:eastAsia="zh-CN"/>
        </w:rPr>
        <w:t>，</w:t>
      </w:r>
      <w:r>
        <w:rPr>
          <w:rFonts w:ascii="仿宋_GB2312" w:hAnsi="仿宋_GB2312" w:eastAsia="仿宋_GB2312"/>
          <w:b w:val="0"/>
          <w:sz w:val="32"/>
        </w:rPr>
        <w:t>对预算绩效管理认识和了解不够深入，预算绩效管理体制没有完善</w:t>
      </w:r>
      <w:r>
        <w:rPr>
          <w:rFonts w:hint="eastAsia" w:ascii="仿宋_GB2312" w:hAnsi="仿宋_GB2312" w:eastAsia="仿宋_GB2312"/>
          <w:b w:val="0"/>
          <w:sz w:val="32"/>
          <w:lang w:eastAsia="zh-CN"/>
        </w:rPr>
        <w:t>地</w:t>
      </w:r>
      <w:r>
        <w:rPr>
          <w:rFonts w:ascii="仿宋_GB2312" w:hAnsi="仿宋_GB2312" w:eastAsia="仿宋_GB2312"/>
          <w:b w:val="0"/>
          <w:sz w:val="32"/>
        </w:rPr>
        <w:t>建立起来；二是管理水平和政策实施效果还不够明显。预算绩效管理队伍薄弱，对预算绩效管理的经验欠缺，工作人员频繁更换，工作人员业务不精通、经验有限，实际操作难，无法做到对预算绩效工作的全面管理。下一步改进措施：一是不断加强绩效管理队伍建设。加强对预算单位绩效专干、财务人员对绩效工作及绩效系统的培训，强化预算绩效管理、成本管理的理念，完善绩效指标，提高整体绩效目标质量，提升预算精细化管理水平；二是继续完善预算绩效管理相关工作制度，建立全过程预算绩效管理链条，有效贯彻落实全面实施绩效管理的精神。具体附整体支出绩效自评表，项目支出绩效自评表和评价报告。</w:t>
      </w:r>
    </w:p>
    <w:p w14:paraId="63F6B6C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EF95CDE">
        <w:tblPrEx>
          <w:tblCellMar>
            <w:top w:w="0" w:type="dxa"/>
            <w:left w:w="108" w:type="dxa"/>
            <w:bottom w:w="0" w:type="dxa"/>
            <w:right w:w="108" w:type="dxa"/>
          </w:tblCellMar>
        </w:tblPrEx>
        <w:tc>
          <w:tcPr>
            <w:tcW w:w="8847" w:type="dxa"/>
            <w:gridSpan w:val="9"/>
            <w:vAlign w:val="center"/>
          </w:tcPr>
          <w:p w14:paraId="581BD289">
            <w:pPr>
              <w:jc w:val="center"/>
            </w:pPr>
            <w:r>
              <w:rPr>
                <w:rFonts w:ascii="宋体" w:hAnsi="宋体" w:eastAsia="宋体"/>
                <w:sz w:val="24"/>
              </w:rPr>
              <w:t>单位整体支出绩效自评表</w:t>
            </w:r>
          </w:p>
        </w:tc>
      </w:tr>
      <w:tr w14:paraId="0C161E4C">
        <w:tblPrEx>
          <w:tblCellMar>
            <w:top w:w="0" w:type="dxa"/>
            <w:left w:w="108" w:type="dxa"/>
            <w:bottom w:w="0" w:type="dxa"/>
            <w:right w:w="108" w:type="dxa"/>
          </w:tblCellMar>
        </w:tblPrEx>
        <w:tc>
          <w:tcPr>
            <w:tcW w:w="8847" w:type="dxa"/>
            <w:gridSpan w:val="9"/>
            <w:vAlign w:val="center"/>
          </w:tcPr>
          <w:p w14:paraId="5C57D4E7">
            <w:pPr>
              <w:jc w:val="center"/>
            </w:pPr>
            <w:r>
              <w:rPr>
                <w:rFonts w:ascii="宋体" w:hAnsi="宋体" w:eastAsia="宋体"/>
                <w:sz w:val="24"/>
              </w:rPr>
              <w:t>（2024年度）</w:t>
            </w:r>
          </w:p>
        </w:tc>
      </w:tr>
      <w:tr w14:paraId="23FD945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1544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AA4ECAF">
            <w:pPr>
              <w:jc w:val="center"/>
            </w:pPr>
            <w:r>
              <w:rPr>
                <w:rFonts w:ascii="宋体" w:hAnsi="宋体" w:eastAsia="宋体"/>
                <w:sz w:val="16"/>
              </w:rPr>
              <w:t>英吉沙县审计局</w:t>
            </w:r>
          </w:p>
        </w:tc>
      </w:tr>
      <w:tr w14:paraId="4A74DB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D58D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BEEE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0AE9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8273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69E1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6E03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C9FC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2621B">
            <w:pPr>
              <w:jc w:val="center"/>
            </w:pPr>
            <w:r>
              <w:rPr>
                <w:rFonts w:ascii="宋体" w:hAnsi="宋体" w:eastAsia="宋体"/>
                <w:sz w:val="16"/>
              </w:rPr>
              <w:t>得分</w:t>
            </w:r>
          </w:p>
        </w:tc>
      </w:tr>
      <w:tr w14:paraId="2D5DDA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CBC1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AD72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F7789">
            <w:pPr>
              <w:jc w:val="center"/>
            </w:pPr>
            <w:r>
              <w:rPr>
                <w:rFonts w:ascii="宋体" w:hAnsi="宋体" w:eastAsia="宋体"/>
                <w:sz w:val="16"/>
              </w:rPr>
              <w:t>378.03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183ED">
            <w:pPr>
              <w:jc w:val="center"/>
            </w:pPr>
            <w:r>
              <w:rPr>
                <w:rFonts w:ascii="宋体" w:hAnsi="宋体" w:eastAsia="宋体"/>
                <w:sz w:val="16"/>
              </w:rPr>
              <w:t>341.63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BAE1E">
            <w:pPr>
              <w:jc w:val="center"/>
            </w:pPr>
            <w:r>
              <w:rPr>
                <w:rFonts w:ascii="宋体" w:hAnsi="宋体" w:eastAsia="宋体"/>
                <w:sz w:val="16"/>
              </w:rPr>
              <w:t>341.63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6F7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882F2">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DB30D">
            <w:pPr>
              <w:jc w:val="center"/>
            </w:pPr>
            <w:r>
              <w:rPr>
                <w:rFonts w:ascii="宋体" w:hAnsi="宋体" w:eastAsia="宋体"/>
                <w:sz w:val="16"/>
              </w:rPr>
              <w:t>10</w:t>
            </w:r>
          </w:p>
        </w:tc>
      </w:tr>
      <w:tr w14:paraId="488DDD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5DB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A335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A1C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DD7C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34E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7130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26F5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3E7FF">
            <w:pPr>
              <w:jc w:val="center"/>
            </w:pPr>
            <w:r>
              <w:rPr>
                <w:rFonts w:ascii="宋体" w:hAnsi="宋体" w:eastAsia="宋体"/>
                <w:sz w:val="16"/>
              </w:rPr>
              <w:t>—</w:t>
            </w:r>
          </w:p>
        </w:tc>
      </w:tr>
      <w:tr w14:paraId="4649B7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FBF9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8916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B16E2">
            <w:pPr>
              <w:jc w:val="center"/>
            </w:pPr>
            <w:r>
              <w:rPr>
                <w:rFonts w:ascii="宋体" w:hAnsi="宋体" w:eastAsia="宋体"/>
                <w:sz w:val="16"/>
              </w:rPr>
              <w:t>378.03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26DEC">
            <w:pPr>
              <w:jc w:val="center"/>
            </w:pPr>
            <w:r>
              <w:rPr>
                <w:rFonts w:ascii="宋体" w:hAnsi="宋体" w:eastAsia="宋体"/>
                <w:sz w:val="16"/>
              </w:rPr>
              <w:t>331.63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47E17">
            <w:pPr>
              <w:jc w:val="center"/>
            </w:pPr>
            <w:r>
              <w:rPr>
                <w:rFonts w:ascii="宋体" w:hAnsi="宋体" w:eastAsia="宋体"/>
                <w:sz w:val="16"/>
              </w:rPr>
              <w:t>331.63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9545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CC14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8A1C6">
            <w:pPr>
              <w:jc w:val="center"/>
            </w:pPr>
            <w:r>
              <w:rPr>
                <w:rFonts w:ascii="宋体" w:hAnsi="宋体" w:eastAsia="宋体"/>
                <w:sz w:val="16"/>
              </w:rPr>
              <w:t>—</w:t>
            </w:r>
          </w:p>
        </w:tc>
      </w:tr>
      <w:tr w14:paraId="4A649F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323E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C890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205D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E7C8A">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4A04B">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E22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F0A1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C2300">
            <w:pPr>
              <w:jc w:val="center"/>
            </w:pPr>
            <w:r>
              <w:rPr>
                <w:rFonts w:ascii="宋体" w:hAnsi="宋体" w:eastAsia="宋体"/>
                <w:sz w:val="16"/>
              </w:rPr>
              <w:t>—</w:t>
            </w:r>
          </w:p>
        </w:tc>
      </w:tr>
      <w:tr w14:paraId="6D87840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8BF7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32863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9FE19A">
            <w:pPr>
              <w:jc w:val="center"/>
            </w:pPr>
            <w:r>
              <w:rPr>
                <w:rFonts w:ascii="宋体" w:hAnsi="宋体" w:eastAsia="宋体"/>
                <w:sz w:val="16"/>
              </w:rPr>
              <w:t>实际完成情况</w:t>
            </w:r>
          </w:p>
        </w:tc>
      </w:tr>
      <w:tr w14:paraId="43D322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3A39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2223E9">
            <w:pPr>
              <w:jc w:val="both"/>
            </w:pPr>
            <w:r>
              <w:rPr>
                <w:rFonts w:ascii="宋体" w:hAnsi="宋体" w:eastAsia="宋体"/>
                <w:sz w:val="16"/>
              </w:rPr>
              <w:t>全力落实习近平总书记在中央审计委员会上的要求，“立足经济监督定位，聚焦主责主业，更好发挥审计在推进党的自我革命中的独特作用。”促进经济社会高质量发展。实现审计全覆盖，积极构建集中统一、全面覆盖、权威高效的审计监督体系，为英吉沙县长治久安和经济高质量发展提供坚强保障，预计2024年度重点支出项目数量3个，审计项目数不少于15个，在法治广场开展《</w:t>
            </w:r>
            <w:r>
              <w:rPr>
                <w:rFonts w:hint="eastAsia" w:ascii="宋体" w:hAnsi="宋体"/>
                <w:sz w:val="16"/>
                <w:lang w:eastAsia="zh-CN"/>
              </w:rPr>
              <w:t>中华人民共和国审计法</w:t>
            </w:r>
            <w:r>
              <w:rPr>
                <w:rFonts w:ascii="宋体" w:hAnsi="宋体" w:eastAsia="宋体"/>
                <w:sz w:val="16"/>
              </w:rPr>
              <w:t>》宣讲活动一次。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192189">
            <w:pPr>
              <w:jc w:val="both"/>
            </w:pPr>
            <w:r>
              <w:rPr>
                <w:rFonts w:ascii="宋体" w:hAnsi="宋体" w:eastAsia="宋体"/>
                <w:sz w:val="16"/>
              </w:rPr>
              <w:t>本年度</w:t>
            </w:r>
            <w:r>
              <w:rPr>
                <w:rFonts w:hint="eastAsia" w:ascii="宋体" w:hAnsi="宋体"/>
                <w:sz w:val="16"/>
                <w:lang w:eastAsia="zh-CN"/>
              </w:rPr>
              <w:t>本单位</w:t>
            </w:r>
            <w:r>
              <w:rPr>
                <w:rFonts w:ascii="宋体" w:hAnsi="宋体" w:eastAsia="宋体"/>
                <w:sz w:val="16"/>
              </w:rPr>
              <w:t>贯彻执行审计法律法规规章、国家审计准则和指南并监督执行，制定并实施专业领域审计工作规划，对直接审计、调查和核查的事项依法进行审计评价，本年度重点支出审计项目3个，完成审计项目18个，开展审计法宣讲1场次，审计业务培训4次，审计问题整改率达80%，有利于提高社会公共服务能力，促进被审计单位遵守国家法律、法规、规章和制度。</w:t>
            </w:r>
          </w:p>
        </w:tc>
      </w:tr>
      <w:tr w14:paraId="6DCBD2B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4780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D949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4128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00CA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B37C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623B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C392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D9CB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8585A">
            <w:pPr>
              <w:jc w:val="center"/>
            </w:pPr>
            <w:r>
              <w:rPr>
                <w:rFonts w:ascii="宋体" w:hAnsi="宋体" w:eastAsia="宋体"/>
                <w:sz w:val="16"/>
              </w:rPr>
              <w:t>得分</w:t>
            </w:r>
          </w:p>
        </w:tc>
      </w:tr>
      <w:tr w14:paraId="23551BE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93AD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4ECE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17ACA">
            <w:pPr>
              <w:jc w:val="center"/>
            </w:pPr>
            <w:r>
              <w:rPr>
                <w:rFonts w:ascii="宋体" w:hAnsi="宋体" w:eastAsia="宋体"/>
                <w:sz w:val="16"/>
              </w:rPr>
              <w:t>本年度重点支出项目审计数量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C3075">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86B3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92D7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A7358">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CE9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62318">
            <w:pPr>
              <w:jc w:val="center"/>
            </w:pPr>
            <w:r>
              <w:rPr>
                <w:rFonts w:ascii="宋体" w:hAnsi="宋体" w:eastAsia="宋体"/>
                <w:sz w:val="16"/>
              </w:rPr>
              <w:t>20</w:t>
            </w:r>
          </w:p>
        </w:tc>
      </w:tr>
      <w:tr w14:paraId="5A8989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27D5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2DD3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82358">
            <w:pPr>
              <w:jc w:val="center"/>
            </w:pPr>
            <w:r>
              <w:rPr>
                <w:rFonts w:ascii="宋体" w:hAnsi="宋体" w:eastAsia="宋体"/>
                <w:sz w:val="16"/>
              </w:rPr>
              <w:t>审计项目数量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902C7">
            <w:pPr>
              <w:jc w:val="center"/>
            </w:pPr>
            <w:r>
              <w:rPr>
                <w:rFonts w:ascii="宋体" w:hAnsi="宋体" w:eastAsia="宋体"/>
                <w:sz w:val="16"/>
              </w:rPr>
              <w:t>&gt;=15个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141A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D8E2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0B407">
            <w:pPr>
              <w:jc w:val="center"/>
            </w:pPr>
            <w:r>
              <w:rPr>
                <w:rFonts w:ascii="宋体" w:hAnsi="宋体" w:eastAsia="宋体"/>
                <w:sz w:val="16"/>
              </w:rPr>
              <w:t>=18个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83A6B">
            <w:pPr>
              <w:jc w:val="center"/>
            </w:pPr>
            <w:r>
              <w:rPr>
                <w:rFonts w:ascii="宋体" w:hAnsi="宋体" w:eastAsia="宋体"/>
                <w:sz w:val="16"/>
              </w:rPr>
              <w:t>120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C7B8C">
            <w:pPr>
              <w:jc w:val="center"/>
            </w:pPr>
            <w:r>
              <w:rPr>
                <w:rFonts w:ascii="宋体" w:hAnsi="宋体" w:eastAsia="宋体"/>
                <w:sz w:val="16"/>
              </w:rPr>
              <w:t>20</w:t>
            </w:r>
          </w:p>
        </w:tc>
      </w:tr>
      <w:tr w14:paraId="231BFA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160B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2FC5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8BE7C">
            <w:pPr>
              <w:jc w:val="center"/>
            </w:pPr>
            <w:r>
              <w:rPr>
                <w:rFonts w:ascii="宋体" w:hAnsi="宋体" w:eastAsia="宋体"/>
                <w:sz w:val="16"/>
              </w:rPr>
              <w:t>开展《</w:t>
            </w:r>
            <w:r>
              <w:rPr>
                <w:rFonts w:hint="eastAsia" w:ascii="宋体" w:hAnsi="宋体"/>
                <w:sz w:val="16"/>
                <w:lang w:eastAsia="zh-CN"/>
              </w:rPr>
              <w:t>中华人民共和国审计法</w:t>
            </w:r>
            <w:r>
              <w:rPr>
                <w:rFonts w:ascii="宋体" w:hAnsi="宋体" w:eastAsia="宋体"/>
                <w:sz w:val="16"/>
              </w:rPr>
              <w:t>》宣讲次数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3DD38">
            <w:pPr>
              <w:jc w:val="center"/>
            </w:pPr>
            <w:r>
              <w:rPr>
                <w:rFonts w:ascii="宋体" w:hAnsi="宋体" w:eastAsia="宋体"/>
                <w:sz w:val="16"/>
              </w:rPr>
              <w: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8518D">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56B3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8CC61">
            <w:pPr>
              <w:jc w:val="center"/>
            </w:pPr>
            <w:r>
              <w:rPr>
                <w:rFonts w:ascii="宋体" w:hAnsi="宋体" w:eastAsia="宋体"/>
                <w:sz w:val="16"/>
              </w:rPr>
              <w: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8C0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45CE1">
            <w:pPr>
              <w:jc w:val="center"/>
            </w:pPr>
            <w:r>
              <w:rPr>
                <w:rFonts w:ascii="宋体" w:hAnsi="宋体" w:eastAsia="宋体"/>
                <w:sz w:val="16"/>
              </w:rPr>
              <w:t>20</w:t>
            </w:r>
          </w:p>
        </w:tc>
      </w:tr>
      <w:tr w14:paraId="34BAB5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2FF4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008C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21B97">
            <w:pPr>
              <w:jc w:val="center"/>
            </w:pPr>
            <w:r>
              <w:rPr>
                <w:rFonts w:ascii="宋体" w:hAnsi="宋体" w:eastAsia="宋体"/>
                <w:sz w:val="16"/>
              </w:rPr>
              <w:t>审计业务培训次数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E66C4">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E9D4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4844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49CEC">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3FD1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766CC">
            <w:pPr>
              <w:jc w:val="center"/>
            </w:pPr>
            <w:r>
              <w:rPr>
                <w:rFonts w:ascii="宋体" w:hAnsi="宋体" w:eastAsia="宋体"/>
                <w:sz w:val="16"/>
              </w:rPr>
              <w:t>15</w:t>
            </w:r>
          </w:p>
        </w:tc>
      </w:tr>
      <w:tr w14:paraId="2C2843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B51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ECB6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7E300">
            <w:pPr>
              <w:jc w:val="center"/>
            </w:pPr>
            <w:r>
              <w:rPr>
                <w:rFonts w:ascii="宋体" w:hAnsi="宋体" w:eastAsia="宋体"/>
                <w:sz w:val="16"/>
              </w:rPr>
              <w:t>审计问题整改率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EFE73">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975A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762B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C1206">
            <w:pPr>
              <w:jc w:val="center"/>
            </w:pPr>
            <w:r>
              <w:rPr>
                <w:rFonts w:ascii="宋体" w:hAnsi="宋体" w:eastAsia="宋体"/>
                <w:sz w:val="16"/>
              </w:rPr>
              <w: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65D0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AB8FC">
            <w:pPr>
              <w:jc w:val="center"/>
            </w:pPr>
            <w:r>
              <w:rPr>
                <w:rFonts w:ascii="宋体" w:hAnsi="宋体" w:eastAsia="宋体"/>
                <w:sz w:val="16"/>
              </w:rPr>
              <w:t>15</w:t>
            </w:r>
          </w:p>
        </w:tc>
      </w:tr>
    </w:tbl>
    <w:p w14:paraId="296FEAF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C472DA6">
        <w:tblPrEx>
          <w:tblCellMar>
            <w:top w:w="0" w:type="dxa"/>
            <w:left w:w="108" w:type="dxa"/>
            <w:bottom w:w="0" w:type="dxa"/>
            <w:right w:w="108" w:type="dxa"/>
          </w:tblCellMar>
        </w:tblPrEx>
        <w:tc>
          <w:tcPr>
            <w:tcW w:w="8848" w:type="dxa"/>
            <w:gridSpan w:val="14"/>
            <w:vAlign w:val="center"/>
          </w:tcPr>
          <w:p w14:paraId="052829CC">
            <w:pPr>
              <w:jc w:val="center"/>
            </w:pPr>
            <w:r>
              <w:rPr>
                <w:rFonts w:ascii="宋体" w:hAnsi="宋体" w:eastAsia="宋体"/>
                <w:sz w:val="24"/>
              </w:rPr>
              <w:t>项目支出绩效自评表</w:t>
            </w:r>
          </w:p>
        </w:tc>
      </w:tr>
      <w:tr w14:paraId="4EC0C410">
        <w:tblPrEx>
          <w:tblCellMar>
            <w:top w:w="0" w:type="dxa"/>
            <w:left w:w="108" w:type="dxa"/>
            <w:bottom w:w="0" w:type="dxa"/>
            <w:right w:w="108" w:type="dxa"/>
          </w:tblCellMar>
        </w:tblPrEx>
        <w:tc>
          <w:tcPr>
            <w:tcW w:w="8848" w:type="dxa"/>
            <w:gridSpan w:val="14"/>
            <w:vAlign w:val="center"/>
          </w:tcPr>
          <w:p w14:paraId="57FC0DFD">
            <w:pPr>
              <w:jc w:val="center"/>
            </w:pPr>
            <w:r>
              <w:rPr>
                <w:rFonts w:ascii="宋体" w:hAnsi="宋体" w:eastAsia="宋体"/>
                <w:sz w:val="24"/>
              </w:rPr>
              <w:t>(2024年度)</w:t>
            </w:r>
          </w:p>
        </w:tc>
      </w:tr>
      <w:tr w14:paraId="547B5E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4C7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C1E8AC">
            <w:pPr>
              <w:jc w:val="center"/>
            </w:pPr>
            <w:r>
              <w:rPr>
                <w:rFonts w:ascii="宋体" w:hAnsi="宋体" w:eastAsia="宋体"/>
                <w:sz w:val="16"/>
              </w:rPr>
              <w:t>2024年经济责任和自然资源资产离任审计专项经费项目</w:t>
            </w:r>
          </w:p>
        </w:tc>
      </w:tr>
      <w:tr w14:paraId="1F5C04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19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B3155E">
            <w:pPr>
              <w:jc w:val="center"/>
            </w:pPr>
            <w:r>
              <w:rPr>
                <w:rFonts w:ascii="宋体" w:hAnsi="宋体" w:eastAsia="宋体"/>
                <w:sz w:val="16"/>
              </w:rPr>
              <w:t>英吉沙县审计局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E5A0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C16CE7">
            <w:pPr>
              <w:jc w:val="center"/>
            </w:pPr>
            <w:r>
              <w:rPr>
                <w:rFonts w:ascii="宋体" w:hAnsi="宋体" w:eastAsia="宋体"/>
                <w:sz w:val="16"/>
              </w:rPr>
              <w:t>英吉沙县审计局</w:t>
            </w:r>
          </w:p>
        </w:tc>
      </w:tr>
      <w:tr w14:paraId="59FA97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C7D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EA4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8C4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0A7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ACF3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21F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9EE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0843">
            <w:pPr>
              <w:jc w:val="center"/>
            </w:pPr>
            <w:r>
              <w:rPr>
                <w:rFonts w:ascii="宋体" w:hAnsi="宋体" w:eastAsia="宋体"/>
                <w:sz w:val="16"/>
              </w:rPr>
              <w:t>得分</w:t>
            </w:r>
          </w:p>
        </w:tc>
      </w:tr>
      <w:tr w14:paraId="36C406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28D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00A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9EEA8">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CB113">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44076">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FA8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3379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624F">
            <w:pPr>
              <w:jc w:val="center"/>
            </w:pPr>
            <w:r>
              <w:rPr>
                <w:rFonts w:ascii="宋体" w:hAnsi="宋体" w:eastAsia="宋体"/>
                <w:sz w:val="16"/>
              </w:rPr>
              <w:t>10.00分</w:t>
            </w:r>
          </w:p>
        </w:tc>
      </w:tr>
      <w:tr w14:paraId="13A95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4A2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253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8C40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2A2B2">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4393B">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E55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FEA7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9DA9">
            <w:pPr>
              <w:jc w:val="center"/>
            </w:pPr>
            <w:r>
              <w:rPr>
                <w:rFonts w:ascii="宋体" w:hAnsi="宋体" w:eastAsia="宋体"/>
                <w:sz w:val="16"/>
              </w:rPr>
              <w:t>—</w:t>
            </w:r>
          </w:p>
        </w:tc>
      </w:tr>
      <w:tr w14:paraId="063D7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F5D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C7C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F9E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42E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A31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C4A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9826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D4ED">
            <w:pPr>
              <w:jc w:val="center"/>
            </w:pPr>
            <w:r>
              <w:rPr>
                <w:rFonts w:ascii="宋体" w:hAnsi="宋体" w:eastAsia="宋体"/>
                <w:sz w:val="16"/>
              </w:rPr>
              <w:t>—</w:t>
            </w:r>
          </w:p>
        </w:tc>
      </w:tr>
      <w:tr w14:paraId="3A97CA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139C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E001E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63CB07">
            <w:pPr>
              <w:jc w:val="center"/>
            </w:pPr>
            <w:r>
              <w:rPr>
                <w:rFonts w:ascii="宋体" w:hAnsi="宋体" w:eastAsia="宋体"/>
                <w:sz w:val="16"/>
              </w:rPr>
              <w:t>实际完成情况</w:t>
            </w:r>
          </w:p>
        </w:tc>
      </w:tr>
      <w:tr w14:paraId="53C801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BFAF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9EE76C">
            <w:pPr>
              <w:jc w:val="both"/>
            </w:pPr>
            <w:r>
              <w:rPr>
                <w:rFonts w:ascii="宋体" w:hAnsi="宋体" w:eastAsia="宋体"/>
                <w:sz w:val="16"/>
              </w:rPr>
              <w:t>该项目计划投入总资金1万元,项目涉及乡村振兴专项审计项目1个，审计项目成本，该项目的实施有利于提高脱贫人口生活的幸福感和安全感，使受益企业满意度达到95%。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3CE1C9">
            <w:pPr>
              <w:jc w:val="both"/>
            </w:pPr>
            <w:r>
              <w:rPr>
                <w:rFonts w:hint="eastAsia" w:ascii="宋体" w:hAnsi="宋体"/>
                <w:sz w:val="16"/>
                <w:lang w:eastAsia="zh-CN"/>
              </w:rPr>
              <w:t>截至2024</w:t>
            </w:r>
            <w:r>
              <w:rPr>
                <w:rFonts w:ascii="宋体" w:hAnsi="宋体" w:eastAsia="宋体"/>
                <w:sz w:val="16"/>
              </w:rPr>
              <w:t>年5月31日，该项目总资金1万元，执行资金1万元，执行率100%，项目用于开展经济责任和自然资源资产离任审计购买台式电脑2台，操作系统软件3套，通过项目的实施有利于提高脱贫人口生活的幸福感和安全感。</w:t>
            </w:r>
          </w:p>
        </w:tc>
      </w:tr>
      <w:tr w14:paraId="2B10E0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43C4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658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D29E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BC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F2E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0D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E5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20A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A20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388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9263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5F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B5926">
            <w:pPr>
              <w:jc w:val="center"/>
            </w:pPr>
            <w:r>
              <w:rPr>
                <w:rFonts w:ascii="宋体" w:hAnsi="宋体" w:eastAsia="宋体"/>
                <w:sz w:val="16"/>
              </w:rPr>
              <w:t>偏差原因分析及改进措施</w:t>
            </w:r>
          </w:p>
        </w:tc>
      </w:tr>
      <w:tr w14:paraId="2FCFB4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139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4AB73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3423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8478">
            <w:pPr>
              <w:jc w:val="center"/>
            </w:pPr>
            <w:r>
              <w:rPr>
                <w:rFonts w:ascii="宋体" w:hAnsi="宋体" w:eastAsia="宋体"/>
                <w:sz w:val="16"/>
              </w:rPr>
              <w:t>乡村振兴专项审计项目数量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3665">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D54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F78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31E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AA1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182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4CA6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AA6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78392">
            <w:pPr>
              <w:jc w:val="center"/>
            </w:pPr>
          </w:p>
        </w:tc>
      </w:tr>
      <w:tr w14:paraId="29735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FB2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2D8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2F7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C627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0D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00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447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04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D3F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B9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9A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61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E84AF">
            <w:pPr>
              <w:jc w:val="center"/>
            </w:pPr>
          </w:p>
        </w:tc>
      </w:tr>
      <w:tr w14:paraId="26B51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A0B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AAB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5EFF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D0B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31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F2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511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506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1FB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4FC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B30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0C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37801">
            <w:pPr>
              <w:jc w:val="center"/>
            </w:pPr>
          </w:p>
        </w:tc>
      </w:tr>
      <w:tr w14:paraId="56C09A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3E6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E9E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368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F0F6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9191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D6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A2D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60A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B25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955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6CF7F">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C3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E97D1">
            <w:pPr>
              <w:jc w:val="center"/>
            </w:pPr>
          </w:p>
        </w:tc>
      </w:tr>
      <w:tr w14:paraId="61BA9E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3A3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44B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3F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BF251">
            <w:pPr>
              <w:jc w:val="center"/>
            </w:pPr>
            <w:r>
              <w:rPr>
                <w:rFonts w:ascii="宋体" w:hAnsi="宋体" w:eastAsia="宋体"/>
                <w:sz w:val="16"/>
              </w:rPr>
              <w:t>审计项目成本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EDC8">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2B3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B8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18F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864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680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75461">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7214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8D6B2">
            <w:pPr>
              <w:jc w:val="center"/>
            </w:pPr>
          </w:p>
        </w:tc>
      </w:tr>
      <w:tr w14:paraId="08E9C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2C5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8D9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E4D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D002">
            <w:pPr>
              <w:jc w:val="center"/>
            </w:pPr>
            <w:r>
              <w:rPr>
                <w:rFonts w:ascii="宋体" w:hAnsi="宋体" w:eastAsia="宋体"/>
                <w:sz w:val="16"/>
              </w:rPr>
              <w:t>提高脱贫人口生活的幸福感和安全感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06DC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942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DA9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15A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BB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54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CE5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A18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6A76B">
            <w:pPr>
              <w:jc w:val="center"/>
            </w:pPr>
          </w:p>
        </w:tc>
      </w:tr>
      <w:tr w14:paraId="76FEC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17E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82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820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4BBF8">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7BE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F8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EE8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0E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97E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134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9DE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00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3C4BF">
            <w:pPr>
              <w:jc w:val="center"/>
            </w:pPr>
          </w:p>
        </w:tc>
      </w:tr>
      <w:tr w14:paraId="5608A96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99427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9970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E40F9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EA2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3971BC"/>
        </w:tc>
      </w:tr>
    </w:tbl>
    <w:p w14:paraId="249D579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CBB984A">
        <w:tblPrEx>
          <w:tblCellMar>
            <w:top w:w="0" w:type="dxa"/>
            <w:left w:w="108" w:type="dxa"/>
            <w:bottom w:w="0" w:type="dxa"/>
            <w:right w:w="108" w:type="dxa"/>
          </w:tblCellMar>
        </w:tblPrEx>
        <w:tc>
          <w:tcPr>
            <w:tcW w:w="8848" w:type="dxa"/>
            <w:gridSpan w:val="14"/>
            <w:vAlign w:val="center"/>
          </w:tcPr>
          <w:p w14:paraId="20F811E7">
            <w:pPr>
              <w:jc w:val="center"/>
            </w:pPr>
            <w:r>
              <w:rPr>
                <w:rFonts w:ascii="宋体" w:hAnsi="宋体" w:eastAsia="宋体"/>
                <w:sz w:val="24"/>
              </w:rPr>
              <w:t>项目支出绩效自评表</w:t>
            </w:r>
          </w:p>
        </w:tc>
      </w:tr>
      <w:tr w14:paraId="0697221D">
        <w:tblPrEx>
          <w:tblCellMar>
            <w:top w:w="0" w:type="dxa"/>
            <w:left w:w="108" w:type="dxa"/>
            <w:bottom w:w="0" w:type="dxa"/>
            <w:right w:w="108" w:type="dxa"/>
          </w:tblCellMar>
        </w:tblPrEx>
        <w:tc>
          <w:tcPr>
            <w:tcW w:w="8848" w:type="dxa"/>
            <w:gridSpan w:val="14"/>
            <w:vAlign w:val="center"/>
          </w:tcPr>
          <w:p w14:paraId="2AA42D7A">
            <w:pPr>
              <w:jc w:val="center"/>
            </w:pPr>
            <w:r>
              <w:rPr>
                <w:rFonts w:ascii="宋体" w:hAnsi="宋体" w:eastAsia="宋体"/>
                <w:sz w:val="24"/>
              </w:rPr>
              <w:t>(2024年度)</w:t>
            </w:r>
          </w:p>
        </w:tc>
      </w:tr>
      <w:tr w14:paraId="54AB61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C8F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D901CF">
            <w:pPr>
              <w:jc w:val="center"/>
            </w:pPr>
            <w:r>
              <w:rPr>
                <w:rFonts w:ascii="宋体" w:hAnsi="宋体" w:eastAsia="宋体"/>
                <w:sz w:val="16"/>
              </w:rPr>
              <w:t>英吉沙县审计局乡村振兴审计经费项目</w:t>
            </w:r>
          </w:p>
        </w:tc>
      </w:tr>
      <w:tr w14:paraId="6BF710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0D9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5470DA">
            <w:pPr>
              <w:jc w:val="center"/>
            </w:pPr>
            <w:r>
              <w:rPr>
                <w:rFonts w:ascii="宋体" w:hAnsi="宋体" w:eastAsia="宋体"/>
                <w:sz w:val="16"/>
              </w:rPr>
              <w:t>英吉沙县审计局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025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56419D">
            <w:pPr>
              <w:jc w:val="center"/>
            </w:pPr>
            <w:r>
              <w:rPr>
                <w:rFonts w:ascii="宋体" w:hAnsi="宋体" w:eastAsia="宋体"/>
                <w:sz w:val="16"/>
              </w:rPr>
              <w:t>英吉沙县审计局</w:t>
            </w:r>
          </w:p>
        </w:tc>
      </w:tr>
      <w:tr w14:paraId="0E5C06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025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C21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D63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419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8945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862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157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4B7B">
            <w:pPr>
              <w:jc w:val="center"/>
            </w:pPr>
            <w:r>
              <w:rPr>
                <w:rFonts w:ascii="宋体" w:hAnsi="宋体" w:eastAsia="宋体"/>
                <w:sz w:val="16"/>
              </w:rPr>
              <w:t>得分</w:t>
            </w:r>
          </w:p>
        </w:tc>
      </w:tr>
      <w:tr w14:paraId="26F7CC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D39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711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B6934">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C5F47">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41830">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25E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9B44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E483B">
            <w:pPr>
              <w:jc w:val="center"/>
            </w:pPr>
            <w:r>
              <w:rPr>
                <w:rFonts w:ascii="宋体" w:hAnsi="宋体" w:eastAsia="宋体"/>
                <w:sz w:val="16"/>
              </w:rPr>
              <w:t>10.00分</w:t>
            </w:r>
          </w:p>
        </w:tc>
      </w:tr>
      <w:tr w14:paraId="567D4F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CAC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11AB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94E10">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E5822">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4A48A">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D3D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FBE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AF5F">
            <w:pPr>
              <w:jc w:val="center"/>
            </w:pPr>
            <w:r>
              <w:rPr>
                <w:rFonts w:ascii="宋体" w:hAnsi="宋体" w:eastAsia="宋体"/>
                <w:sz w:val="16"/>
              </w:rPr>
              <w:t>—</w:t>
            </w:r>
          </w:p>
        </w:tc>
      </w:tr>
      <w:tr w14:paraId="39F2D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689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7439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F3C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4FB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E64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7DE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3D3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C430">
            <w:pPr>
              <w:jc w:val="center"/>
            </w:pPr>
            <w:r>
              <w:rPr>
                <w:rFonts w:ascii="宋体" w:hAnsi="宋体" w:eastAsia="宋体"/>
                <w:sz w:val="16"/>
              </w:rPr>
              <w:t>—</w:t>
            </w:r>
          </w:p>
        </w:tc>
      </w:tr>
      <w:tr w14:paraId="494411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2049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4F655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7BEA01">
            <w:pPr>
              <w:jc w:val="center"/>
            </w:pPr>
            <w:r>
              <w:rPr>
                <w:rFonts w:ascii="宋体" w:hAnsi="宋体" w:eastAsia="宋体"/>
                <w:sz w:val="16"/>
              </w:rPr>
              <w:t>实际完成情况</w:t>
            </w:r>
          </w:p>
        </w:tc>
      </w:tr>
      <w:tr w14:paraId="3477A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DEA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C0EAF0">
            <w:pPr>
              <w:jc w:val="both"/>
            </w:pPr>
            <w:r>
              <w:rPr>
                <w:rFonts w:ascii="宋体" w:hAnsi="宋体" w:eastAsia="宋体"/>
                <w:sz w:val="16"/>
              </w:rPr>
              <w:t>该项目计划投入总资金9万元，用于支付7个乡村振兴专项审计项目，审计项目平均成本1.29万元/个，乡村振兴审计可以促进农村社会和谐发展，维护农村群众的根本利益，增强人民群众的获得感和幸福感。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E31EA7">
            <w:pPr>
              <w:jc w:val="both"/>
            </w:pPr>
            <w:r>
              <w:rPr>
                <w:rFonts w:ascii="宋体" w:hAnsi="宋体" w:eastAsia="宋体"/>
                <w:sz w:val="16"/>
              </w:rPr>
              <w:t>截至目前，项目执行资金9万元，完成了乡村振兴专项审计项目数共计7个，包括：英吉沙县2024年帮扶产业项目政策措施落实和资金审计，2024年粮食产能提升政策措施落实和资金审计，4名干部去喀什地区审计局整理2019年-2022年交叉审计档案（乡村振兴审计）通过开展，乡村振兴审计可以促进农村社会和谐发展，维护农村群众的根本利益，增强人民群众的获得感和幸福感。</w:t>
            </w:r>
          </w:p>
        </w:tc>
      </w:tr>
      <w:tr w14:paraId="7B172F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8C35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19F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5B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75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1FC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7A6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71F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4C7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983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6C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7E7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730E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810BF">
            <w:pPr>
              <w:jc w:val="center"/>
            </w:pPr>
            <w:r>
              <w:rPr>
                <w:rFonts w:ascii="宋体" w:hAnsi="宋体" w:eastAsia="宋体"/>
                <w:sz w:val="16"/>
              </w:rPr>
              <w:t>偏差原因分析及改进措施</w:t>
            </w:r>
          </w:p>
        </w:tc>
      </w:tr>
      <w:tr w14:paraId="2DC16D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65C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72E8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E89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0BE66">
            <w:pPr>
              <w:jc w:val="center"/>
            </w:pPr>
            <w:r>
              <w:rPr>
                <w:rFonts w:ascii="宋体" w:hAnsi="宋体" w:eastAsia="宋体"/>
                <w:sz w:val="16"/>
              </w:rPr>
              <w:t>乡村振兴专项审计项目数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47E90">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38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B34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072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9F4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3A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D72D">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266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74612">
            <w:pPr>
              <w:jc w:val="center"/>
            </w:pPr>
          </w:p>
        </w:tc>
      </w:tr>
      <w:tr w14:paraId="18DB28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595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8E6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FB2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5BC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724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269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1F2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30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237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46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AF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71C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C1895">
            <w:pPr>
              <w:jc w:val="center"/>
            </w:pPr>
          </w:p>
        </w:tc>
      </w:tr>
      <w:tr w14:paraId="65993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E15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B61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15C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109C9">
            <w:pPr>
              <w:jc w:val="center"/>
            </w:pPr>
            <w:r>
              <w:rPr>
                <w:rFonts w:ascii="宋体" w:hAnsi="宋体" w:eastAsia="宋体"/>
                <w:sz w:val="16"/>
              </w:rPr>
              <w:t>审计项目按时间完成率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3C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55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5FA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2D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6F3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534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D8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0D66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640A2">
            <w:pPr>
              <w:jc w:val="center"/>
            </w:pPr>
          </w:p>
        </w:tc>
      </w:tr>
      <w:tr w14:paraId="1FEFA3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0E0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80F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CEB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3D2D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FC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126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C1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85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73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35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FDA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676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AC3D7">
            <w:pPr>
              <w:jc w:val="center"/>
            </w:pPr>
          </w:p>
        </w:tc>
      </w:tr>
      <w:tr w14:paraId="74A6D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F93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CA3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D6E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80AC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F49E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B3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C6D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FFE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51B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7E1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1806">
            <w:pPr>
              <w:jc w:val="center"/>
            </w:pPr>
            <w:r>
              <w:rPr>
                <w:rFonts w:ascii="宋体" w:hAnsi="宋体" w:eastAsia="宋体"/>
                <w:sz w:val="16"/>
              </w:rPr>
              <w:t>=2024年8月31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A58B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41F63">
            <w:pPr>
              <w:jc w:val="center"/>
            </w:pPr>
          </w:p>
        </w:tc>
      </w:tr>
      <w:tr w14:paraId="115F15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B2C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E44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90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9CC0">
            <w:pPr>
              <w:jc w:val="center"/>
            </w:pPr>
            <w:r>
              <w:rPr>
                <w:rFonts w:ascii="宋体" w:hAnsi="宋体" w:eastAsia="宋体"/>
                <w:sz w:val="16"/>
              </w:rPr>
              <w:t>审计项目平均成本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337D">
            <w:pPr>
              <w:jc w:val="center"/>
            </w:pPr>
            <w:r>
              <w:rPr>
                <w:rFonts w:ascii="宋体" w:hAnsi="宋体" w:eastAsia="宋体"/>
                <w:sz w:val="16"/>
              </w:rPr>
              <w:t>&lt;=1.29万元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16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C6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2D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2EE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7B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DE47">
            <w:pPr>
              <w:jc w:val="center"/>
            </w:pPr>
            <w:r>
              <w:rPr>
                <w:rFonts w:ascii="宋体" w:hAnsi="宋体" w:eastAsia="宋体"/>
                <w:sz w:val="16"/>
              </w:rPr>
              <w: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512D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C43F9">
            <w:pPr>
              <w:jc w:val="center"/>
            </w:pPr>
          </w:p>
        </w:tc>
      </w:tr>
      <w:tr w14:paraId="13F6C9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34C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1260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580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B7121">
            <w:pPr>
              <w:jc w:val="center"/>
            </w:pPr>
            <w:r>
              <w:rPr>
                <w:rFonts w:ascii="宋体" w:hAnsi="宋体" w:eastAsia="宋体"/>
                <w:sz w:val="16"/>
              </w:rPr>
              <w:t>保障单位正常运转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409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DA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C69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5A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F08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1A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E15A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D518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2C19B">
            <w:pPr>
              <w:jc w:val="center"/>
            </w:pPr>
          </w:p>
        </w:tc>
      </w:tr>
      <w:tr w14:paraId="598B1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519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B7E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113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5C84">
            <w:pPr>
              <w:jc w:val="center"/>
            </w:pPr>
            <w:r>
              <w:rPr>
                <w:rFonts w:ascii="宋体" w:hAnsi="宋体" w:eastAsia="宋体"/>
                <w:sz w:val="16"/>
              </w:rPr>
              <w:t>受益农村群众受益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110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5A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7A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B4B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D7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B5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892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BF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32A85">
            <w:pPr>
              <w:jc w:val="center"/>
            </w:pPr>
          </w:p>
        </w:tc>
      </w:tr>
      <w:tr w14:paraId="372C236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233B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CD9D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0C95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F5F8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E4FA95"/>
        </w:tc>
      </w:tr>
    </w:tbl>
    <w:p w14:paraId="64E5C98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8F54328">
        <w:tblPrEx>
          <w:tblCellMar>
            <w:top w:w="0" w:type="dxa"/>
            <w:left w:w="108" w:type="dxa"/>
            <w:bottom w:w="0" w:type="dxa"/>
            <w:right w:w="108" w:type="dxa"/>
          </w:tblCellMar>
        </w:tblPrEx>
        <w:tc>
          <w:tcPr>
            <w:tcW w:w="8848" w:type="dxa"/>
            <w:gridSpan w:val="14"/>
            <w:vAlign w:val="center"/>
          </w:tcPr>
          <w:p w14:paraId="708733D8">
            <w:pPr>
              <w:jc w:val="center"/>
            </w:pPr>
            <w:r>
              <w:rPr>
                <w:rFonts w:ascii="宋体" w:hAnsi="宋体" w:eastAsia="宋体"/>
                <w:sz w:val="24"/>
              </w:rPr>
              <w:t>项目支出绩效自评表</w:t>
            </w:r>
          </w:p>
        </w:tc>
      </w:tr>
      <w:tr w14:paraId="2A7631D1">
        <w:tblPrEx>
          <w:tblCellMar>
            <w:top w:w="0" w:type="dxa"/>
            <w:left w:w="108" w:type="dxa"/>
            <w:bottom w:w="0" w:type="dxa"/>
            <w:right w:w="108" w:type="dxa"/>
          </w:tblCellMar>
        </w:tblPrEx>
        <w:tc>
          <w:tcPr>
            <w:tcW w:w="8848" w:type="dxa"/>
            <w:gridSpan w:val="14"/>
            <w:vAlign w:val="center"/>
          </w:tcPr>
          <w:p w14:paraId="5DA6CD28">
            <w:pPr>
              <w:jc w:val="center"/>
            </w:pPr>
            <w:r>
              <w:rPr>
                <w:rFonts w:ascii="宋体" w:hAnsi="宋体" w:eastAsia="宋体"/>
                <w:sz w:val="24"/>
              </w:rPr>
              <w:t>(2024年度)</w:t>
            </w:r>
          </w:p>
        </w:tc>
      </w:tr>
      <w:tr w14:paraId="3B66BF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042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C4F632">
            <w:pPr>
              <w:jc w:val="center"/>
            </w:pPr>
            <w:r>
              <w:rPr>
                <w:rFonts w:ascii="宋体" w:hAnsi="宋体" w:eastAsia="宋体"/>
                <w:sz w:val="16"/>
              </w:rPr>
              <w:t>英吉沙县审计局固定资产投资竣工结算审计委托服务费项目</w:t>
            </w:r>
          </w:p>
        </w:tc>
      </w:tr>
      <w:tr w14:paraId="400317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F86A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3E15AB">
            <w:pPr>
              <w:jc w:val="center"/>
            </w:pPr>
            <w:r>
              <w:rPr>
                <w:rFonts w:ascii="宋体" w:hAnsi="宋体" w:eastAsia="宋体"/>
                <w:sz w:val="16"/>
              </w:rPr>
              <w:t>英吉沙县审计局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926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AA3F70">
            <w:pPr>
              <w:jc w:val="center"/>
            </w:pPr>
            <w:r>
              <w:rPr>
                <w:rFonts w:ascii="宋体" w:hAnsi="宋体" w:eastAsia="宋体"/>
                <w:sz w:val="16"/>
              </w:rPr>
              <w:t>英吉沙县审计局</w:t>
            </w:r>
          </w:p>
        </w:tc>
      </w:tr>
      <w:tr w14:paraId="203A2D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B077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3F3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93FA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7C2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F59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24D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333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5F311">
            <w:pPr>
              <w:jc w:val="center"/>
            </w:pPr>
            <w:r>
              <w:rPr>
                <w:rFonts w:ascii="宋体" w:hAnsi="宋体" w:eastAsia="宋体"/>
                <w:sz w:val="16"/>
              </w:rPr>
              <w:t>得分</w:t>
            </w:r>
          </w:p>
        </w:tc>
      </w:tr>
      <w:tr w14:paraId="0E084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CA2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A9B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D8F1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AAC3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817F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638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BC9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00448">
            <w:pPr>
              <w:jc w:val="center"/>
            </w:pPr>
            <w:r>
              <w:rPr>
                <w:rFonts w:ascii="宋体" w:hAnsi="宋体" w:eastAsia="宋体"/>
                <w:sz w:val="16"/>
              </w:rPr>
              <w:t>10.00分</w:t>
            </w:r>
          </w:p>
        </w:tc>
      </w:tr>
      <w:tr w14:paraId="082C7C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68C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DA94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AD13F">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20DC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FA0D2">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60C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FD99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29D92">
            <w:pPr>
              <w:jc w:val="center"/>
            </w:pPr>
            <w:r>
              <w:rPr>
                <w:rFonts w:ascii="宋体" w:hAnsi="宋体" w:eastAsia="宋体"/>
                <w:sz w:val="16"/>
              </w:rPr>
              <w:t>—</w:t>
            </w:r>
          </w:p>
        </w:tc>
      </w:tr>
      <w:tr w14:paraId="31303A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A28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4B6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3AC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1C4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496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255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F16A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A39C5">
            <w:pPr>
              <w:jc w:val="center"/>
            </w:pPr>
            <w:r>
              <w:rPr>
                <w:rFonts w:ascii="宋体" w:hAnsi="宋体" w:eastAsia="宋体"/>
                <w:sz w:val="16"/>
              </w:rPr>
              <w:t>—</w:t>
            </w:r>
          </w:p>
        </w:tc>
      </w:tr>
      <w:tr w14:paraId="455683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73AF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7D26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D37781">
            <w:pPr>
              <w:jc w:val="center"/>
            </w:pPr>
            <w:r>
              <w:rPr>
                <w:rFonts w:ascii="宋体" w:hAnsi="宋体" w:eastAsia="宋体"/>
                <w:sz w:val="16"/>
              </w:rPr>
              <w:t>实际完成情况</w:t>
            </w:r>
          </w:p>
        </w:tc>
      </w:tr>
      <w:tr w14:paraId="04A89F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0F5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1F999E">
            <w:pPr>
              <w:jc w:val="both"/>
            </w:pPr>
            <w:r>
              <w:rPr>
                <w:rFonts w:ascii="宋体" w:hAnsi="宋体" w:eastAsia="宋体"/>
                <w:sz w:val="16"/>
              </w:rPr>
              <w:t>该项目计划投入资金100万元。用于支付2021年25个项目固定资产委托审计服务费用，促进被审计单位遵守国家的法律、法规、规章和制度，有利于提高社会公共服务能力。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935B88">
            <w:pPr>
              <w:jc w:val="both"/>
            </w:pPr>
            <w:r>
              <w:rPr>
                <w:rFonts w:ascii="宋体" w:hAnsi="宋体" w:eastAsia="宋体"/>
                <w:sz w:val="16"/>
              </w:rPr>
              <w:t>该项目总投资100万元，执行资金100万元，执行率100%，项目资金用于支付18个项目固定资产投资项目委托审计服务费，其中：2019年出报告的两个项目，2022年出报告的9个项目，2023年出报告的7个项目，预算资金拨付有完整的审批程序和手续，符合项目复合和合同规定的用途，不存在截留、挤占、挪用等情况。</w:t>
            </w:r>
          </w:p>
        </w:tc>
      </w:tr>
      <w:tr w14:paraId="4BC37F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CC47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A6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75F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513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6CEF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68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5DE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D5FE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BE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CD5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CB9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C5AF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E0B72">
            <w:pPr>
              <w:jc w:val="center"/>
            </w:pPr>
            <w:r>
              <w:rPr>
                <w:rFonts w:ascii="宋体" w:hAnsi="宋体" w:eastAsia="宋体"/>
                <w:sz w:val="16"/>
              </w:rPr>
              <w:t>偏差原因分析及改进措施</w:t>
            </w:r>
          </w:p>
        </w:tc>
      </w:tr>
      <w:tr w14:paraId="1A07E9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F11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1361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816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29A7E">
            <w:pPr>
              <w:jc w:val="center"/>
            </w:pPr>
            <w:r>
              <w:rPr>
                <w:rFonts w:ascii="宋体" w:hAnsi="宋体" w:eastAsia="宋体"/>
                <w:sz w:val="16"/>
              </w:rPr>
              <w:t>支付审计委托服务费项目数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4791">
            <w:pPr>
              <w:jc w:val="center"/>
            </w:pPr>
            <w:r>
              <w:rPr>
                <w:rFonts w:ascii="宋体" w:hAnsi="宋体" w:eastAsia="宋体"/>
                <w:sz w:val="16"/>
              </w:rPr>
              <w:t>&gt;=25个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F02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1B3CE">
            <w:pPr>
              <w:jc w:val="center"/>
            </w:pPr>
            <w:r>
              <w:rPr>
                <w:rFonts w:ascii="宋体" w:hAnsi="宋体" w:eastAsia="宋体"/>
                <w:sz w:val="16"/>
              </w:rPr>
              <w:t>37个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98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06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C4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4D706">
            <w:pPr>
              <w:jc w:val="center"/>
            </w:pPr>
            <w:r>
              <w:rPr>
                <w:rFonts w:ascii="宋体" w:hAnsi="宋体" w:eastAsia="宋体"/>
                <w:sz w:val="16"/>
              </w:rPr>
              <w:t>=25个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964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BACF8">
            <w:pPr>
              <w:jc w:val="center"/>
            </w:pPr>
            <w:r>
              <w:rPr>
                <w:rFonts w:ascii="宋体" w:hAnsi="宋体" w:eastAsia="宋体"/>
                <w:sz w:val="16"/>
              </w:rPr>
              <w:t>偏差原因：支付审计委托服务费项目数实际完成值为18个，指标完成率未达100%。改进措施：以后年度根据指标实际情况设置预期指标，及时调整项目绩效。</w:t>
            </w:r>
          </w:p>
        </w:tc>
      </w:tr>
      <w:tr w14:paraId="2FC78F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467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63B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27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9A1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8F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AAC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981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60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93E4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6D2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56F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ED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0FDD4">
            <w:pPr>
              <w:jc w:val="center"/>
            </w:pPr>
          </w:p>
        </w:tc>
      </w:tr>
      <w:tr w14:paraId="6D2F54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BC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C61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AF2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1D7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89FC2">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443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C6A6D">
            <w:pPr>
              <w:jc w:val="center"/>
            </w:pPr>
            <w:r>
              <w:rPr>
                <w:rFonts w:ascii="宋体" w:hAnsi="宋体" w:eastAsia="宋体"/>
                <w:sz w:val="16"/>
              </w:rPr>
              <w:t>2023年12月24日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0F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EF4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6D0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3456">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4F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0B229">
            <w:pPr>
              <w:jc w:val="center"/>
            </w:pPr>
          </w:p>
        </w:tc>
      </w:tr>
      <w:tr w14:paraId="44B62A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71E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D96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230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D69D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CAA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ED5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D0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4A6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B4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D0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2B4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58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0685C">
            <w:pPr>
              <w:jc w:val="center"/>
            </w:pPr>
          </w:p>
        </w:tc>
      </w:tr>
      <w:tr w14:paraId="4A01C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B27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716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815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4A6B1">
            <w:pPr>
              <w:jc w:val="center"/>
            </w:pPr>
            <w:r>
              <w:rPr>
                <w:rFonts w:ascii="宋体" w:hAnsi="宋体" w:eastAsia="宋体"/>
                <w:sz w:val="16"/>
              </w:rPr>
              <w:t>每个审计委托服务费均成本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E9A0">
            <w:pPr>
              <w:jc w:val="center"/>
            </w:pPr>
            <w:r>
              <w:rPr>
                <w:rFonts w:ascii="宋体" w:hAnsi="宋体" w:eastAsia="宋体"/>
                <w:sz w:val="16"/>
              </w:rPr>
              <w:t>&lt;=4万元/个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FAF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B1525">
            <w:pPr>
              <w:jc w:val="center"/>
            </w:pPr>
            <w:r>
              <w:rPr>
                <w:rFonts w:ascii="宋体" w:hAnsi="宋体" w:eastAsia="宋体"/>
                <w:sz w:val="16"/>
              </w:rPr>
              <w:t>3.56万元/个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7A0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98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82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68264">
            <w:pPr>
              <w:jc w:val="center"/>
            </w:pPr>
            <w:r>
              <w:rPr>
                <w:rFonts w:ascii="宋体" w:hAnsi="宋体" w:eastAsia="宋体"/>
                <w:sz w:val="16"/>
              </w:rPr>
              <w:t>=4万元/个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DD99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84119">
            <w:pPr>
              <w:jc w:val="center"/>
            </w:pPr>
            <w:r>
              <w:rPr>
                <w:rFonts w:ascii="宋体" w:hAnsi="宋体" w:eastAsia="宋体"/>
                <w:sz w:val="16"/>
              </w:rPr>
              <w:t>偏差原因：支付审计委托服务费项目数实际完成值为18个，指标完成率未达100%。改进措施：以后年度根据指标实际情况设置预期指标，及时调整项目绩效。</w:t>
            </w:r>
          </w:p>
        </w:tc>
      </w:tr>
      <w:tr w14:paraId="55B5B5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746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FCEA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F0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F6A6">
            <w:pPr>
              <w:jc w:val="center"/>
            </w:pPr>
            <w:r>
              <w:rPr>
                <w:rFonts w:ascii="宋体" w:hAnsi="宋体" w:eastAsia="宋体"/>
                <w:sz w:val="16"/>
              </w:rPr>
              <w:t>提高社会公共服务能力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9B9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B3B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DEB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2A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F4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8798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891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FC0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5FD41">
            <w:pPr>
              <w:jc w:val="center"/>
            </w:pPr>
          </w:p>
        </w:tc>
      </w:tr>
      <w:tr w14:paraId="25DC87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0AC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A7D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D1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1A56">
            <w:pPr>
              <w:jc w:val="center"/>
            </w:pPr>
            <w:r>
              <w:rPr>
                <w:rFonts w:ascii="宋体" w:hAnsi="宋体" w:eastAsia="宋体"/>
                <w:sz w:val="16"/>
              </w:rPr>
              <w:t>受益还款企业满意度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DA8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C9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94E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894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9BB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14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679C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F6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A8DB8">
            <w:pPr>
              <w:jc w:val="center"/>
            </w:pPr>
          </w:p>
        </w:tc>
      </w:tr>
      <w:tr w14:paraId="27194F0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2BFAD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CBC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5355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CFAB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B43FF3"/>
        </w:tc>
      </w:tr>
    </w:tbl>
    <w:p w14:paraId="7F25F2AC">
      <w:r>
        <w:br w:type="page"/>
      </w:r>
    </w:p>
    <w:p w14:paraId="6ACBFFD2">
      <w:pPr>
        <w:spacing w:line="640" w:lineRule="exact"/>
        <w:ind w:firstLine="640"/>
        <w:jc w:val="both"/>
        <w:outlineLvl w:val="2"/>
      </w:pPr>
      <w:r>
        <w:rPr>
          <w:rFonts w:ascii="黑体" w:hAnsi="黑体" w:eastAsia="黑体"/>
          <w:sz w:val="32"/>
        </w:rPr>
        <w:t>十二、其他需说明的事项</w:t>
      </w:r>
    </w:p>
    <w:p w14:paraId="15F5D9A0">
      <w:pPr>
        <w:spacing w:line="580" w:lineRule="exact"/>
        <w:ind w:firstLine="640"/>
        <w:jc w:val="both"/>
      </w:pPr>
      <w:r>
        <w:rPr>
          <w:rFonts w:ascii="仿宋_GB2312" w:hAnsi="仿宋_GB2312" w:eastAsia="仿宋_GB2312"/>
          <w:b w:val="0"/>
          <w:sz w:val="32"/>
        </w:rPr>
        <w:t>本单位无其他需说明的事项。</w:t>
      </w:r>
    </w:p>
    <w:p w14:paraId="2A77398D">
      <w:r>
        <w:br w:type="page"/>
      </w:r>
    </w:p>
    <w:p w14:paraId="6D10688C">
      <w:pPr>
        <w:spacing w:line="240" w:lineRule="auto"/>
        <w:jc w:val="center"/>
        <w:outlineLvl w:val="1"/>
      </w:pPr>
      <w:r>
        <w:rPr>
          <w:rFonts w:ascii="黑体" w:hAnsi="黑体" w:eastAsia="黑体"/>
          <w:sz w:val="32"/>
        </w:rPr>
        <w:t>第三部分 专业名词解释</w:t>
      </w:r>
    </w:p>
    <w:p w14:paraId="2F702DD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C796B5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BAD522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353243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621E35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97F532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F8D9B0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287F57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C8788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123945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8CCB0F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5D0C1D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BA20FE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4FB1D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D7BFEB6">
      <w:r>
        <w:br w:type="page"/>
      </w:r>
    </w:p>
    <w:p w14:paraId="2C0C8400">
      <w:pPr>
        <w:spacing w:line="240" w:lineRule="auto"/>
        <w:jc w:val="center"/>
        <w:outlineLvl w:val="1"/>
      </w:pPr>
      <w:r>
        <w:rPr>
          <w:rFonts w:ascii="黑体" w:hAnsi="黑体" w:eastAsia="黑体"/>
          <w:sz w:val="32"/>
        </w:rPr>
        <w:t>第四部分 部门决算报表（见附表）</w:t>
      </w:r>
    </w:p>
    <w:p w14:paraId="04A22BB6">
      <w:pPr>
        <w:spacing w:line="240" w:lineRule="auto"/>
        <w:ind w:firstLine="640"/>
        <w:jc w:val="both"/>
      </w:pPr>
      <w:r>
        <w:rPr>
          <w:rFonts w:ascii="仿宋_GB2312" w:hAnsi="仿宋_GB2312" w:eastAsia="仿宋_GB2312"/>
          <w:b w:val="0"/>
          <w:sz w:val="32"/>
        </w:rPr>
        <w:t>一、《收入支出决算总表》</w:t>
      </w:r>
    </w:p>
    <w:p w14:paraId="557B3107">
      <w:pPr>
        <w:spacing w:line="240" w:lineRule="auto"/>
        <w:ind w:firstLine="640"/>
        <w:jc w:val="both"/>
      </w:pPr>
      <w:r>
        <w:rPr>
          <w:rFonts w:ascii="仿宋_GB2312" w:hAnsi="仿宋_GB2312" w:eastAsia="仿宋_GB2312"/>
          <w:b w:val="0"/>
          <w:sz w:val="32"/>
        </w:rPr>
        <w:t>二、《收入决算表》</w:t>
      </w:r>
    </w:p>
    <w:p w14:paraId="47C014A2">
      <w:pPr>
        <w:spacing w:line="240" w:lineRule="auto"/>
        <w:ind w:firstLine="640"/>
        <w:jc w:val="both"/>
      </w:pPr>
      <w:r>
        <w:rPr>
          <w:rFonts w:ascii="仿宋_GB2312" w:hAnsi="仿宋_GB2312" w:eastAsia="仿宋_GB2312"/>
          <w:b w:val="0"/>
          <w:sz w:val="32"/>
        </w:rPr>
        <w:t>三、《支出决算表》</w:t>
      </w:r>
    </w:p>
    <w:p w14:paraId="04D5FC2A">
      <w:pPr>
        <w:spacing w:line="240" w:lineRule="auto"/>
        <w:ind w:firstLine="640"/>
        <w:jc w:val="both"/>
      </w:pPr>
      <w:r>
        <w:rPr>
          <w:rFonts w:ascii="仿宋_GB2312" w:hAnsi="仿宋_GB2312" w:eastAsia="仿宋_GB2312"/>
          <w:b w:val="0"/>
          <w:sz w:val="32"/>
        </w:rPr>
        <w:t>四、《财政拨款收入支出决算总表》</w:t>
      </w:r>
    </w:p>
    <w:p w14:paraId="4A069D4F">
      <w:pPr>
        <w:spacing w:line="240" w:lineRule="auto"/>
        <w:ind w:firstLine="640"/>
        <w:jc w:val="both"/>
      </w:pPr>
      <w:r>
        <w:rPr>
          <w:rFonts w:ascii="仿宋_GB2312" w:hAnsi="仿宋_GB2312" w:eastAsia="仿宋_GB2312"/>
          <w:b w:val="0"/>
          <w:sz w:val="32"/>
        </w:rPr>
        <w:t>五、《一般公共预算财政拨款支出决算表》</w:t>
      </w:r>
    </w:p>
    <w:p w14:paraId="79234931">
      <w:pPr>
        <w:spacing w:line="240" w:lineRule="auto"/>
        <w:ind w:firstLine="640"/>
        <w:jc w:val="both"/>
      </w:pPr>
      <w:r>
        <w:rPr>
          <w:rFonts w:ascii="仿宋_GB2312" w:hAnsi="仿宋_GB2312" w:eastAsia="仿宋_GB2312"/>
          <w:b w:val="0"/>
          <w:sz w:val="32"/>
        </w:rPr>
        <w:t>六、《一般公共预算财政拨款基本支出决算表》</w:t>
      </w:r>
    </w:p>
    <w:p w14:paraId="01C12A5A">
      <w:pPr>
        <w:spacing w:line="240" w:lineRule="auto"/>
        <w:ind w:firstLine="640"/>
        <w:jc w:val="both"/>
      </w:pPr>
      <w:r>
        <w:rPr>
          <w:rFonts w:ascii="仿宋_GB2312" w:hAnsi="仿宋_GB2312" w:eastAsia="仿宋_GB2312"/>
          <w:b w:val="0"/>
          <w:sz w:val="32"/>
        </w:rPr>
        <w:t>七、《政府性基金预算财政拨款收入支出决算表》</w:t>
      </w:r>
    </w:p>
    <w:p w14:paraId="7ACA1513">
      <w:pPr>
        <w:spacing w:line="240" w:lineRule="auto"/>
        <w:ind w:firstLine="640"/>
        <w:jc w:val="both"/>
      </w:pPr>
      <w:r>
        <w:rPr>
          <w:rFonts w:ascii="仿宋_GB2312" w:hAnsi="仿宋_GB2312" w:eastAsia="仿宋_GB2312"/>
          <w:b w:val="0"/>
          <w:sz w:val="32"/>
        </w:rPr>
        <w:t>八、《国有资本经营预算财政拨款收入支出决算表》</w:t>
      </w:r>
    </w:p>
    <w:p w14:paraId="484C32B7">
      <w:pPr>
        <w:spacing w:line="240" w:lineRule="auto"/>
        <w:ind w:firstLine="640"/>
        <w:jc w:val="both"/>
      </w:pPr>
      <w:r>
        <w:rPr>
          <w:rFonts w:ascii="仿宋_GB2312" w:hAnsi="仿宋_GB2312" w:eastAsia="仿宋_GB2312"/>
          <w:b w:val="0"/>
          <w:sz w:val="32"/>
        </w:rPr>
        <w:t>九、《财政拨款“三公”经费支出决算表》</w:t>
      </w:r>
    </w:p>
    <w:p w14:paraId="36B3152D">
      <w:pPr>
        <w:spacing w:line="240" w:lineRule="auto"/>
        <w:ind w:firstLine="640"/>
        <w:jc w:val="both"/>
      </w:pPr>
    </w:p>
    <w:p w14:paraId="3F89E26D">
      <w:pPr>
        <w:spacing w:line="240" w:lineRule="auto"/>
        <w:ind w:firstLine="640"/>
        <w:jc w:val="both"/>
      </w:pPr>
    </w:p>
    <w:p w14:paraId="73D69AB7">
      <w:pPr>
        <w:spacing w:line="240" w:lineRule="auto"/>
        <w:ind w:firstLine="640"/>
        <w:jc w:val="both"/>
      </w:pPr>
    </w:p>
    <w:p w14:paraId="4FAF7D72">
      <w:pPr>
        <w:spacing w:line="240" w:lineRule="auto"/>
        <w:ind w:firstLine="640"/>
        <w:jc w:val="both"/>
      </w:pPr>
    </w:p>
    <w:p w14:paraId="1BF3666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446BB0"/>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44D30BF"/>
    <w:rsid w:val="65D97752"/>
    <w:rsid w:val="664C500C"/>
    <w:rsid w:val="67D111AB"/>
    <w:rsid w:val="68DB0208"/>
    <w:rsid w:val="68DF36D5"/>
    <w:rsid w:val="69846A0E"/>
    <w:rsid w:val="69AD798C"/>
    <w:rsid w:val="6B68175F"/>
    <w:rsid w:val="6B8B5C99"/>
    <w:rsid w:val="6CA7198F"/>
    <w:rsid w:val="6D8919A8"/>
    <w:rsid w:val="6E0F7A08"/>
    <w:rsid w:val="6E801ABC"/>
    <w:rsid w:val="6F6C4139"/>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5585</Words>
  <Characters>6239</Characters>
  <Lines>0</Lines>
  <Paragraphs>0</Paragraphs>
  <TotalTime>5</TotalTime>
  <ScaleCrop>false</ScaleCrop>
  <LinksUpToDate>false</LinksUpToDate>
  <CharactersWithSpaces>6247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2025-09-17T03:00:47Z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