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英吉沙县就业培训局2024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80F3094">
      <w:r>
        <w:br w:type="page"/>
      </w:r>
    </w:p>
    <w:p w14:paraId="6486AD18">
      <w:pPr>
        <w:spacing w:line="640" w:lineRule="exact"/>
        <w:jc w:val="center"/>
        <w:outlineLvl w:val="1"/>
      </w:pPr>
      <w:r>
        <w:rPr>
          <w:rFonts w:ascii="黑体" w:hAnsi="黑体" w:eastAsia="黑体"/>
          <w:sz w:val="32"/>
        </w:rPr>
        <w:t>第一部分 单位概况</w:t>
      </w:r>
    </w:p>
    <w:p w14:paraId="221E2717">
      <w:pPr>
        <w:spacing w:line="640" w:lineRule="exact"/>
        <w:ind w:firstLine="640"/>
        <w:jc w:val="both"/>
        <w:outlineLvl w:val="2"/>
      </w:pPr>
      <w:r>
        <w:rPr>
          <w:rFonts w:ascii="黑体" w:hAnsi="黑体" w:eastAsia="黑体"/>
          <w:sz w:val="32"/>
        </w:rPr>
        <w:t>一、主要职能</w:t>
      </w:r>
    </w:p>
    <w:p w14:paraId="4D96E4D4">
      <w:pPr>
        <w:spacing w:line="580" w:lineRule="exact"/>
        <w:ind w:firstLine="640"/>
        <w:jc w:val="both"/>
      </w:pPr>
      <w:r>
        <w:rPr>
          <w:rFonts w:ascii="仿宋_GB2312" w:hAnsi="仿宋_GB2312" w:eastAsia="仿宋_GB2312"/>
          <w:sz w:val="32"/>
        </w:rPr>
        <w:t>（1）根据县人力资源和社会保障局的授权，负责全县劳动就业服务管理工作，指导城镇街道和乡镇劳动保障站的组织建设和业务工作。</w:t>
      </w:r>
    </w:p>
    <w:p w14:paraId="31DD4098">
      <w:pPr>
        <w:spacing w:line="580" w:lineRule="exact"/>
        <w:ind w:firstLine="640"/>
        <w:jc w:val="both"/>
      </w:pPr>
      <w:r>
        <w:rPr>
          <w:rFonts w:ascii="仿宋_GB2312" w:hAnsi="仿宋_GB2312" w:eastAsia="仿宋_GB2312"/>
          <w:sz w:val="32"/>
        </w:rPr>
        <w:t>（2）实施劳动力预备制建设，根据市场人才需求，开展就业前培训。</w:t>
      </w:r>
    </w:p>
    <w:p w14:paraId="17928EBA">
      <w:pPr>
        <w:spacing w:line="580" w:lineRule="exact"/>
        <w:ind w:firstLine="640"/>
        <w:jc w:val="both"/>
      </w:pPr>
      <w:r>
        <w:rPr>
          <w:rFonts w:ascii="仿宋_GB2312" w:hAnsi="仿宋_GB2312" w:eastAsia="仿宋_GB2312"/>
          <w:sz w:val="32"/>
        </w:rPr>
        <w:t>（3）做好市场需求调研和相关人才的培养和储备，并将人才与企事业单位进行对接，提高人员利用率。</w:t>
      </w:r>
    </w:p>
    <w:p w14:paraId="4D57D5E1">
      <w:pPr>
        <w:spacing w:line="580" w:lineRule="exact"/>
        <w:ind w:firstLine="640"/>
        <w:jc w:val="both"/>
      </w:pPr>
      <w:r>
        <w:rPr>
          <w:rFonts w:ascii="仿宋_GB2312" w:hAnsi="仿宋_GB2312" w:eastAsia="仿宋_GB2312"/>
          <w:sz w:val="32"/>
        </w:rPr>
        <w:t>（4）针对改革开放和社会主义现代化进程中的重大理论和现实问题，开展马克思主义中国化最新成果的理论宣传，开展党的路线、方针、政策的宣传。</w:t>
      </w:r>
    </w:p>
    <w:p w14:paraId="31B938CD">
      <w:pPr>
        <w:spacing w:line="580" w:lineRule="exact"/>
        <w:ind w:firstLine="640"/>
        <w:jc w:val="both"/>
      </w:pPr>
      <w:r>
        <w:rPr>
          <w:rFonts w:ascii="仿宋_GB2312" w:hAnsi="仿宋_GB2312" w:eastAsia="仿宋_GB2312"/>
          <w:sz w:val="32"/>
        </w:rPr>
        <w:t>（5）完成县委、县政府和县劳动社会保障局交办的其他任务。</w:t>
      </w:r>
    </w:p>
    <w:p w14:paraId="22DA44FE">
      <w:pPr>
        <w:spacing w:line="640" w:lineRule="exact"/>
        <w:ind w:firstLine="640"/>
        <w:jc w:val="both"/>
        <w:outlineLvl w:val="2"/>
      </w:pPr>
      <w:r>
        <w:rPr>
          <w:rFonts w:ascii="黑体" w:hAnsi="黑体" w:eastAsia="黑体"/>
          <w:sz w:val="32"/>
        </w:rPr>
        <w:t>二、机构设置及人员情况</w:t>
      </w:r>
    </w:p>
    <w:p w14:paraId="289B4F50">
      <w:pPr>
        <w:spacing w:line="580" w:lineRule="exact"/>
        <w:ind w:firstLine="640"/>
        <w:jc w:val="both"/>
      </w:pPr>
      <w:r>
        <w:rPr>
          <w:rFonts w:ascii="仿宋_GB2312" w:hAnsi="仿宋_GB2312" w:eastAsia="仿宋_GB2312"/>
          <w:sz w:val="32"/>
        </w:rPr>
        <w:t>英吉沙县就业培训局2024年度，实有人数5人，其中：在职人员5人，减少1人；离休人员0人，增加0人；退休人员0人,增加0人。</w:t>
      </w:r>
    </w:p>
    <w:p w14:paraId="34024BE3">
      <w:pPr>
        <w:spacing w:line="580" w:lineRule="exact"/>
        <w:ind w:firstLine="640"/>
        <w:jc w:val="both"/>
      </w:pPr>
      <w:r>
        <w:rPr>
          <w:rFonts w:ascii="仿宋_GB2312" w:hAnsi="仿宋_GB2312" w:eastAsia="仿宋_GB2312"/>
          <w:sz w:val="32"/>
        </w:rPr>
        <w:t>英吉沙县就业培训局无下属预算单位，下设4个科室，分别是：办公室、就业信息科、互联网+办公室、财务室。</w:t>
      </w:r>
    </w:p>
    <w:p w14:paraId="3B237B44">
      <w:r>
        <w:br w:type="page"/>
      </w:r>
    </w:p>
    <w:p w14:paraId="78FD4B05">
      <w:pPr>
        <w:spacing w:line="240" w:lineRule="auto"/>
        <w:jc w:val="center"/>
        <w:outlineLvl w:val="1"/>
      </w:pPr>
      <w:r>
        <w:rPr>
          <w:rFonts w:ascii="黑体" w:hAnsi="黑体" w:eastAsia="黑体"/>
          <w:sz w:val="32"/>
        </w:rPr>
        <w:t>第二部分 部门决算情况说明</w:t>
      </w:r>
    </w:p>
    <w:p w14:paraId="21D7A41D">
      <w:pPr>
        <w:spacing w:line="640" w:lineRule="exact"/>
        <w:ind w:firstLine="640"/>
        <w:jc w:val="both"/>
        <w:outlineLvl w:val="2"/>
      </w:pPr>
      <w:r>
        <w:rPr>
          <w:rFonts w:ascii="黑体" w:hAnsi="黑体" w:eastAsia="黑体"/>
          <w:sz w:val="32"/>
        </w:rPr>
        <w:t>一、收入支出决算总体情况说明</w:t>
      </w:r>
    </w:p>
    <w:p w14:paraId="21CB884A">
      <w:pPr>
        <w:spacing w:line="580" w:lineRule="exact"/>
        <w:ind w:firstLine="640"/>
        <w:jc w:val="both"/>
      </w:pPr>
      <w:r>
        <w:rPr>
          <w:rFonts w:ascii="仿宋_GB2312" w:hAnsi="仿宋_GB2312" w:eastAsia="仿宋_GB2312"/>
          <w:b/>
          <w:sz w:val="32"/>
        </w:rPr>
        <w:t>2024年度收入总计96.31万元，</w:t>
      </w:r>
      <w:r>
        <w:rPr>
          <w:rFonts w:ascii="仿宋_GB2312" w:hAnsi="仿宋_GB2312" w:eastAsia="仿宋_GB2312"/>
          <w:b w:val="0"/>
          <w:sz w:val="32"/>
        </w:rPr>
        <w:t>其中：本年收入合计96.31万元，使用非财政拨款结余（含专用结余）0.00万元，年初结转和结余0.00万元。</w:t>
      </w:r>
    </w:p>
    <w:p w14:paraId="017737E6">
      <w:pPr>
        <w:spacing w:line="580" w:lineRule="exact"/>
        <w:ind w:firstLine="640"/>
        <w:jc w:val="both"/>
      </w:pPr>
      <w:r>
        <w:rPr>
          <w:rFonts w:ascii="仿宋_GB2312" w:hAnsi="仿宋_GB2312" w:eastAsia="仿宋_GB2312"/>
          <w:b/>
          <w:sz w:val="32"/>
        </w:rPr>
        <w:t>2024年度支出总计96.31万元，</w:t>
      </w:r>
      <w:r>
        <w:rPr>
          <w:rFonts w:ascii="仿宋_GB2312" w:hAnsi="仿宋_GB2312" w:eastAsia="仿宋_GB2312"/>
          <w:b w:val="0"/>
          <w:sz w:val="32"/>
        </w:rPr>
        <w:t>其中：本年支出合计96.31万元，结余分配0.00万元，年末结转和结余0.00万元。</w:t>
      </w:r>
    </w:p>
    <w:p w14:paraId="0DFEA9E2">
      <w:pPr>
        <w:spacing w:line="580" w:lineRule="exact"/>
        <w:ind w:firstLine="640"/>
        <w:jc w:val="both"/>
      </w:pPr>
      <w:r>
        <w:rPr>
          <w:rFonts w:ascii="仿宋_GB2312" w:hAnsi="仿宋_GB2312" w:eastAsia="仿宋_GB2312"/>
          <w:b w:val="0"/>
          <w:sz w:val="32"/>
        </w:rPr>
        <w:t>收入支出总体与上年相比，减少19.79万元，下降17.05%，主要原因是：本年在职人员减少，相关人员经费较上年减少，债务项目减少，项目资金较上年减少。</w:t>
      </w:r>
    </w:p>
    <w:p w14:paraId="66CAF0B5">
      <w:pPr>
        <w:spacing w:line="640" w:lineRule="exact"/>
        <w:ind w:firstLine="640"/>
        <w:jc w:val="both"/>
        <w:outlineLvl w:val="2"/>
      </w:pPr>
      <w:r>
        <w:rPr>
          <w:rFonts w:ascii="黑体" w:hAnsi="黑体" w:eastAsia="黑体"/>
          <w:sz w:val="32"/>
        </w:rPr>
        <w:t>二、收入决算情况说明</w:t>
      </w:r>
    </w:p>
    <w:p w14:paraId="459B22A7">
      <w:pPr>
        <w:spacing w:line="580" w:lineRule="exact"/>
        <w:ind w:firstLine="640"/>
        <w:jc w:val="both"/>
      </w:pPr>
      <w:r>
        <w:rPr>
          <w:rFonts w:ascii="仿宋_GB2312" w:hAnsi="仿宋_GB2312" w:eastAsia="仿宋_GB2312"/>
          <w:b/>
          <w:sz w:val="32"/>
        </w:rPr>
        <w:t>本年收入96.31万元，</w:t>
      </w:r>
      <w:r>
        <w:rPr>
          <w:rFonts w:ascii="仿宋_GB2312" w:hAnsi="仿宋_GB2312" w:eastAsia="仿宋_GB2312"/>
          <w:b w:val="0"/>
          <w:sz w:val="32"/>
        </w:rPr>
        <w:t>其中：财政拨款收入96.31万元，占100.00%；上级补助收入0.00万元，占0.00%；事业收入0.00万元，占0.00%；经营收入0.00万元，占0.00%；附属单位上缴收入0.00万元，占0.00%；其他收入0.00万元，占0.00%。</w:t>
      </w:r>
    </w:p>
    <w:p w14:paraId="53CC5C34">
      <w:pPr>
        <w:spacing w:line="640" w:lineRule="exact"/>
        <w:ind w:firstLine="640"/>
        <w:jc w:val="both"/>
        <w:outlineLvl w:val="2"/>
      </w:pPr>
      <w:r>
        <w:rPr>
          <w:rFonts w:ascii="黑体" w:hAnsi="黑体" w:eastAsia="黑体"/>
          <w:sz w:val="32"/>
        </w:rPr>
        <w:t>三、支出决算情况说明</w:t>
      </w:r>
    </w:p>
    <w:p w14:paraId="7CA139A1">
      <w:pPr>
        <w:spacing w:line="580" w:lineRule="exact"/>
        <w:ind w:firstLine="640"/>
        <w:jc w:val="both"/>
      </w:pPr>
      <w:r>
        <w:rPr>
          <w:rFonts w:ascii="仿宋_GB2312" w:hAnsi="仿宋_GB2312" w:eastAsia="仿宋_GB2312"/>
          <w:b/>
          <w:sz w:val="32"/>
        </w:rPr>
        <w:t>本年支出96.31万元，</w:t>
      </w:r>
      <w:r>
        <w:rPr>
          <w:rFonts w:ascii="仿宋_GB2312" w:hAnsi="仿宋_GB2312" w:eastAsia="仿宋_GB2312"/>
          <w:b w:val="0"/>
          <w:sz w:val="32"/>
        </w:rPr>
        <w:t>其中：基本支出96.31万元，占100.00%；项目支出0.00万元，占0.00%；上缴上级支出0.00万元，占0.00%；经营支出0.00万元，占0.00%；对附属单位补助支出0.00万元，占0.00%。</w:t>
      </w:r>
    </w:p>
    <w:p w14:paraId="566DCC8F">
      <w:pPr>
        <w:spacing w:line="640" w:lineRule="exact"/>
        <w:ind w:firstLine="640"/>
        <w:jc w:val="both"/>
        <w:outlineLvl w:val="2"/>
      </w:pPr>
      <w:r>
        <w:rPr>
          <w:rFonts w:ascii="黑体" w:hAnsi="黑体" w:eastAsia="黑体"/>
          <w:sz w:val="32"/>
        </w:rPr>
        <w:t>四、财政拨款收入支出决算总体情况说明</w:t>
      </w:r>
    </w:p>
    <w:p w14:paraId="34A08280">
      <w:pPr>
        <w:spacing w:line="580" w:lineRule="exact"/>
        <w:ind w:firstLine="640"/>
        <w:jc w:val="both"/>
      </w:pPr>
      <w:r>
        <w:rPr>
          <w:rFonts w:ascii="仿宋_GB2312" w:hAnsi="仿宋_GB2312" w:eastAsia="仿宋_GB2312"/>
          <w:b/>
          <w:sz w:val="32"/>
        </w:rPr>
        <w:t>2024年度财政拨款收入总计96.31万元，</w:t>
      </w:r>
      <w:r>
        <w:rPr>
          <w:rFonts w:ascii="仿宋_GB2312" w:hAnsi="仿宋_GB2312" w:eastAsia="仿宋_GB2312"/>
          <w:b w:val="0"/>
          <w:sz w:val="32"/>
        </w:rPr>
        <w:t>其中：年初财政拨款结转和结余0.00万元，本年财政拨款收入96.31万元。</w:t>
      </w:r>
      <w:r>
        <w:rPr>
          <w:rFonts w:ascii="仿宋_GB2312" w:hAnsi="仿宋_GB2312" w:eastAsia="仿宋_GB2312"/>
          <w:b/>
          <w:sz w:val="32"/>
        </w:rPr>
        <w:t>财政拨款支出总计96.31万元，</w:t>
      </w:r>
      <w:r>
        <w:rPr>
          <w:rFonts w:ascii="仿宋_GB2312" w:hAnsi="仿宋_GB2312" w:eastAsia="仿宋_GB2312"/>
          <w:b w:val="0"/>
          <w:sz w:val="32"/>
        </w:rPr>
        <w:t>其中：年末财政拨款结转和结余0.00万元，本年财政拨款支出96.31万元。</w:t>
      </w:r>
    </w:p>
    <w:p w14:paraId="42A59A2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减少9.79万元，下降9.23%，主要原因是：本年在职人员减少，相关人员经费较上年减少。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年初预算数106.94万元，决算数96.31万元，预决算差异率-9.94%，主要原因是：本年在职人员减少，年中调减人员经费，导致预决算存在差异。</w:t>
      </w:r>
    </w:p>
    <w:p w14:paraId="7774C439">
      <w:pPr>
        <w:spacing w:line="640" w:lineRule="exact"/>
        <w:ind w:firstLine="640"/>
        <w:jc w:val="both"/>
        <w:outlineLvl w:val="2"/>
      </w:pPr>
      <w:r>
        <w:rPr>
          <w:rFonts w:ascii="黑体" w:hAnsi="黑体" w:eastAsia="黑体"/>
          <w:sz w:val="32"/>
        </w:rPr>
        <w:t>五、一般公共预算财政拨款支出决算情况说明</w:t>
      </w:r>
    </w:p>
    <w:p w14:paraId="60ABD817">
      <w:pPr>
        <w:spacing w:line="640" w:lineRule="exact"/>
        <w:ind w:firstLine="640"/>
        <w:jc w:val="both"/>
        <w:outlineLvl w:val="3"/>
      </w:pPr>
      <w:r>
        <w:rPr>
          <w:rFonts w:ascii="楷体_GB2312" w:hAnsi="楷体_GB2312" w:eastAsia="楷体_GB2312"/>
          <w:b/>
          <w:sz w:val="32"/>
        </w:rPr>
        <w:t>（一）一般公共预算财政拨款支出决算总体情况</w:t>
      </w:r>
    </w:p>
    <w:p w14:paraId="1E3942B9">
      <w:pPr>
        <w:spacing w:line="580" w:lineRule="exact"/>
        <w:ind w:firstLine="640"/>
        <w:jc w:val="both"/>
      </w:pPr>
      <w:r>
        <w:rPr>
          <w:rFonts w:ascii="仿宋_GB2312" w:hAnsi="仿宋_GB2312" w:eastAsia="仿宋_GB2312"/>
          <w:b/>
          <w:sz w:val="32"/>
        </w:rPr>
        <w:t>2024年度一般公共预算财政拨款支出96.31万元，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减少9.79万元，下降9.23%，主要原因是：本年在职人员减少，相关人员经费较上年减少。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年初预算数106.94万元，决算数96.31万元，预决算差异率-9.94%，主要原因是：本年在职人员减少，年中调减人员经费，导致预决算存在差异。</w:t>
      </w:r>
    </w:p>
    <w:p w14:paraId="466A51E5">
      <w:pPr>
        <w:spacing w:line="640" w:lineRule="exact"/>
        <w:ind w:firstLine="640"/>
        <w:jc w:val="both"/>
        <w:outlineLvl w:val="3"/>
      </w:pPr>
      <w:r>
        <w:rPr>
          <w:rFonts w:ascii="楷体_GB2312" w:hAnsi="楷体_GB2312" w:eastAsia="楷体_GB2312"/>
          <w:b/>
          <w:sz w:val="32"/>
        </w:rPr>
        <w:t>（二）一般公共预算财政拨款支出决算结构情况</w:t>
      </w:r>
    </w:p>
    <w:p w14:paraId="48D9526E">
      <w:pPr>
        <w:spacing w:line="580" w:lineRule="exact"/>
        <w:ind w:firstLine="640"/>
        <w:jc w:val="both"/>
      </w:pPr>
      <w:r>
        <w:rPr>
          <w:rFonts w:ascii="仿宋_GB2312" w:hAnsi="仿宋_GB2312" w:eastAsia="仿宋_GB2312"/>
          <w:b w:val="0"/>
          <w:sz w:val="32"/>
        </w:rPr>
        <w:t>1.社会保障和就业支出(类)85.78万元,占89.07%。</w:t>
      </w:r>
    </w:p>
    <w:p w14:paraId="3B0AE864">
      <w:pPr>
        <w:spacing w:line="580" w:lineRule="exact"/>
        <w:ind w:firstLine="640"/>
        <w:jc w:val="both"/>
      </w:pPr>
      <w:r>
        <w:rPr>
          <w:rFonts w:ascii="仿宋_GB2312" w:hAnsi="仿宋_GB2312" w:eastAsia="仿宋_GB2312"/>
          <w:b w:val="0"/>
          <w:sz w:val="32"/>
        </w:rPr>
        <w:t>2.卫生健康支出(类)3.60万元,占3.74%。</w:t>
      </w:r>
    </w:p>
    <w:p w14:paraId="264C66F2">
      <w:pPr>
        <w:spacing w:line="580" w:lineRule="exact"/>
        <w:ind w:firstLine="640"/>
        <w:jc w:val="both"/>
      </w:pPr>
      <w:r>
        <w:rPr>
          <w:rFonts w:ascii="仿宋_GB2312" w:hAnsi="仿宋_GB2312" w:eastAsia="仿宋_GB2312"/>
          <w:b w:val="0"/>
          <w:sz w:val="32"/>
        </w:rPr>
        <w:t>3.住房保障支出(类)6.92万元,占7.19%。</w:t>
      </w:r>
    </w:p>
    <w:p w14:paraId="133393EB">
      <w:pPr>
        <w:spacing w:line="640" w:lineRule="exact"/>
        <w:ind w:firstLine="640"/>
        <w:jc w:val="both"/>
        <w:outlineLvl w:val="3"/>
      </w:pPr>
      <w:r>
        <w:rPr>
          <w:rFonts w:ascii="楷体_GB2312" w:hAnsi="楷体_GB2312" w:eastAsia="楷体_GB2312"/>
          <w:b/>
          <w:sz w:val="32"/>
        </w:rPr>
        <w:t>（三）一般公共预算财政拨款支出决算具体情况</w:t>
      </w:r>
    </w:p>
    <w:p w14:paraId="5462D373">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8.48万元，比上年决算增加2.04万元，增长31.68%,主要原因是：本年在职人员工资基数调增，养老缴费基数上涨，相应支出增加。</w:t>
      </w:r>
    </w:p>
    <w:p w14:paraId="03994CCA">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2.社会保障和就业支出(类)行政事业单位养老支出(款)机关事业单位职业年金缴费支出(项):支出决算数为1.34万元，比上年决算增加1.34万元，增长100.00%,主要原因是：本年新增辞职人员，职业年金缴费支出增加。</w:t>
      </w:r>
    </w:p>
    <w:p w14:paraId="3FDFC815">
      <w:pPr>
        <w:spacing w:line="580" w:lineRule="exact"/>
        <w:ind w:firstLine="640"/>
        <w:jc w:val="both"/>
      </w:pPr>
      <w:r>
        <w:rPr>
          <w:rFonts w:ascii="仿宋_GB2312" w:hAnsi="仿宋_GB2312" w:eastAsia="仿宋_GB2312"/>
          <w:b w:val="0"/>
          <w:sz w:val="32"/>
        </w:rPr>
        <w:t>3.社会保障和就业支出(类)其他社会保障和就业支出(款)其他社会保障和就业支出(项):支出决算数为75.96万元，比上年决算减少15.67万元，下降17.10%,主要原因是：本年在职人员减少，其他社会保障和就业支出较上年减少。</w:t>
      </w:r>
    </w:p>
    <w:p w14:paraId="0FB64ABD">
      <w:pPr>
        <w:spacing w:line="580" w:lineRule="exact"/>
        <w:ind w:firstLine="640"/>
        <w:jc w:val="both"/>
      </w:pPr>
      <w:r>
        <w:rPr>
          <w:rFonts w:ascii="仿宋_GB2312" w:hAnsi="仿宋_GB2312" w:eastAsia="仿宋_GB2312"/>
          <w:b w:val="0"/>
          <w:sz w:val="32"/>
        </w:rPr>
        <w:t>4.卫生健康支出(类)行政事业单位医疗(款)事业单位医疗(项):支出决算数为3.60万元，比上年决算增加0.86万元，增长31.39%,主要原因是：本年在职人员工资基数调增，医疗缴费基数上涨，相应支出增加。</w:t>
      </w:r>
    </w:p>
    <w:p w14:paraId="5C49DA6F">
      <w:pPr>
        <w:spacing w:line="580" w:lineRule="exact"/>
        <w:ind w:firstLine="640"/>
        <w:jc w:val="both"/>
      </w:pPr>
      <w:r>
        <w:rPr>
          <w:rFonts w:ascii="仿宋_GB2312" w:hAnsi="仿宋_GB2312" w:eastAsia="仿宋_GB2312"/>
          <w:b w:val="0"/>
          <w:sz w:val="32"/>
        </w:rPr>
        <w:t>5.住房保障支出(类)住房改革支出(款)住房公积金(项):支出决算数为6.92万元，比上年决算增加1.63万元，增长30.81%,主要原因是：本年在职人员工资基数调增，公积金缴费基数上涨，相应支出增加。</w:t>
      </w:r>
    </w:p>
    <w:p w14:paraId="02CEF58C">
      <w:pPr>
        <w:spacing w:line="640" w:lineRule="exact"/>
        <w:ind w:firstLine="640"/>
        <w:jc w:val="both"/>
        <w:outlineLvl w:val="2"/>
      </w:pPr>
      <w:r>
        <w:rPr>
          <w:rFonts w:ascii="黑体" w:hAnsi="黑体" w:eastAsia="黑体"/>
          <w:sz w:val="32"/>
        </w:rPr>
        <w:t>六、一般公共预算财政拨款基本支出决算情况说明</w:t>
      </w:r>
    </w:p>
    <w:p w14:paraId="4B7EBE15">
      <w:pPr>
        <w:spacing w:line="580" w:lineRule="exact"/>
        <w:ind w:firstLine="640"/>
        <w:jc w:val="both"/>
      </w:pPr>
      <w:r>
        <w:rPr>
          <w:rFonts w:ascii="仿宋_GB2312" w:hAnsi="仿宋_GB2312" w:eastAsia="仿宋_GB2312"/>
          <w:b w:val="0"/>
          <w:sz w:val="32"/>
        </w:rPr>
        <w:t>2024年度一般公共预算财政拨款基本支出96.31万元，其中：</w:t>
      </w:r>
      <w:r>
        <w:rPr>
          <w:rFonts w:ascii="仿宋_GB2312" w:hAnsi="仿宋_GB2312" w:eastAsia="仿宋_GB2312"/>
          <w:b/>
          <w:sz w:val="32"/>
        </w:rPr>
        <w:t>人员经费84.16万元，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w:t>
      </w:r>
    </w:p>
    <w:p w14:paraId="107C8B24">
      <w:pPr>
        <w:spacing w:line="580" w:lineRule="exact"/>
        <w:ind w:firstLine="640"/>
        <w:jc w:val="both"/>
      </w:pPr>
      <w:r>
        <w:rPr>
          <w:rFonts w:ascii="仿宋_GB2312" w:hAnsi="仿宋_GB2312" w:eastAsia="仿宋_GB2312"/>
          <w:b/>
          <w:sz w:val="32"/>
        </w:rPr>
        <w:t>公用经费12.15万元，</w:t>
      </w:r>
      <w:r>
        <w:rPr>
          <w:rFonts w:ascii="仿宋_GB2312" w:hAnsi="仿宋_GB2312" w:eastAsia="仿宋_GB2312"/>
          <w:b w:val="0"/>
          <w:sz w:val="32"/>
        </w:rPr>
        <w:t>包括：办公费、水费、电费、邮电费、取暖费、差旅费。</w:t>
      </w:r>
    </w:p>
    <w:p w14:paraId="47C200D6">
      <w:pPr>
        <w:spacing w:line="640" w:lineRule="exact"/>
        <w:ind w:firstLine="640"/>
        <w:jc w:val="both"/>
        <w:outlineLvl w:val="2"/>
      </w:pPr>
      <w:r>
        <w:rPr>
          <w:rFonts w:ascii="黑体" w:hAnsi="黑体" w:eastAsia="黑体"/>
          <w:sz w:val="32"/>
        </w:rPr>
        <w:t>七、政府性基金预算财政拨款收入支出决算情况说明</w:t>
      </w:r>
    </w:p>
    <w:p w14:paraId="7AAFCC2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9BC7016">
      <w:pPr>
        <w:spacing w:line="640" w:lineRule="exact"/>
        <w:ind w:firstLine="640"/>
        <w:jc w:val="both"/>
        <w:outlineLvl w:val="2"/>
      </w:pPr>
      <w:r>
        <w:rPr>
          <w:rFonts w:ascii="黑体" w:hAnsi="黑体" w:eastAsia="黑体"/>
          <w:sz w:val="32"/>
        </w:rPr>
        <w:t>八、国有资本经营预算财政拨款收入支出决算情况说明</w:t>
      </w:r>
    </w:p>
    <w:p w14:paraId="4CEA169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BE26AD">
      <w:pPr>
        <w:spacing w:line="640" w:lineRule="exact"/>
        <w:ind w:firstLine="640"/>
        <w:jc w:val="both"/>
        <w:outlineLvl w:val="2"/>
      </w:pPr>
      <w:r>
        <w:rPr>
          <w:rFonts w:ascii="黑体" w:hAnsi="黑体" w:eastAsia="黑体"/>
          <w:sz w:val="32"/>
        </w:rPr>
        <w:t>九、财政拨款“三公”经费支出决算情况说明</w:t>
      </w:r>
    </w:p>
    <w:p w14:paraId="04C3281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228B3AF">
      <w:pPr>
        <w:spacing w:line="580" w:lineRule="exact"/>
        <w:ind w:firstLine="640"/>
        <w:jc w:val="both"/>
      </w:pPr>
      <w:r>
        <w:rPr>
          <w:rFonts w:ascii="仿宋_GB2312" w:hAnsi="仿宋_GB2312" w:eastAsia="仿宋_GB2312"/>
          <w:b/>
          <w:sz w:val="32"/>
        </w:rPr>
        <w:t>具体情况如下：</w:t>
      </w:r>
    </w:p>
    <w:p w14:paraId="02503CD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777421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EF3F67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5FD6D3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C206EBF">
      <w:pPr>
        <w:spacing w:line="640" w:lineRule="exact"/>
        <w:ind w:firstLine="640"/>
        <w:jc w:val="both"/>
        <w:outlineLvl w:val="2"/>
      </w:pPr>
      <w:r>
        <w:rPr>
          <w:rFonts w:ascii="黑体" w:hAnsi="黑体" w:eastAsia="黑体"/>
          <w:sz w:val="32"/>
        </w:rPr>
        <w:t>十、其他重要事项的情况说明</w:t>
      </w:r>
    </w:p>
    <w:p w14:paraId="64EB4308">
      <w:pPr>
        <w:spacing w:line="640" w:lineRule="exact"/>
        <w:ind w:firstLine="640"/>
        <w:jc w:val="both"/>
        <w:outlineLvl w:val="3"/>
      </w:pPr>
      <w:r>
        <w:rPr>
          <w:rFonts w:ascii="楷体_GB2312" w:hAnsi="楷体_GB2312" w:eastAsia="楷体_GB2312"/>
          <w:b/>
          <w:sz w:val="32"/>
        </w:rPr>
        <w:t>（一）机关运行经费及公用经费支出情况</w:t>
      </w:r>
    </w:p>
    <w:p w14:paraId="2FA43FBB">
      <w:pPr>
        <w:spacing w:line="580" w:lineRule="exact"/>
        <w:ind w:firstLine="640"/>
        <w:jc w:val="both"/>
      </w:pPr>
      <w:r>
        <w:rPr>
          <w:rFonts w:ascii="仿宋_GB2312" w:hAnsi="仿宋_GB2312" w:eastAsia="仿宋_GB2312"/>
          <w:b w:val="0"/>
          <w:sz w:val="32"/>
        </w:rPr>
        <w:t>2024年度英吉沙县就业培训局（事业单位）公用经费支出12.15万元，比上年增加2.89万元，增长31.21%，主要原因是：本单位与县司法局、</w:t>
      </w:r>
      <w:r>
        <w:rPr>
          <w:rFonts w:hint="eastAsia" w:ascii="仿宋_GB2312" w:hAnsi="仿宋_GB2312" w:eastAsia="仿宋_GB2312"/>
          <w:b w:val="0"/>
          <w:sz w:val="32"/>
          <w:lang w:eastAsia="zh-CN"/>
        </w:rPr>
        <w:t>县委政法委</w:t>
      </w:r>
      <w:r>
        <w:rPr>
          <w:rFonts w:ascii="仿宋_GB2312" w:hAnsi="仿宋_GB2312" w:eastAsia="仿宋_GB2312"/>
          <w:b w:val="0"/>
          <w:sz w:val="32"/>
        </w:rPr>
        <w:t>、县信访局联合办公，经各单位协商一致同意，将水费和电费指标划拨给县就业培训局进行统一支付。</w:t>
      </w:r>
    </w:p>
    <w:p w14:paraId="44DB9BDA">
      <w:pPr>
        <w:spacing w:line="640" w:lineRule="exact"/>
        <w:ind w:firstLine="640"/>
        <w:jc w:val="both"/>
        <w:outlineLvl w:val="3"/>
      </w:pPr>
      <w:r>
        <w:rPr>
          <w:rFonts w:ascii="楷体_GB2312" w:hAnsi="楷体_GB2312" w:eastAsia="楷体_GB2312"/>
          <w:b/>
          <w:sz w:val="32"/>
        </w:rPr>
        <w:t>（二）政府采购情况</w:t>
      </w:r>
    </w:p>
    <w:p w14:paraId="4F89CE24">
      <w:pPr>
        <w:spacing w:line="580" w:lineRule="exact"/>
        <w:ind w:firstLine="640"/>
        <w:jc w:val="both"/>
      </w:pPr>
      <w:r>
        <w:rPr>
          <w:rFonts w:ascii="仿宋_GB2312" w:hAnsi="仿宋_GB2312" w:eastAsia="仿宋_GB2312"/>
          <w:b w:val="0"/>
          <w:sz w:val="32"/>
        </w:rPr>
        <w:t>2024年度政府采购支出总额1.16万元，其中：政府采购货物支出0.43万元、政府采购工程支出0.00万元、政府采购服务支出0.73万元。</w:t>
      </w:r>
    </w:p>
    <w:p w14:paraId="233B7168">
      <w:pPr>
        <w:spacing w:line="580" w:lineRule="exact"/>
        <w:ind w:firstLine="640"/>
        <w:jc w:val="both"/>
      </w:pPr>
      <w:r>
        <w:rPr>
          <w:rFonts w:ascii="仿宋_GB2312" w:hAnsi="仿宋_GB2312" w:eastAsia="仿宋_GB2312"/>
          <w:b w:val="0"/>
          <w:sz w:val="32"/>
        </w:rPr>
        <w:t>授予中小企业合同金额0.73万元，占政府采购支出总额的62.93%，其中：授予小微企业合同金额0.00万元，占政府采购支出总额的0.00%。</w:t>
      </w:r>
    </w:p>
    <w:p w14:paraId="6A5DB057">
      <w:pPr>
        <w:spacing w:line="640" w:lineRule="exact"/>
        <w:ind w:firstLine="640"/>
        <w:jc w:val="both"/>
        <w:outlineLvl w:val="3"/>
      </w:pPr>
      <w:r>
        <w:rPr>
          <w:rFonts w:ascii="楷体_GB2312" w:hAnsi="楷体_GB2312" w:eastAsia="楷体_GB2312"/>
          <w:b/>
          <w:sz w:val="32"/>
        </w:rPr>
        <w:t>（三）国有资产占用情况说明</w:t>
      </w:r>
    </w:p>
    <w:p w14:paraId="30F4F8BB">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CEF12FC">
      <w:pPr>
        <w:spacing w:line="640" w:lineRule="exact"/>
        <w:ind w:firstLine="640"/>
        <w:jc w:val="both"/>
        <w:outlineLvl w:val="2"/>
      </w:pPr>
      <w:r>
        <w:rPr>
          <w:rFonts w:ascii="黑体" w:hAnsi="黑体" w:eastAsia="黑体"/>
          <w:sz w:val="32"/>
        </w:rPr>
        <w:t>十一、预算绩效的情况说明</w:t>
      </w:r>
    </w:p>
    <w:p w14:paraId="73925085">
      <w:pPr>
        <w:spacing w:line="580" w:lineRule="exact"/>
        <w:ind w:firstLine="640"/>
        <w:jc w:val="both"/>
        <w:rPr>
          <w:rFonts w:hint="eastAsia" w:eastAsia="仿宋_GB2312"/>
          <w:lang w:eastAsia="zh-CN"/>
        </w:rPr>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lang w:val="en-US" w:eastAsia="zh-CN"/>
        </w:rPr>
        <w:t>96.31</w:t>
      </w:r>
      <w:r>
        <w:rPr>
          <w:rFonts w:ascii="仿宋_GB2312" w:hAnsi="仿宋_GB2312" w:eastAsia="仿宋_GB2312"/>
          <w:b w:val="0"/>
          <w:sz w:val="32"/>
        </w:rPr>
        <w:t>万元，实际执行总额</w:t>
      </w:r>
      <w:r>
        <w:rPr>
          <w:rFonts w:hint="eastAsia" w:ascii="仿宋_GB2312" w:hAnsi="仿宋_GB2312" w:eastAsia="仿宋_GB2312"/>
          <w:b w:val="0"/>
          <w:sz w:val="32"/>
          <w:lang w:val="en-US" w:eastAsia="zh-CN"/>
        </w:rPr>
        <w:t>96.31</w:t>
      </w:r>
      <w:r>
        <w:rPr>
          <w:rFonts w:ascii="仿宋_GB2312" w:hAnsi="仿宋_GB2312" w:eastAsia="仿宋_GB2312"/>
          <w:b w:val="0"/>
          <w:sz w:val="32"/>
        </w:rPr>
        <w:t>万元；预算绩效评价项目0个，全年预算数0.00万元，全年执行数0.00万元。预算绩效管理取得的成效：2024年本单位无预算绩效项目。发现的问题及原因：2024年本单位无预算绩效项目。下一步改进措施：2024年本单位无预算绩效项目。</w:t>
      </w:r>
    </w:p>
    <w:p w14:paraId="6891ECD6">
      <w:r>
        <w:br w:type="page"/>
      </w:r>
    </w:p>
    <w:p w14:paraId="01669128">
      <w:pPr>
        <w:spacing w:line="640" w:lineRule="exact"/>
        <w:ind w:firstLine="640"/>
        <w:jc w:val="both"/>
        <w:outlineLvl w:val="2"/>
      </w:pPr>
      <w:r>
        <w:rPr>
          <w:rFonts w:ascii="黑体" w:hAnsi="黑体" w:eastAsia="黑体"/>
          <w:sz w:val="32"/>
        </w:rPr>
        <w:t>十二、其他需说明的事项</w:t>
      </w:r>
    </w:p>
    <w:p w14:paraId="1BF4AD5A">
      <w:pPr>
        <w:spacing w:line="580" w:lineRule="exact"/>
        <w:ind w:firstLine="640"/>
        <w:jc w:val="both"/>
      </w:pPr>
      <w:r>
        <w:rPr>
          <w:rFonts w:ascii="仿宋_GB2312" w:hAnsi="仿宋_GB2312" w:eastAsia="仿宋_GB2312"/>
          <w:b w:val="0"/>
          <w:sz w:val="32"/>
        </w:rPr>
        <w:t>本年度本单位政府采购为大中型企业采购，故授予小微企业合同金额为0.00万元。</w:t>
      </w:r>
    </w:p>
    <w:p w14:paraId="729FE85C">
      <w:pPr>
        <w:spacing w:line="580" w:lineRule="exact"/>
        <w:ind w:firstLine="640"/>
        <w:jc w:val="both"/>
      </w:pPr>
      <w:r>
        <w:rPr>
          <w:rFonts w:ascii="仿宋_GB2312" w:hAnsi="仿宋_GB2312" w:eastAsia="仿宋_GB2312"/>
          <w:b w:val="0"/>
          <w:sz w:val="32"/>
        </w:rPr>
        <w:t>本年度本单位整体绩效自评表不予公开。</w:t>
      </w:r>
      <w:bookmarkStart w:id="0" w:name="_GoBack"/>
      <w:bookmarkEnd w:id="0"/>
    </w:p>
    <w:p w14:paraId="1B3E3E89">
      <w:r>
        <w:br w:type="page"/>
      </w:r>
    </w:p>
    <w:p w14:paraId="0D4A9C3F">
      <w:pPr>
        <w:spacing w:line="240" w:lineRule="auto"/>
        <w:jc w:val="center"/>
        <w:outlineLvl w:val="1"/>
      </w:pPr>
      <w:r>
        <w:rPr>
          <w:rFonts w:ascii="黑体" w:hAnsi="黑体" w:eastAsia="黑体"/>
          <w:sz w:val="32"/>
        </w:rPr>
        <w:t>第三部分 专业名词解释</w:t>
      </w:r>
    </w:p>
    <w:p w14:paraId="4F1FC47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DABAF9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791251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433C4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7AEA3E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B5A535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5A823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13214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078AC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B66200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78FE33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B543A1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439166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A45C3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12AE27C">
      <w:r>
        <w:br w:type="page"/>
      </w:r>
    </w:p>
    <w:p w14:paraId="08FA5BFA">
      <w:pPr>
        <w:spacing w:line="240" w:lineRule="auto"/>
        <w:jc w:val="center"/>
        <w:outlineLvl w:val="1"/>
      </w:pPr>
      <w:r>
        <w:rPr>
          <w:rFonts w:ascii="黑体" w:hAnsi="黑体" w:eastAsia="黑体"/>
          <w:sz w:val="32"/>
        </w:rPr>
        <w:t>第四部分 部门决算报表（见附表）</w:t>
      </w:r>
    </w:p>
    <w:p w14:paraId="103F2DBC">
      <w:pPr>
        <w:spacing w:line="240" w:lineRule="auto"/>
        <w:ind w:firstLine="640"/>
        <w:jc w:val="both"/>
      </w:pPr>
      <w:r>
        <w:rPr>
          <w:rFonts w:ascii="仿宋_GB2312" w:hAnsi="仿宋_GB2312" w:eastAsia="仿宋_GB2312"/>
          <w:b w:val="0"/>
          <w:sz w:val="32"/>
        </w:rPr>
        <w:t>一、《收入支出决算总表》</w:t>
      </w:r>
    </w:p>
    <w:p w14:paraId="1B7E3E20">
      <w:pPr>
        <w:spacing w:line="240" w:lineRule="auto"/>
        <w:ind w:firstLine="640"/>
        <w:jc w:val="both"/>
      </w:pPr>
      <w:r>
        <w:rPr>
          <w:rFonts w:ascii="仿宋_GB2312" w:hAnsi="仿宋_GB2312" w:eastAsia="仿宋_GB2312"/>
          <w:b w:val="0"/>
          <w:sz w:val="32"/>
        </w:rPr>
        <w:t>二、《收入决算表》</w:t>
      </w:r>
    </w:p>
    <w:p w14:paraId="3F5E3835">
      <w:pPr>
        <w:spacing w:line="240" w:lineRule="auto"/>
        <w:ind w:firstLine="640"/>
        <w:jc w:val="both"/>
      </w:pPr>
      <w:r>
        <w:rPr>
          <w:rFonts w:ascii="仿宋_GB2312" w:hAnsi="仿宋_GB2312" w:eastAsia="仿宋_GB2312"/>
          <w:b w:val="0"/>
          <w:sz w:val="32"/>
        </w:rPr>
        <w:t>三、《支出决算表》</w:t>
      </w:r>
    </w:p>
    <w:p w14:paraId="74B21387">
      <w:pPr>
        <w:spacing w:line="240" w:lineRule="auto"/>
        <w:ind w:firstLine="640"/>
        <w:jc w:val="both"/>
      </w:pPr>
      <w:r>
        <w:rPr>
          <w:rFonts w:ascii="仿宋_GB2312" w:hAnsi="仿宋_GB2312" w:eastAsia="仿宋_GB2312"/>
          <w:b w:val="0"/>
          <w:sz w:val="32"/>
        </w:rPr>
        <w:t>四、《财政拨款收入支出决算总表》</w:t>
      </w:r>
    </w:p>
    <w:p w14:paraId="48269991">
      <w:pPr>
        <w:spacing w:line="240" w:lineRule="auto"/>
        <w:ind w:firstLine="640"/>
        <w:jc w:val="both"/>
      </w:pPr>
      <w:r>
        <w:rPr>
          <w:rFonts w:ascii="仿宋_GB2312" w:hAnsi="仿宋_GB2312" w:eastAsia="仿宋_GB2312"/>
          <w:b w:val="0"/>
          <w:sz w:val="32"/>
        </w:rPr>
        <w:t>五、《一般公共预算财政拨款支出决算表》</w:t>
      </w:r>
    </w:p>
    <w:p w14:paraId="26CDCD0A">
      <w:pPr>
        <w:spacing w:line="240" w:lineRule="auto"/>
        <w:ind w:firstLine="640"/>
        <w:jc w:val="both"/>
      </w:pPr>
      <w:r>
        <w:rPr>
          <w:rFonts w:ascii="仿宋_GB2312" w:hAnsi="仿宋_GB2312" w:eastAsia="仿宋_GB2312"/>
          <w:b w:val="0"/>
          <w:sz w:val="32"/>
        </w:rPr>
        <w:t>六、《一般公共预算财政拨款基本支出决算表》</w:t>
      </w:r>
    </w:p>
    <w:p w14:paraId="154C14AE">
      <w:pPr>
        <w:spacing w:line="240" w:lineRule="auto"/>
        <w:ind w:firstLine="640"/>
        <w:jc w:val="both"/>
      </w:pPr>
      <w:r>
        <w:rPr>
          <w:rFonts w:ascii="仿宋_GB2312" w:hAnsi="仿宋_GB2312" w:eastAsia="仿宋_GB2312"/>
          <w:b w:val="0"/>
          <w:sz w:val="32"/>
        </w:rPr>
        <w:t>七、《政府性基金预算财政拨款收入支出决算表》</w:t>
      </w:r>
    </w:p>
    <w:p w14:paraId="771E49CF">
      <w:pPr>
        <w:spacing w:line="240" w:lineRule="auto"/>
        <w:ind w:firstLine="640"/>
        <w:jc w:val="both"/>
      </w:pPr>
      <w:r>
        <w:rPr>
          <w:rFonts w:ascii="仿宋_GB2312" w:hAnsi="仿宋_GB2312" w:eastAsia="仿宋_GB2312"/>
          <w:b w:val="0"/>
          <w:sz w:val="32"/>
        </w:rPr>
        <w:t>八、《国有资本经营预算财政拨款收入支出决算表》</w:t>
      </w:r>
    </w:p>
    <w:p w14:paraId="315EF8F9">
      <w:pPr>
        <w:spacing w:line="240" w:lineRule="auto"/>
        <w:ind w:firstLine="640"/>
        <w:jc w:val="both"/>
      </w:pPr>
      <w:r>
        <w:rPr>
          <w:rFonts w:ascii="仿宋_GB2312" w:hAnsi="仿宋_GB2312" w:eastAsia="仿宋_GB2312"/>
          <w:b w:val="0"/>
          <w:sz w:val="32"/>
        </w:rPr>
        <w:t>九、《财政拨款“三公”经费支出决算表》</w:t>
      </w:r>
    </w:p>
    <w:p w14:paraId="62C3420A">
      <w:pPr>
        <w:spacing w:line="240" w:lineRule="auto"/>
        <w:ind w:firstLine="640"/>
        <w:jc w:val="both"/>
      </w:pPr>
    </w:p>
    <w:p w14:paraId="54340915">
      <w:pPr>
        <w:spacing w:line="240" w:lineRule="auto"/>
        <w:ind w:firstLine="640"/>
        <w:jc w:val="both"/>
      </w:pPr>
    </w:p>
    <w:p w14:paraId="7DE94265">
      <w:pPr>
        <w:spacing w:line="240" w:lineRule="auto"/>
        <w:ind w:firstLine="640"/>
        <w:jc w:val="both"/>
      </w:pPr>
    </w:p>
    <w:p w14:paraId="4DF71062">
      <w:pPr>
        <w:spacing w:line="240" w:lineRule="auto"/>
        <w:ind w:firstLine="640"/>
        <w:jc w:val="both"/>
      </w:pPr>
    </w:p>
    <w:p w14:paraId="6D9B49E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F4A9E4-5E00-4571-ABF0-4B86CAF4181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519226E-B10C-4FE8-B89F-30C5D386EEF1}"/>
  </w:font>
  <w:font w:name="仿宋_GB2312">
    <w:panose1 w:val="02010609030101010101"/>
    <w:charset w:val="86"/>
    <w:family w:val="modern"/>
    <w:pitch w:val="default"/>
    <w:sig w:usb0="00000001" w:usb1="080E0000" w:usb2="00000000" w:usb3="00000000" w:csb0="00040000" w:csb1="00000000"/>
    <w:embedRegular r:id="rId3" w:fontKey="{5853857D-D19D-45A7-B500-005C0F7B6F09}"/>
  </w:font>
  <w:font w:name="楷体_GB2312">
    <w:panose1 w:val="02010609030101010101"/>
    <w:charset w:val="86"/>
    <w:family w:val="auto"/>
    <w:pitch w:val="default"/>
    <w:sig w:usb0="00000001" w:usb1="080E0000" w:usb2="00000000" w:usb3="00000000" w:csb0="00040000" w:csb1="00000000"/>
    <w:embedRegular r:id="rId4" w:fontKey="{68975889-FC3C-483A-80AC-904DB943C683}"/>
  </w:font>
  <w:font w:name="WPSEMBED9">
    <w:panose1 w:val="02010609030101010101"/>
    <w:charset w:val="86"/>
    <w:family w:val="auto"/>
    <w:pitch w:val="default"/>
    <w:sig w:usb0="00000001" w:usb1="080E0000" w:usb2="00000000" w:usb3="00000000" w:csb0="00040000" w:csb1="00000000"/>
  </w:font>
  <w:font w:name="WPSEMBED10">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71CB8"/>
    <w:rsid w:val="0F9811B3"/>
    <w:rsid w:val="11E15093"/>
    <w:rsid w:val="120E0809"/>
    <w:rsid w:val="19071D6C"/>
    <w:rsid w:val="19A221DF"/>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4974</Words>
  <Characters>5545</Characters>
  <Lines>0</Lines>
  <Paragraphs>0</Paragraphs>
  <TotalTime>6</TotalTime>
  <ScaleCrop>false</ScaleCrop>
  <LinksUpToDate>false</LinksUpToDate>
  <CharactersWithSpaces>5555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2025-09-05T03:16:33Z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