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AD29B7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英吉沙县市场监督管理局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09F8FA6">
      <w:r>
        <w:br w:type="page"/>
      </w:r>
    </w:p>
    <w:p w14:paraId="07F088BC">
      <w:pPr>
        <w:spacing w:line="640" w:lineRule="exact"/>
        <w:jc w:val="center"/>
        <w:outlineLvl w:val="1"/>
      </w:pPr>
      <w:r>
        <w:rPr>
          <w:rFonts w:ascii="黑体" w:hAnsi="黑体" w:eastAsia="黑体"/>
          <w:sz w:val="32"/>
        </w:rPr>
        <w:t>第一部分 单位概况</w:t>
      </w:r>
    </w:p>
    <w:p w14:paraId="42629034">
      <w:pPr>
        <w:spacing w:line="640" w:lineRule="exact"/>
        <w:ind w:firstLine="640"/>
        <w:jc w:val="both"/>
        <w:outlineLvl w:val="2"/>
      </w:pPr>
      <w:r>
        <w:rPr>
          <w:rFonts w:ascii="黑体" w:hAnsi="黑体" w:eastAsia="黑体"/>
          <w:sz w:val="32"/>
        </w:rPr>
        <w:t>一、主要职能</w:t>
      </w:r>
    </w:p>
    <w:p w14:paraId="0110BC6C">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辖区范围内的个体私营经济登记管理。</w:t>
      </w:r>
    </w:p>
    <w:p w14:paraId="0D3729D9">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消费品综合市场的管理，日常监督管理及年检验照工作。</w:t>
      </w:r>
    </w:p>
    <w:p w14:paraId="2E20FCA8">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查处生产经营活动中的违规，违法经营行为。</w:t>
      </w:r>
    </w:p>
    <w:p w14:paraId="16539DD3">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受理消费者的投诉等。</w:t>
      </w:r>
    </w:p>
    <w:p w14:paraId="692BD883">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负责授权或委托的行政审批权限和日常监管工作。</w:t>
      </w:r>
    </w:p>
    <w:p w14:paraId="31FD17A2">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承担上级下放到质量技术监督，食品药品监督的行政许可职责。</w:t>
      </w:r>
    </w:p>
    <w:p w14:paraId="175BB5D2">
      <w:pPr>
        <w:spacing w:line="640" w:lineRule="exact"/>
        <w:ind w:firstLine="640"/>
        <w:jc w:val="both"/>
        <w:outlineLvl w:val="2"/>
      </w:pPr>
      <w:r>
        <w:rPr>
          <w:rFonts w:ascii="黑体" w:hAnsi="黑体" w:eastAsia="黑体"/>
          <w:sz w:val="32"/>
        </w:rPr>
        <w:t>二、机构设置及人员情况</w:t>
      </w:r>
    </w:p>
    <w:p w14:paraId="733E98C8">
      <w:pPr>
        <w:spacing w:line="580" w:lineRule="exact"/>
        <w:ind w:firstLine="640"/>
        <w:jc w:val="both"/>
      </w:pPr>
      <w:r>
        <w:rPr>
          <w:rFonts w:ascii="仿宋_GB2312" w:hAnsi="仿宋_GB2312" w:eastAsia="仿宋_GB2312"/>
          <w:sz w:val="32"/>
        </w:rPr>
        <w:t>英吉沙县市场监督管理局2024年度，实有人数79人，其中：在职人员47人，增加2人；离休人员0人，增加0人；退休人员32人,增加4人。</w:t>
      </w:r>
    </w:p>
    <w:p w14:paraId="2A989200">
      <w:pPr>
        <w:spacing w:line="580" w:lineRule="exact"/>
        <w:ind w:firstLine="640"/>
        <w:jc w:val="both"/>
      </w:pPr>
      <w:r>
        <w:rPr>
          <w:rFonts w:ascii="仿宋_GB2312" w:hAnsi="仿宋_GB2312" w:eastAsia="仿宋_GB2312"/>
          <w:sz w:val="32"/>
        </w:rPr>
        <w:t>英吉沙县市场监督管理局无下属预算单位，下设5个科室，分别是：办公室、综合一室、综合二室、综合三室、综合四室。</w:t>
      </w:r>
    </w:p>
    <w:p w14:paraId="68EC1DB6">
      <w:r>
        <w:br w:type="page"/>
      </w:r>
    </w:p>
    <w:p w14:paraId="776F38B6">
      <w:pPr>
        <w:spacing w:line="240" w:lineRule="auto"/>
        <w:jc w:val="center"/>
        <w:outlineLvl w:val="1"/>
      </w:pPr>
      <w:r>
        <w:rPr>
          <w:rFonts w:ascii="黑体" w:hAnsi="黑体" w:eastAsia="黑体"/>
          <w:sz w:val="32"/>
        </w:rPr>
        <w:t>第二部分 部门决算情况说明</w:t>
      </w:r>
    </w:p>
    <w:p w14:paraId="2AAC23B8">
      <w:pPr>
        <w:spacing w:line="640" w:lineRule="exact"/>
        <w:ind w:firstLine="640"/>
        <w:jc w:val="both"/>
        <w:outlineLvl w:val="2"/>
      </w:pPr>
      <w:r>
        <w:rPr>
          <w:rFonts w:ascii="黑体" w:hAnsi="黑体" w:eastAsia="黑体"/>
          <w:sz w:val="32"/>
        </w:rPr>
        <w:t>一、收入支出决算总体情况说明</w:t>
      </w:r>
    </w:p>
    <w:p w14:paraId="4F10D074">
      <w:pPr>
        <w:spacing w:line="580" w:lineRule="exact"/>
        <w:ind w:firstLine="640"/>
        <w:jc w:val="both"/>
      </w:pPr>
      <w:r>
        <w:rPr>
          <w:rFonts w:ascii="仿宋_GB2312" w:hAnsi="仿宋_GB2312" w:eastAsia="仿宋_GB2312"/>
          <w:b/>
          <w:sz w:val="32"/>
        </w:rPr>
        <w:t>2024年度收入总计1,346.00万元，</w:t>
      </w:r>
      <w:r>
        <w:rPr>
          <w:rFonts w:ascii="仿宋_GB2312" w:hAnsi="仿宋_GB2312" w:eastAsia="仿宋_GB2312"/>
          <w:b w:val="0"/>
          <w:sz w:val="32"/>
        </w:rPr>
        <w:t>其中：本年收入合计1,346.00万元，使用非财政拨款结余（含专用结余）0.00万元，年初结转和结余0.00万元。</w:t>
      </w:r>
    </w:p>
    <w:p w14:paraId="4A570871">
      <w:pPr>
        <w:spacing w:line="580" w:lineRule="exact"/>
        <w:ind w:firstLine="640"/>
        <w:jc w:val="both"/>
      </w:pPr>
      <w:r>
        <w:rPr>
          <w:rFonts w:ascii="仿宋_GB2312" w:hAnsi="仿宋_GB2312" w:eastAsia="仿宋_GB2312"/>
          <w:b/>
          <w:sz w:val="32"/>
        </w:rPr>
        <w:t>2024年度支出总计1,346.00万元，</w:t>
      </w:r>
      <w:r>
        <w:rPr>
          <w:rFonts w:ascii="仿宋_GB2312" w:hAnsi="仿宋_GB2312" w:eastAsia="仿宋_GB2312"/>
          <w:b w:val="0"/>
          <w:sz w:val="32"/>
        </w:rPr>
        <w:t>其中：本年支出合计1,346.00万元，结余分配0.00万元，年末结转和结余0.00万元。</w:t>
      </w:r>
    </w:p>
    <w:p w14:paraId="78AA69DD">
      <w:pPr>
        <w:spacing w:line="580" w:lineRule="exact"/>
        <w:ind w:firstLine="640"/>
        <w:jc w:val="both"/>
      </w:pPr>
      <w:r>
        <w:rPr>
          <w:rFonts w:ascii="仿宋_GB2312" w:hAnsi="仿宋_GB2312" w:eastAsia="仿宋_GB2312"/>
          <w:b w:val="0"/>
          <w:sz w:val="32"/>
        </w:rPr>
        <w:t>收入支出总体与上年相比，增加509.30万元，增长60.87%，主要原因是：本年在职人员增加，在职人员工资调增、社保、公积金基数调增，人员经费增加。本年增加2024年产品质量安全抽检、2024年食用农产品抽检费、2024年度食品安全监督抽检和食品安全执法能力提升等项目经费，导致相关经费增加。</w:t>
      </w:r>
    </w:p>
    <w:p w14:paraId="61A0B99B">
      <w:pPr>
        <w:spacing w:line="640" w:lineRule="exact"/>
        <w:ind w:firstLine="640"/>
        <w:jc w:val="both"/>
        <w:outlineLvl w:val="2"/>
      </w:pPr>
      <w:r>
        <w:rPr>
          <w:rFonts w:ascii="黑体" w:hAnsi="黑体" w:eastAsia="黑体"/>
          <w:sz w:val="32"/>
        </w:rPr>
        <w:t>二、收入决算情况说明</w:t>
      </w:r>
    </w:p>
    <w:p w14:paraId="34FD76C0">
      <w:pPr>
        <w:spacing w:line="580" w:lineRule="exact"/>
        <w:ind w:firstLine="640"/>
        <w:jc w:val="both"/>
      </w:pPr>
      <w:r>
        <w:rPr>
          <w:rFonts w:ascii="仿宋_GB2312" w:hAnsi="仿宋_GB2312" w:eastAsia="仿宋_GB2312"/>
          <w:b/>
          <w:sz w:val="32"/>
        </w:rPr>
        <w:t>本年收入1,346.00万元，</w:t>
      </w:r>
      <w:r>
        <w:rPr>
          <w:rFonts w:ascii="仿宋_GB2312" w:hAnsi="仿宋_GB2312" w:eastAsia="仿宋_GB2312"/>
          <w:b w:val="0"/>
          <w:sz w:val="32"/>
        </w:rPr>
        <w:t>其中：财政拨款收入1,332.17万元，占98.97%；上级补助收入0.00万元，占0.00%；事业收入0.00万元，占0.00%；经营收入0.00万元，占0.00%；附属单位上缴收入0.00万元，占0.00%；其他收入13.83万元，占1.03%。</w:t>
      </w:r>
    </w:p>
    <w:p w14:paraId="27748920">
      <w:pPr>
        <w:spacing w:line="640" w:lineRule="exact"/>
        <w:ind w:firstLine="640"/>
        <w:jc w:val="both"/>
        <w:outlineLvl w:val="2"/>
      </w:pPr>
      <w:r>
        <w:rPr>
          <w:rFonts w:ascii="黑体" w:hAnsi="黑体" w:eastAsia="黑体"/>
          <w:sz w:val="32"/>
        </w:rPr>
        <w:t>三、支出决算情况说明</w:t>
      </w:r>
    </w:p>
    <w:p w14:paraId="38578384">
      <w:pPr>
        <w:spacing w:line="580" w:lineRule="exact"/>
        <w:ind w:firstLine="640"/>
        <w:jc w:val="both"/>
      </w:pPr>
      <w:r>
        <w:rPr>
          <w:rFonts w:ascii="仿宋_GB2312" w:hAnsi="仿宋_GB2312" w:eastAsia="仿宋_GB2312"/>
          <w:b/>
          <w:sz w:val="32"/>
        </w:rPr>
        <w:t>本年支出1,346.00万元，</w:t>
      </w:r>
      <w:r>
        <w:rPr>
          <w:rFonts w:ascii="仿宋_GB2312" w:hAnsi="仿宋_GB2312" w:eastAsia="仿宋_GB2312"/>
          <w:b w:val="0"/>
          <w:sz w:val="32"/>
        </w:rPr>
        <w:t>其中：基本支出941.34万元，占69.94%；项目支出404.66万元，占30.06%；上缴上级支出0.00万元，占0.00%；经营支出0.00万元，占0.00%；对附属单位补助支出0.00万元，占0.00%。</w:t>
      </w:r>
    </w:p>
    <w:p w14:paraId="1D8208D9">
      <w:pPr>
        <w:spacing w:line="640" w:lineRule="exact"/>
        <w:ind w:firstLine="640"/>
        <w:jc w:val="both"/>
        <w:outlineLvl w:val="2"/>
      </w:pPr>
      <w:r>
        <w:rPr>
          <w:rFonts w:ascii="黑体" w:hAnsi="黑体" w:eastAsia="黑体"/>
          <w:sz w:val="32"/>
        </w:rPr>
        <w:t>四、财政拨款收入支出决算总体情况说明</w:t>
      </w:r>
    </w:p>
    <w:p w14:paraId="356457F4">
      <w:pPr>
        <w:spacing w:line="580" w:lineRule="exact"/>
        <w:ind w:firstLine="640"/>
        <w:jc w:val="both"/>
      </w:pPr>
      <w:r>
        <w:rPr>
          <w:rFonts w:ascii="仿宋_GB2312" w:hAnsi="仿宋_GB2312" w:eastAsia="仿宋_GB2312"/>
          <w:b/>
          <w:sz w:val="32"/>
        </w:rPr>
        <w:t>2024年度财政拨款收入总计1,332.17万元，</w:t>
      </w:r>
      <w:r>
        <w:rPr>
          <w:rFonts w:ascii="仿宋_GB2312" w:hAnsi="仿宋_GB2312" w:eastAsia="仿宋_GB2312"/>
          <w:b w:val="0"/>
          <w:sz w:val="32"/>
        </w:rPr>
        <w:t>其中：年初财政拨款结转和结余0.00万元，本年财政拨款收入1,332.17万元。</w:t>
      </w:r>
      <w:r>
        <w:rPr>
          <w:rFonts w:ascii="仿宋_GB2312" w:hAnsi="仿宋_GB2312" w:eastAsia="仿宋_GB2312"/>
          <w:b/>
          <w:sz w:val="32"/>
        </w:rPr>
        <w:t>财政拨款支出总计1,332.17万元，</w:t>
      </w:r>
      <w:r>
        <w:rPr>
          <w:rFonts w:ascii="仿宋_GB2312" w:hAnsi="仿宋_GB2312" w:eastAsia="仿宋_GB2312"/>
          <w:b w:val="0"/>
          <w:sz w:val="32"/>
        </w:rPr>
        <w:t>其中：年末财政拨款结转和结余0.00万元，本年财政拨款支出1,332.17万元。</w:t>
      </w:r>
    </w:p>
    <w:p w14:paraId="2C4B715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495.47万元，增长59.22%，主要原因是：本年在职人员增加，在职人员工资调增、社保、公积金基数调增，人员经费增加。本年增加2024年产品质量安全抽检、2024年食用农产品抽检费、2024年度食品安全监督抽检和食品安全执法能力提升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830.54万元，决算数1,332.17万元，预决算差异率60.40%，主要原因是：年中追加人员工资、社保、公积金基数调增部分资金，年中追加2024年产品质量安全抽检、2024年食用农产品抽检费、2024年度食品安全监督抽检和食品安全执法能力提升等项目经费，导致预决算差异。</w:t>
      </w:r>
    </w:p>
    <w:p w14:paraId="2EF378ED">
      <w:pPr>
        <w:spacing w:line="640" w:lineRule="exact"/>
        <w:ind w:firstLine="640"/>
        <w:jc w:val="both"/>
        <w:outlineLvl w:val="2"/>
      </w:pPr>
      <w:r>
        <w:rPr>
          <w:rFonts w:ascii="黑体" w:hAnsi="黑体" w:eastAsia="黑体"/>
          <w:sz w:val="32"/>
        </w:rPr>
        <w:t>五、一般公共预算财政拨款支出决算情况说明</w:t>
      </w:r>
    </w:p>
    <w:p w14:paraId="4092C02E">
      <w:pPr>
        <w:spacing w:line="640" w:lineRule="exact"/>
        <w:ind w:firstLine="640"/>
        <w:jc w:val="both"/>
        <w:outlineLvl w:val="3"/>
      </w:pPr>
      <w:r>
        <w:rPr>
          <w:rFonts w:ascii="楷体_GB2312" w:hAnsi="楷体_GB2312" w:eastAsia="楷体_GB2312"/>
          <w:b/>
          <w:sz w:val="32"/>
        </w:rPr>
        <w:t>（一）一般公共预算财政拨款支出决算总体情况</w:t>
      </w:r>
    </w:p>
    <w:p w14:paraId="780787A4">
      <w:pPr>
        <w:spacing w:line="580" w:lineRule="exact"/>
        <w:ind w:firstLine="640"/>
        <w:jc w:val="both"/>
      </w:pPr>
      <w:r>
        <w:rPr>
          <w:rFonts w:ascii="仿宋_GB2312" w:hAnsi="仿宋_GB2312" w:eastAsia="仿宋_GB2312"/>
          <w:b/>
          <w:sz w:val="32"/>
        </w:rPr>
        <w:t>2024年度一般公共预算财政拨款支出1,332.17万元，</w:t>
      </w:r>
      <w:r>
        <w:rPr>
          <w:rFonts w:ascii="仿宋_GB2312" w:hAnsi="仿宋_GB2312" w:eastAsia="仿宋_GB2312"/>
          <w:b w:val="0"/>
          <w:sz w:val="32"/>
        </w:rPr>
        <w:t>占本年支出合计的98.97%。</w:t>
      </w:r>
      <w:r>
        <w:rPr>
          <w:rFonts w:ascii="仿宋_GB2312" w:hAnsi="仿宋_GB2312" w:eastAsia="仿宋_GB2312"/>
          <w:b/>
          <w:sz w:val="32"/>
        </w:rPr>
        <w:t>与上年相比，</w:t>
      </w:r>
      <w:r>
        <w:rPr>
          <w:rFonts w:ascii="仿宋_GB2312" w:hAnsi="仿宋_GB2312" w:eastAsia="仿宋_GB2312"/>
          <w:b w:val="0"/>
          <w:sz w:val="32"/>
        </w:rPr>
        <w:t>增加495.47万元，增长59.22%，主要原因是：本年在职人员增加，在职人员工资调增、社保、公积金基数调增，人员经费增加。本年增加2024年产品质量安全抽检、2024年食用农产品抽检费、2024年度食品安全监督抽检和食品安全执法能力提升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830.54万元，决算数1,332.17万元，预决算差异率60.40%，主要原因是：年中追加人员工资、社保、公积金基数调增部分资金，年中追加2024年产品质量安全抽检、2024年食用农产品抽检费、2024年度食品安全监督抽检和食品安全执法能力提升等项目经费，导致预决算差异。</w:t>
      </w:r>
    </w:p>
    <w:p w14:paraId="6686D009">
      <w:pPr>
        <w:spacing w:line="640" w:lineRule="exact"/>
        <w:ind w:firstLine="640"/>
        <w:jc w:val="both"/>
        <w:outlineLvl w:val="3"/>
      </w:pPr>
      <w:r>
        <w:rPr>
          <w:rFonts w:ascii="楷体_GB2312" w:hAnsi="楷体_GB2312" w:eastAsia="楷体_GB2312"/>
          <w:b/>
          <w:sz w:val="32"/>
        </w:rPr>
        <w:t>（二）一般公共预算财政拨款支出决算结构情况</w:t>
      </w:r>
    </w:p>
    <w:p w14:paraId="5E2F9D62">
      <w:pPr>
        <w:spacing w:line="580" w:lineRule="exact"/>
        <w:ind w:firstLine="640"/>
        <w:jc w:val="both"/>
      </w:pPr>
      <w:r>
        <w:rPr>
          <w:rFonts w:ascii="仿宋_GB2312" w:hAnsi="仿宋_GB2312" w:eastAsia="仿宋_GB2312"/>
          <w:b w:val="0"/>
          <w:sz w:val="32"/>
        </w:rPr>
        <w:t>1.一般公共服务支出(类)750.38万元,占56.33%。</w:t>
      </w:r>
    </w:p>
    <w:p w14:paraId="14B13B8A">
      <w:pPr>
        <w:spacing w:line="580" w:lineRule="exact"/>
        <w:ind w:firstLine="640"/>
        <w:jc w:val="both"/>
      </w:pPr>
      <w:r>
        <w:rPr>
          <w:rFonts w:ascii="仿宋_GB2312" w:hAnsi="仿宋_GB2312" w:eastAsia="仿宋_GB2312"/>
          <w:b w:val="0"/>
          <w:sz w:val="32"/>
        </w:rPr>
        <w:t>2.社会保障和就业支出(类)113.53万元,占8.52%。</w:t>
      </w:r>
    </w:p>
    <w:p w14:paraId="503752B4">
      <w:pPr>
        <w:spacing w:line="580" w:lineRule="exact"/>
        <w:ind w:firstLine="640"/>
        <w:jc w:val="both"/>
      </w:pPr>
      <w:r>
        <w:rPr>
          <w:rFonts w:ascii="仿宋_GB2312" w:hAnsi="仿宋_GB2312" w:eastAsia="仿宋_GB2312"/>
          <w:b w:val="0"/>
          <w:sz w:val="32"/>
        </w:rPr>
        <w:t>3.卫生健康支出(类)36.31万元,占2.73%。</w:t>
      </w:r>
    </w:p>
    <w:p w14:paraId="7FE97946">
      <w:pPr>
        <w:spacing w:line="580" w:lineRule="exact"/>
        <w:ind w:firstLine="640"/>
        <w:jc w:val="both"/>
      </w:pPr>
      <w:r>
        <w:rPr>
          <w:rFonts w:ascii="仿宋_GB2312" w:hAnsi="仿宋_GB2312" w:eastAsia="仿宋_GB2312"/>
          <w:b w:val="0"/>
          <w:sz w:val="32"/>
        </w:rPr>
        <w:t>4.农林水支出(类)374.66万元,占28.12%。</w:t>
      </w:r>
    </w:p>
    <w:p w14:paraId="37DC307D">
      <w:pPr>
        <w:spacing w:line="580" w:lineRule="exact"/>
        <w:ind w:firstLine="640"/>
        <w:jc w:val="both"/>
      </w:pPr>
      <w:r>
        <w:rPr>
          <w:rFonts w:ascii="仿宋_GB2312" w:hAnsi="仿宋_GB2312" w:eastAsia="仿宋_GB2312"/>
          <w:b w:val="0"/>
          <w:sz w:val="32"/>
        </w:rPr>
        <w:t>5.住房保障支出(类)57.29万元,占4.30%。</w:t>
      </w:r>
    </w:p>
    <w:p w14:paraId="5B4EC6E8">
      <w:pPr>
        <w:spacing w:line="640" w:lineRule="exact"/>
        <w:ind w:firstLine="640"/>
        <w:jc w:val="both"/>
        <w:outlineLvl w:val="3"/>
      </w:pPr>
      <w:r>
        <w:rPr>
          <w:rFonts w:ascii="楷体_GB2312" w:hAnsi="楷体_GB2312" w:eastAsia="楷体_GB2312"/>
          <w:b/>
          <w:sz w:val="32"/>
        </w:rPr>
        <w:t>（三）一般公共预算财政拨款支出决算具体情况</w:t>
      </w:r>
    </w:p>
    <w:p w14:paraId="05D0C398">
      <w:pPr>
        <w:spacing w:line="580" w:lineRule="exact"/>
        <w:ind w:firstLine="640"/>
        <w:jc w:val="both"/>
      </w:pPr>
      <w:r>
        <w:rPr>
          <w:rFonts w:ascii="仿宋_GB2312" w:hAnsi="仿宋_GB2312" w:eastAsia="仿宋_GB2312"/>
          <w:b w:val="0"/>
          <w:sz w:val="32"/>
        </w:rPr>
        <w:t>1.一般公共服务支出(类)市场监督管理事务(款)行政运行(项):支出决算数为717.38万元，比上年决算增加118.19万元，增长19.72%,主要原因是：本年新增在职人员，人员经费增加，在职人员工资调增，导致相关人员经费较上年有所增加。</w:t>
      </w:r>
    </w:p>
    <w:p w14:paraId="7FB677E7">
      <w:pPr>
        <w:spacing w:line="580" w:lineRule="exact"/>
        <w:ind w:firstLine="640"/>
        <w:jc w:val="both"/>
      </w:pPr>
      <w:r>
        <w:rPr>
          <w:rFonts w:ascii="仿宋_GB2312" w:hAnsi="仿宋_GB2312" w:eastAsia="仿宋_GB2312"/>
          <w:b w:val="0"/>
          <w:sz w:val="32"/>
        </w:rPr>
        <w:t>2.一般公共服务支出(类)市场监督管理事务(款)质量安全监管(项):支出决算数为10.00万元，比上年决算增加10.00万元，增长100.00%,主要原因是：本年增加2024年产品质量安全抽检项目经费，导致相关经费增加。</w:t>
      </w:r>
    </w:p>
    <w:p w14:paraId="3B7E796A">
      <w:pPr>
        <w:spacing w:line="580" w:lineRule="exact"/>
        <w:ind w:firstLine="640"/>
        <w:jc w:val="both"/>
      </w:pPr>
      <w:r>
        <w:rPr>
          <w:rFonts w:ascii="仿宋_GB2312" w:hAnsi="仿宋_GB2312" w:eastAsia="仿宋_GB2312"/>
          <w:b w:val="0"/>
          <w:sz w:val="32"/>
        </w:rPr>
        <w:t>3.一般公共服务支出(类)市场监督管理事务(款)食品安全监管(项):支出决算数为10.00万元，比上年决算增加10.00万元，增长100.00%,主要原因是：本年增加2024年食用农产品抽检费项目经费，导致相关经费增加。</w:t>
      </w:r>
    </w:p>
    <w:p w14:paraId="265180C6">
      <w:pPr>
        <w:spacing w:line="580" w:lineRule="exact"/>
        <w:ind w:firstLine="640"/>
        <w:jc w:val="both"/>
      </w:pPr>
      <w:r>
        <w:rPr>
          <w:rFonts w:ascii="仿宋_GB2312" w:hAnsi="仿宋_GB2312" w:eastAsia="仿宋_GB2312"/>
          <w:b w:val="0"/>
          <w:sz w:val="32"/>
        </w:rPr>
        <w:t>4.一般公共服务支出(类)市场监督管理事务(款)事业运行(项):支出决算数为3.00万元，比上年决算减少12.32万元，下降80.42%,主要原因是：本年无此科目奖金经费支出，相应支出减少。</w:t>
      </w:r>
    </w:p>
    <w:p w14:paraId="1A54F091">
      <w:pPr>
        <w:spacing w:line="580" w:lineRule="exact"/>
        <w:ind w:firstLine="640"/>
        <w:jc w:val="both"/>
      </w:pPr>
      <w:r>
        <w:rPr>
          <w:rFonts w:ascii="仿宋_GB2312" w:hAnsi="仿宋_GB2312" w:eastAsia="仿宋_GB2312"/>
          <w:b w:val="0"/>
          <w:sz w:val="32"/>
        </w:rPr>
        <w:t>5.一般公共服务支出(类)市场监督管理事务(款)其他市场监督管理事务(项):支出决算数为10.00万元，比上年决算增加10.00万元，增长100.00%,主要原因是：本年增加2024年度食品安全监督抽检和食品安全执法能力提升项目经费，导致相关经费增加。</w:t>
      </w:r>
    </w:p>
    <w:p w14:paraId="4D4EE5E8">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42.00万元，比上年决算增加9.76万元，增长30.27%,主要原因是：本年退休人员增加、退休人员基础绩效奖调增，退休费支出增加。</w:t>
      </w:r>
    </w:p>
    <w:p w14:paraId="7AB3D689">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71.53万元，比上年决算增加8.09万元，增长12.75%,主要原因是：本年在职人员工资基数调增，养老缴费基数上涨，相应支出增加。</w:t>
      </w:r>
    </w:p>
    <w:p w14:paraId="5F0A49E9">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0.00万元，比上年决算减少19.30万元，下降100.00%,主要原因是：本年功能科目调整，机关事业单位职业年金缴费上年度单独列支，本年调整至主科目列支，导致经费较上年减少。</w:t>
      </w:r>
    </w:p>
    <w:p w14:paraId="60EC4EBB">
      <w:pPr>
        <w:spacing w:line="580" w:lineRule="exact"/>
        <w:ind w:firstLine="640"/>
        <w:jc w:val="both"/>
      </w:pPr>
      <w:r>
        <w:rPr>
          <w:rFonts w:ascii="仿宋_GB2312" w:hAnsi="仿宋_GB2312" w:eastAsia="仿宋_GB2312"/>
          <w:b w:val="0"/>
          <w:sz w:val="32"/>
        </w:rPr>
        <w:t>9.卫生健康支出(类)行政事业单位医疗(款)行政单位医疗(项):支出决算数为29.42万元，比上年决算减少14.00万元，下降32.24%,主要原因是：本年在职人员调入调出，人员职级不同，缴费基数不同，导致行政单位医疗较上年减少。</w:t>
      </w:r>
    </w:p>
    <w:p w14:paraId="31BCCC3D">
      <w:pPr>
        <w:spacing w:line="580" w:lineRule="exact"/>
        <w:ind w:firstLine="640"/>
        <w:jc w:val="both"/>
      </w:pPr>
      <w:r>
        <w:rPr>
          <w:rFonts w:ascii="仿宋_GB2312" w:hAnsi="仿宋_GB2312" w:eastAsia="仿宋_GB2312"/>
          <w:b w:val="0"/>
          <w:sz w:val="32"/>
        </w:rPr>
        <w:t>10.卫生健康支出(类)行政事业单位医疗(款)公务员医疗补助(项):支出决算数为6.89万元，比上年决算减少3.89万元，下降36.09%,主要原因是：本年在职人员调入调出，人员职级不同，缴费基数不同，导致公务员医疗补助较上年减少。</w:t>
      </w:r>
    </w:p>
    <w:p w14:paraId="50492827">
      <w:pPr>
        <w:spacing w:line="580" w:lineRule="exact"/>
        <w:ind w:firstLine="640"/>
        <w:jc w:val="both"/>
      </w:pPr>
      <w:r>
        <w:rPr>
          <w:rFonts w:ascii="仿宋_GB2312" w:hAnsi="仿宋_GB2312" w:eastAsia="仿宋_GB2312"/>
          <w:b w:val="0"/>
          <w:sz w:val="32"/>
        </w:rPr>
        <w:t>11.农林水支出(类)目标价格补贴(款)棉花目标价格补贴(项):支出决算数为374.66万元，比上年决算增加374.66万元，增长100.00%,主要原因是：本年增加2023年度棉花目标价格补助项目经费，导致相关经费增加。</w:t>
      </w:r>
    </w:p>
    <w:p w14:paraId="3045E191">
      <w:pPr>
        <w:spacing w:line="580" w:lineRule="exact"/>
        <w:ind w:firstLine="640"/>
        <w:jc w:val="both"/>
      </w:pPr>
      <w:r>
        <w:rPr>
          <w:rFonts w:ascii="仿宋_GB2312" w:hAnsi="仿宋_GB2312" w:eastAsia="仿宋_GB2312"/>
          <w:b w:val="0"/>
          <w:sz w:val="32"/>
        </w:rPr>
        <w:t>12.住房保障支出(类)住房改革支出(款)住房公积金(项):支出决算数为57.29万元，比上年决算增加4.28万元，增长8.07%,主要原因是：本年在职人员工资基数调增，公积金缴费基数上涨，相应支出增加。</w:t>
      </w:r>
    </w:p>
    <w:p w14:paraId="1FC8EF99">
      <w:pPr>
        <w:spacing w:line="640" w:lineRule="exact"/>
        <w:ind w:firstLine="640"/>
        <w:jc w:val="both"/>
        <w:outlineLvl w:val="2"/>
      </w:pPr>
      <w:r>
        <w:rPr>
          <w:rFonts w:ascii="黑体" w:hAnsi="黑体" w:eastAsia="黑体"/>
          <w:sz w:val="32"/>
        </w:rPr>
        <w:t>六、一般公共预算财政拨款基本支出决算情况说明</w:t>
      </w:r>
    </w:p>
    <w:p w14:paraId="38385D71">
      <w:pPr>
        <w:spacing w:line="580" w:lineRule="exact"/>
        <w:ind w:firstLine="640"/>
        <w:jc w:val="both"/>
      </w:pPr>
      <w:r>
        <w:rPr>
          <w:rFonts w:ascii="仿宋_GB2312" w:hAnsi="仿宋_GB2312" w:eastAsia="仿宋_GB2312"/>
          <w:b w:val="0"/>
          <w:sz w:val="32"/>
        </w:rPr>
        <w:t>2024年度一般公共预算财政拨款基本支出927.51万元，其中：</w:t>
      </w:r>
      <w:r>
        <w:rPr>
          <w:rFonts w:ascii="仿宋_GB2312" w:hAnsi="仿宋_GB2312" w:eastAsia="仿宋_GB2312"/>
          <w:b/>
          <w:sz w:val="32"/>
        </w:rPr>
        <w:t>人员经费903.44万元，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w:t>
      </w:r>
    </w:p>
    <w:p w14:paraId="42F3B47B">
      <w:pPr>
        <w:spacing w:line="580" w:lineRule="exact"/>
        <w:ind w:firstLine="640"/>
        <w:jc w:val="both"/>
      </w:pPr>
      <w:r>
        <w:rPr>
          <w:rFonts w:ascii="仿宋_GB2312" w:hAnsi="仿宋_GB2312" w:eastAsia="仿宋_GB2312"/>
          <w:b/>
          <w:sz w:val="32"/>
        </w:rPr>
        <w:t>公用经费24.07万元，</w:t>
      </w:r>
      <w:r>
        <w:rPr>
          <w:rFonts w:ascii="仿宋_GB2312" w:hAnsi="仿宋_GB2312" w:eastAsia="仿宋_GB2312"/>
          <w:b w:val="0"/>
          <w:sz w:val="32"/>
        </w:rPr>
        <w:t>包括：办公费、水费、电费、邮电费、取暖费、差旅费、公务用车运行维护费。</w:t>
      </w:r>
    </w:p>
    <w:p w14:paraId="60C70027">
      <w:pPr>
        <w:spacing w:line="640" w:lineRule="exact"/>
        <w:ind w:firstLine="640"/>
        <w:jc w:val="both"/>
        <w:outlineLvl w:val="2"/>
      </w:pPr>
      <w:r>
        <w:rPr>
          <w:rFonts w:ascii="黑体" w:hAnsi="黑体" w:eastAsia="黑体"/>
          <w:sz w:val="32"/>
        </w:rPr>
        <w:t>七、政府性基金预算财政拨款收入支出决算情况说明</w:t>
      </w:r>
    </w:p>
    <w:p w14:paraId="109A8BE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192DC39">
      <w:pPr>
        <w:spacing w:line="640" w:lineRule="exact"/>
        <w:ind w:firstLine="640"/>
        <w:jc w:val="both"/>
        <w:outlineLvl w:val="2"/>
      </w:pPr>
      <w:r>
        <w:rPr>
          <w:rFonts w:ascii="黑体" w:hAnsi="黑体" w:eastAsia="黑体"/>
          <w:sz w:val="32"/>
        </w:rPr>
        <w:t>八、国有资本经营预算财政拨款收入支出决算情况说明</w:t>
      </w:r>
    </w:p>
    <w:p w14:paraId="2ECD574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3CD6588">
      <w:pPr>
        <w:spacing w:line="640" w:lineRule="exact"/>
        <w:ind w:firstLine="640"/>
        <w:jc w:val="both"/>
        <w:outlineLvl w:val="2"/>
      </w:pPr>
      <w:r>
        <w:rPr>
          <w:rFonts w:ascii="黑体" w:hAnsi="黑体" w:eastAsia="黑体"/>
          <w:sz w:val="32"/>
        </w:rPr>
        <w:t>九、财政拨款“三公”经费支出决算情况说明</w:t>
      </w:r>
    </w:p>
    <w:p w14:paraId="15C97EF8">
      <w:pPr>
        <w:spacing w:line="580" w:lineRule="exact"/>
        <w:ind w:firstLine="640"/>
        <w:jc w:val="both"/>
      </w:pPr>
      <w:r>
        <w:rPr>
          <w:rFonts w:ascii="仿宋_GB2312" w:hAnsi="仿宋_GB2312" w:eastAsia="仿宋_GB2312"/>
          <w:b/>
          <w:sz w:val="32"/>
        </w:rPr>
        <w:t>2024年度财政拨款“三公”经费支出2.10万元，</w:t>
      </w:r>
      <w:r>
        <w:rPr>
          <w:rFonts w:ascii="仿宋_GB2312" w:hAnsi="仿宋_GB2312" w:eastAsia="仿宋_GB2312"/>
          <w:b w:val="0"/>
          <w:sz w:val="32"/>
        </w:rPr>
        <w:t>比上年增加0.00万元，增长0.00%，主要原因是：本单位财政拨款“三公”经费与上年一致无变化。其中：因公出国（境）费支出0.00万元，占0.00%，比上年增加0.00万元，增长0.00%，主要原因是：2023年与2024年均未安排因公出国（境）费支出。公务用车购置及运行维护费支出2.10万元，占100.00%，比上年增加0.00万元，增长0.00%，主要原因是：本单位公务用车运行维护费与上年一致无变化。公务接待费支出0.00万元，占0.00%，比上年增加0.00万元，增长0.00%，主要原因是：2023年与2024年均未安排公务接待费支出。</w:t>
      </w:r>
    </w:p>
    <w:p w14:paraId="0616D294">
      <w:pPr>
        <w:spacing w:line="580" w:lineRule="exact"/>
        <w:ind w:firstLine="640"/>
        <w:jc w:val="both"/>
      </w:pPr>
      <w:r>
        <w:rPr>
          <w:rFonts w:ascii="仿宋_GB2312" w:hAnsi="仿宋_GB2312" w:eastAsia="仿宋_GB2312"/>
          <w:b/>
          <w:sz w:val="32"/>
        </w:rPr>
        <w:t>具体情况如下：</w:t>
      </w:r>
    </w:p>
    <w:p w14:paraId="3505BFF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D42F3BB">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加油费、维修费、保险费、审车费。公务用车购置数0辆，公务用车保有量4辆。国有资产占用情况中固定资产车辆4辆，与公务用车保有量差异原因是：本单位固定资产车辆与公务用车保有量一致无差异。</w:t>
      </w:r>
    </w:p>
    <w:p w14:paraId="033B431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824133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万元，决算数2.10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0.00万元，决算数0.00万元，预决算差异率0.00%，主要原因是：本单位无公务接待费。</w:t>
      </w:r>
    </w:p>
    <w:p w14:paraId="19B9DB31">
      <w:pPr>
        <w:spacing w:line="640" w:lineRule="exact"/>
        <w:ind w:firstLine="640"/>
        <w:jc w:val="both"/>
        <w:outlineLvl w:val="2"/>
      </w:pPr>
      <w:r>
        <w:rPr>
          <w:rFonts w:ascii="黑体" w:hAnsi="黑体" w:eastAsia="黑体"/>
          <w:sz w:val="32"/>
        </w:rPr>
        <w:t>十、其他重要事项的情况说明</w:t>
      </w:r>
    </w:p>
    <w:p w14:paraId="24795DE6">
      <w:pPr>
        <w:spacing w:line="640" w:lineRule="exact"/>
        <w:ind w:firstLine="640"/>
        <w:jc w:val="both"/>
        <w:outlineLvl w:val="3"/>
      </w:pPr>
      <w:r>
        <w:rPr>
          <w:rFonts w:ascii="楷体_GB2312" w:hAnsi="楷体_GB2312" w:eastAsia="楷体_GB2312"/>
          <w:b/>
          <w:sz w:val="32"/>
        </w:rPr>
        <w:t>（一）机关运行经费及公用经费支出情况</w:t>
      </w:r>
    </w:p>
    <w:p w14:paraId="115E64E1">
      <w:pPr>
        <w:spacing w:line="580" w:lineRule="exact"/>
        <w:ind w:firstLine="640"/>
        <w:jc w:val="both"/>
      </w:pPr>
      <w:r>
        <w:rPr>
          <w:rFonts w:ascii="仿宋_GB2312" w:hAnsi="仿宋_GB2312" w:eastAsia="仿宋_GB2312"/>
          <w:b w:val="0"/>
          <w:sz w:val="32"/>
        </w:rPr>
        <w:t>2024年度英吉沙县市场监督管理局（行政单位和参照公务员法管理事业单位）机关运行经费支出24.07万元，比上年增加9.68万元，增长67.27%，主要原因是：本年增加办公费等经费，导致机关运行经费增加。</w:t>
      </w:r>
    </w:p>
    <w:p w14:paraId="34ABD969">
      <w:pPr>
        <w:spacing w:line="640" w:lineRule="exact"/>
        <w:ind w:firstLine="640"/>
        <w:jc w:val="both"/>
        <w:outlineLvl w:val="3"/>
      </w:pPr>
      <w:r>
        <w:rPr>
          <w:rFonts w:ascii="楷体_GB2312" w:hAnsi="楷体_GB2312" w:eastAsia="楷体_GB2312"/>
          <w:b/>
          <w:sz w:val="32"/>
        </w:rPr>
        <w:t>（二）政府采购情况</w:t>
      </w:r>
    </w:p>
    <w:p w14:paraId="046FEF76">
      <w:pPr>
        <w:spacing w:line="580" w:lineRule="exact"/>
        <w:ind w:firstLine="640"/>
        <w:jc w:val="both"/>
      </w:pPr>
      <w:r>
        <w:rPr>
          <w:rFonts w:ascii="仿宋_GB2312" w:hAnsi="仿宋_GB2312" w:eastAsia="仿宋_GB2312"/>
          <w:b w:val="0"/>
          <w:sz w:val="32"/>
        </w:rPr>
        <w:t>2024年度政府采购支出总额5.10万元，其中：政府采购货物支出5.10万元、政府采购工程支出0.00万元、政府采购服务支出0.00万元。</w:t>
      </w:r>
    </w:p>
    <w:p w14:paraId="2E4E1318">
      <w:pPr>
        <w:spacing w:line="580" w:lineRule="exact"/>
        <w:ind w:firstLine="640"/>
        <w:jc w:val="both"/>
      </w:pPr>
      <w:r>
        <w:rPr>
          <w:rFonts w:ascii="仿宋_GB2312" w:hAnsi="仿宋_GB2312" w:eastAsia="仿宋_GB2312"/>
          <w:b w:val="0"/>
          <w:sz w:val="32"/>
        </w:rPr>
        <w:t>授予中小企业合同金额5.10万元，占政府采购支出总额的100.00%，其中：授予小微企业合同金额5.10万元，占政府采购支出总额的100.00%。</w:t>
      </w:r>
    </w:p>
    <w:p w14:paraId="1A52D33B">
      <w:pPr>
        <w:spacing w:line="640" w:lineRule="exact"/>
        <w:ind w:firstLine="640"/>
        <w:jc w:val="both"/>
        <w:outlineLvl w:val="3"/>
      </w:pPr>
      <w:r>
        <w:rPr>
          <w:rFonts w:ascii="楷体_GB2312" w:hAnsi="楷体_GB2312" w:eastAsia="楷体_GB2312"/>
          <w:b/>
          <w:sz w:val="32"/>
        </w:rPr>
        <w:t>（三）国有资产占用情况说明</w:t>
      </w:r>
    </w:p>
    <w:p w14:paraId="1E2A08AA">
      <w:pPr>
        <w:spacing w:line="580" w:lineRule="exact"/>
        <w:ind w:firstLine="640"/>
        <w:jc w:val="both"/>
      </w:pPr>
      <w:r>
        <w:rPr>
          <w:rFonts w:ascii="仿宋_GB2312" w:hAnsi="仿宋_GB2312" w:eastAsia="仿宋_GB2312"/>
          <w:b w:val="0"/>
          <w:sz w:val="32"/>
        </w:rPr>
        <w:t>截至2024年12月31日，房屋4,304.83平方米，价值302.87万元。车辆4辆，价值46.26万元，其中：副部（省）级及以上领导用车0辆、主要负责人用车0辆、机要通信用车0辆、应急保障用车0辆、执法执勤用车3辆、特种专业技术用车0辆、离退休干部服务用车0辆、其他用车1辆，其他用车主要是：一般公务用车。单价100万元（含）以上设备（不含车辆）0台（套）。</w:t>
      </w:r>
    </w:p>
    <w:p w14:paraId="2D2623B3">
      <w:pPr>
        <w:spacing w:line="640" w:lineRule="exact"/>
        <w:ind w:firstLine="640"/>
        <w:jc w:val="both"/>
        <w:outlineLvl w:val="2"/>
      </w:pPr>
      <w:r>
        <w:rPr>
          <w:rFonts w:ascii="黑体" w:hAnsi="黑体" w:eastAsia="黑体"/>
          <w:sz w:val="32"/>
        </w:rPr>
        <w:t>十一、预算绩效的情况说明</w:t>
      </w:r>
    </w:p>
    <w:p w14:paraId="4C0E894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1,346.00万元，实际执行总额1,346.00万元；预算绩效评价项目3个，全年预算数35.00万元，全年执行数35.00万元。预算绩效管理取得的成效：一是成本效益意识有所增强，通过设定绩效目标和跟踪，更加注重资金效益；二是完善绩效评价体系，通过项目实际评估、第三方评估和群众满意度等方式，提高了绩效评价的客观性。发现的问题及原因：一是对预算绩效管理的重要性认识不足。对预算绩效管理的认识上存在一定的误区，并且认识和了解都不够深入，预算绩效管理体制需进一步完善；二是预算绩效管理经验欠缺，实际操作难，工作人员频繁更换，工作人员业务不精通、经验有限。下一步改进措施：一是加强对预算单位绩效专干、财务人员对绩效工作及绩效系统的培训，强化预算绩效管理、成本管理的理念；二是继续完善绩效管理相关工作制度，建立健全全过程预算绩效管理链条，有效贯彻落实全面实施绩效管理的精神。具体附整体支出绩效自评表，项目支出绩效自评表和评价报告。</w:t>
      </w:r>
    </w:p>
    <w:p w14:paraId="56E7A75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506987E">
        <w:tblPrEx>
          <w:tblCellMar>
            <w:top w:w="0" w:type="dxa"/>
            <w:left w:w="108" w:type="dxa"/>
            <w:bottom w:w="0" w:type="dxa"/>
            <w:right w:w="108" w:type="dxa"/>
          </w:tblCellMar>
        </w:tblPrEx>
        <w:tc>
          <w:tcPr>
            <w:tcW w:w="8847" w:type="dxa"/>
            <w:gridSpan w:val="9"/>
            <w:vAlign w:val="center"/>
          </w:tcPr>
          <w:p w14:paraId="652501BE">
            <w:pPr>
              <w:jc w:val="center"/>
            </w:pPr>
            <w:r>
              <w:rPr>
                <w:rFonts w:ascii="宋体" w:hAnsi="宋体" w:eastAsia="宋体"/>
                <w:sz w:val="24"/>
              </w:rPr>
              <w:t>单位整体支出绩效自评表</w:t>
            </w:r>
          </w:p>
        </w:tc>
      </w:tr>
      <w:tr w14:paraId="37B33B96">
        <w:tblPrEx>
          <w:tblCellMar>
            <w:top w:w="0" w:type="dxa"/>
            <w:left w:w="108" w:type="dxa"/>
            <w:bottom w:w="0" w:type="dxa"/>
            <w:right w:w="108" w:type="dxa"/>
          </w:tblCellMar>
        </w:tblPrEx>
        <w:tc>
          <w:tcPr>
            <w:tcW w:w="8847" w:type="dxa"/>
            <w:gridSpan w:val="9"/>
            <w:vAlign w:val="center"/>
          </w:tcPr>
          <w:p w14:paraId="343450F0">
            <w:pPr>
              <w:jc w:val="center"/>
            </w:pPr>
            <w:r>
              <w:rPr>
                <w:rFonts w:ascii="宋体" w:hAnsi="宋体" w:eastAsia="宋体"/>
                <w:sz w:val="24"/>
              </w:rPr>
              <w:t>（2024年度）</w:t>
            </w:r>
          </w:p>
        </w:tc>
      </w:tr>
      <w:tr w14:paraId="096E9CF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CB67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C7FDBA0">
            <w:pPr>
              <w:jc w:val="center"/>
            </w:pPr>
            <w:r>
              <w:rPr>
                <w:rFonts w:ascii="宋体" w:hAnsi="宋体" w:eastAsia="宋体"/>
                <w:sz w:val="16"/>
              </w:rPr>
              <w:t>英吉沙县市场监督管理局</w:t>
            </w:r>
          </w:p>
        </w:tc>
      </w:tr>
      <w:tr w14:paraId="54C9B23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1318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933A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2028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6072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FD35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15B8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6FC9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B4E1D">
            <w:pPr>
              <w:jc w:val="center"/>
            </w:pPr>
            <w:r>
              <w:rPr>
                <w:rFonts w:ascii="宋体" w:hAnsi="宋体" w:eastAsia="宋体"/>
                <w:sz w:val="16"/>
              </w:rPr>
              <w:t>得分</w:t>
            </w:r>
          </w:p>
        </w:tc>
      </w:tr>
      <w:tr w14:paraId="6A2956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C708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A1EB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6C168">
            <w:pPr>
              <w:jc w:val="center"/>
            </w:pPr>
            <w:r>
              <w:rPr>
                <w:rFonts w:ascii="宋体" w:hAnsi="宋体" w:eastAsia="宋体"/>
                <w:sz w:val="16"/>
              </w:rPr>
              <w:t>830.54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437E5">
            <w:pPr>
              <w:jc w:val="center"/>
            </w:pPr>
            <w:r>
              <w:rPr>
                <w:rFonts w:ascii="宋体" w:hAnsi="宋体" w:eastAsia="宋体"/>
                <w:sz w:val="16"/>
              </w:rPr>
              <w:t>1,346.00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E084E">
            <w:pPr>
              <w:jc w:val="center"/>
            </w:pPr>
            <w:r>
              <w:rPr>
                <w:rFonts w:ascii="宋体" w:hAnsi="宋体" w:eastAsia="宋体"/>
                <w:sz w:val="16"/>
              </w:rPr>
              <w:t>1,346.00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D00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7D774">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43816">
            <w:pPr>
              <w:jc w:val="center"/>
            </w:pPr>
            <w:r>
              <w:rPr>
                <w:rFonts w:ascii="宋体" w:hAnsi="宋体" w:eastAsia="宋体"/>
                <w:sz w:val="16"/>
              </w:rPr>
              <w:t>10</w:t>
            </w:r>
          </w:p>
        </w:tc>
      </w:tr>
      <w:tr w14:paraId="7D5C2A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2666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443F4">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EFBF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5D93B">
            <w:pPr>
              <w:jc w:val="center"/>
            </w:pPr>
            <w:r>
              <w:rPr>
                <w:rFonts w:ascii="宋体" w:hAnsi="宋体" w:eastAsia="宋体"/>
                <w:sz w:val="16"/>
              </w:rPr>
              <w:t>384.66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5AEB0">
            <w:pPr>
              <w:jc w:val="center"/>
            </w:pPr>
            <w:r>
              <w:rPr>
                <w:rFonts w:ascii="宋体" w:hAnsi="宋体" w:eastAsia="宋体"/>
                <w:sz w:val="16"/>
              </w:rPr>
              <w:t>384.66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01C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9581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2EC4D">
            <w:pPr>
              <w:jc w:val="center"/>
            </w:pPr>
            <w:r>
              <w:rPr>
                <w:rFonts w:ascii="宋体" w:hAnsi="宋体" w:eastAsia="宋体"/>
                <w:sz w:val="16"/>
              </w:rPr>
              <w:t>—</w:t>
            </w:r>
          </w:p>
        </w:tc>
      </w:tr>
      <w:tr w14:paraId="397724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6339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A6434">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ABEB6">
            <w:pPr>
              <w:jc w:val="center"/>
            </w:pPr>
            <w:r>
              <w:rPr>
                <w:rFonts w:ascii="宋体" w:hAnsi="宋体" w:eastAsia="宋体"/>
                <w:sz w:val="16"/>
              </w:rPr>
              <w:t>830.54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94745">
            <w:pPr>
              <w:jc w:val="center"/>
            </w:pPr>
            <w:r>
              <w:rPr>
                <w:rFonts w:ascii="宋体" w:hAnsi="宋体" w:eastAsia="宋体"/>
                <w:sz w:val="16"/>
              </w:rPr>
              <w:t>961.34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43E95">
            <w:pPr>
              <w:jc w:val="center"/>
            </w:pPr>
            <w:r>
              <w:rPr>
                <w:rFonts w:ascii="宋体" w:hAnsi="宋体" w:eastAsia="宋体"/>
                <w:sz w:val="16"/>
              </w:rPr>
              <w:t>961.34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E21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46B0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DF840">
            <w:pPr>
              <w:jc w:val="center"/>
            </w:pPr>
            <w:r>
              <w:rPr>
                <w:rFonts w:ascii="宋体" w:hAnsi="宋体" w:eastAsia="宋体"/>
                <w:sz w:val="16"/>
              </w:rPr>
              <w:t>—</w:t>
            </w:r>
          </w:p>
        </w:tc>
      </w:tr>
      <w:tr w14:paraId="7EECD4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5523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7E6C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6E4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57C5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DCD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415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A7AD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10229">
            <w:pPr>
              <w:jc w:val="center"/>
            </w:pPr>
            <w:r>
              <w:rPr>
                <w:rFonts w:ascii="宋体" w:hAnsi="宋体" w:eastAsia="宋体"/>
                <w:sz w:val="16"/>
              </w:rPr>
              <w:t>—</w:t>
            </w:r>
          </w:p>
        </w:tc>
      </w:tr>
      <w:tr w14:paraId="4B8C750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F674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07CDE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8045E7">
            <w:pPr>
              <w:jc w:val="center"/>
            </w:pPr>
            <w:r>
              <w:rPr>
                <w:rFonts w:ascii="宋体" w:hAnsi="宋体" w:eastAsia="宋体"/>
                <w:sz w:val="16"/>
              </w:rPr>
              <w:t>实际完成情况</w:t>
            </w:r>
          </w:p>
        </w:tc>
      </w:tr>
      <w:tr w14:paraId="0E1336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7B878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FD67CD">
            <w:pPr>
              <w:jc w:val="both"/>
            </w:pPr>
            <w:r>
              <w:rPr>
                <w:rFonts w:ascii="宋体" w:hAnsi="宋体" w:eastAsia="宋体"/>
                <w:sz w:val="16"/>
              </w:rPr>
              <w:t>始终坚持以习近平新时代中国特色</w:t>
            </w:r>
            <w:r>
              <w:rPr>
                <w:rFonts w:hint="eastAsia" w:ascii="宋体" w:hAnsi="宋体"/>
                <w:sz w:val="16"/>
                <w:lang w:eastAsia="zh-CN"/>
              </w:rPr>
              <w:t>社会主义思想</w:t>
            </w:r>
            <w:r>
              <w:rPr>
                <w:rFonts w:ascii="宋体" w:hAnsi="宋体" w:eastAsia="宋体"/>
                <w:sz w:val="16"/>
              </w:rPr>
              <w:t>为指导，深入贯彻落实党的二十大精神和第三次中央新疆工作座谈会精神，在县委、县政府的坚强领导下，地区市场监督管理局的业务指导下，立足“监管、执法、维权、服务”四大职能，始终紧扣“强队伍”这个根本、紧盯“优环境”这个核心、紧跟这根主线，全面落实责任，狠抓工作落实，坚持抓重点、补短板、强弱项，按期完成全县经营主体食品安全监督检查工作，按期完成全年480批次食品抽检工作，完成市场环境规范管理和监管执法工作，按期完成特种设备安全检查工作，完成消</w:t>
            </w:r>
            <w:r>
              <w:rPr>
                <w:rFonts w:hint="eastAsia" w:ascii="宋体" w:hAnsi="宋体"/>
                <w:sz w:val="16"/>
                <w:lang w:eastAsia="zh-CN"/>
              </w:rPr>
              <w:t>费者</w:t>
            </w:r>
            <w:r>
              <w:rPr>
                <w:rFonts w:ascii="宋体" w:hAnsi="宋体" w:eastAsia="宋体"/>
                <w:sz w:val="16"/>
              </w:rPr>
              <w:t>权益政策宣传工作，维护消费者权益，坚守食品安全底线，保障扎实推进市场秩序规范，确保市场秩序的公平、公正和透明，保护消费者和企业的合法权益，促进市场经济的健康发展。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5BCEDF">
            <w:pPr>
              <w:jc w:val="both"/>
            </w:pPr>
            <w:r>
              <w:rPr>
                <w:rFonts w:hint="eastAsia" w:ascii="宋体" w:hAnsi="宋体"/>
                <w:sz w:val="16"/>
                <w:lang w:eastAsia="zh-CN"/>
              </w:rPr>
              <w:t>本单位</w:t>
            </w:r>
            <w:r>
              <w:rPr>
                <w:rFonts w:ascii="宋体" w:hAnsi="宋体" w:eastAsia="宋体"/>
                <w:sz w:val="16"/>
              </w:rPr>
              <w:t>始终以习近平新时代中国特色社会主义思想为指引，深入贯彻党的二十大精神</w:t>
            </w:r>
            <w:r>
              <w:rPr>
                <w:rFonts w:hint="eastAsia" w:ascii="宋体" w:hAnsi="宋体"/>
                <w:sz w:val="16"/>
                <w:lang w:val="en-US" w:eastAsia="zh-CN"/>
              </w:rPr>
              <w:t>和</w:t>
            </w:r>
            <w:r>
              <w:rPr>
                <w:rFonts w:ascii="宋体" w:hAnsi="宋体" w:eastAsia="宋体"/>
                <w:sz w:val="16"/>
              </w:rPr>
              <w:t>第三次中央新疆工作座谈会精神，在县委、县政府的坚强领导以及地区市场监督管理局的悉心指导下，立足“监管、执法、维权、服务”四大职能，全面落实各项责任，狠抓工作落实，圆满达成年度绩效目标，完成率达100%。具体工作完成情况如下：食品安全方面，严格落实食品安全监督检查工作，全年检查食品经营主体，完成480批次食品抽检任务，针对抽检不合格产品，及时采取下架、召回等处置措施，确保了群众“舌尖上的安全”。特种设备安全检查方面，对全县104家特种设备使用单位开展4次检查，发现并整改安全隐患，有效防范了特种设备安全事故的发生。通过八次专项整治活动，对市场各类经营主体进行了全面检查，有效规范了市场秩序。在食品安全、特种设备安全、药品质量等关键领域，及时发现并处理了一批问题，保障了消费者的生命健康和合法权益，并且特种设备检验率和投诉调解成功率达到100%。强队伍根本：组织开展各类业务培训与思想政治教育活动有效提升了干部队伍的专业素养与政治觉悟，打造了一支政治坚定、业务精通、作风优良的市场监管队伍。</w:t>
            </w:r>
          </w:p>
        </w:tc>
      </w:tr>
      <w:tr w14:paraId="5809482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BC08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505E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D453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9C9BA">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C8E2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AD3C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98C0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F8FD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7800C">
            <w:pPr>
              <w:jc w:val="center"/>
            </w:pPr>
            <w:r>
              <w:rPr>
                <w:rFonts w:ascii="宋体" w:hAnsi="宋体" w:eastAsia="宋体"/>
                <w:sz w:val="16"/>
              </w:rPr>
              <w:t>得分</w:t>
            </w:r>
          </w:p>
        </w:tc>
      </w:tr>
      <w:tr w14:paraId="5FCAB7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80BA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0988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FE5EA">
            <w:pPr>
              <w:jc w:val="center"/>
            </w:pPr>
            <w:r>
              <w:rPr>
                <w:rFonts w:ascii="宋体" w:hAnsi="宋体" w:eastAsia="宋体"/>
                <w:sz w:val="16"/>
              </w:rPr>
              <w:t>2024年食品安全监督抽检次数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29FC4">
            <w:pPr>
              <w:jc w:val="center"/>
            </w:pPr>
            <w:r>
              <w:rPr>
                <w:rFonts w:ascii="宋体" w:hAnsi="宋体" w:eastAsia="宋体"/>
                <w:sz w:val="16"/>
              </w:rPr>
              <w:t>&gt;=480批次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CAF9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4429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B07AE">
            <w:pPr>
              <w:jc w:val="center"/>
            </w:pPr>
            <w:r>
              <w:rPr>
                <w:rFonts w:ascii="宋体" w:hAnsi="宋体" w:eastAsia="宋体"/>
                <w:sz w:val="16"/>
              </w:rPr>
              <w:t>=480批次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1CC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5EAE7">
            <w:pPr>
              <w:jc w:val="center"/>
            </w:pPr>
            <w:r>
              <w:rPr>
                <w:rFonts w:ascii="宋体" w:hAnsi="宋体" w:eastAsia="宋体"/>
                <w:sz w:val="16"/>
              </w:rPr>
              <w:t>20</w:t>
            </w:r>
          </w:p>
        </w:tc>
      </w:tr>
      <w:tr w14:paraId="17DC7F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FD9F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F9AA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7CF35">
            <w:pPr>
              <w:jc w:val="center"/>
            </w:pPr>
            <w:r>
              <w:rPr>
                <w:rFonts w:ascii="宋体" w:hAnsi="宋体" w:eastAsia="宋体"/>
                <w:sz w:val="16"/>
              </w:rPr>
              <w:t>开展专项整治活动场次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108FC">
            <w:pPr>
              <w:jc w:val="center"/>
            </w:pPr>
            <w:r>
              <w:rPr>
                <w:rFonts w:ascii="宋体" w:hAnsi="宋体" w:eastAsia="宋体"/>
                <w:sz w:val="16"/>
              </w:rPr>
              <w:t>&gt;=8场次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98E2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DC72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45AA3">
            <w:pPr>
              <w:jc w:val="center"/>
            </w:pPr>
            <w:r>
              <w:rPr>
                <w:rFonts w:ascii="宋体" w:hAnsi="宋体" w:eastAsia="宋体"/>
                <w:sz w:val="16"/>
              </w:rPr>
              <w:t>=8场次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692B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5FA51">
            <w:pPr>
              <w:jc w:val="center"/>
            </w:pPr>
            <w:r>
              <w:rPr>
                <w:rFonts w:ascii="宋体" w:hAnsi="宋体" w:eastAsia="宋体"/>
                <w:sz w:val="16"/>
              </w:rPr>
              <w:t>20</w:t>
            </w:r>
          </w:p>
        </w:tc>
      </w:tr>
      <w:tr w14:paraId="36A8B5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E17C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A97F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15AFE">
            <w:pPr>
              <w:jc w:val="center"/>
            </w:pPr>
            <w:r>
              <w:rPr>
                <w:rFonts w:ascii="宋体" w:hAnsi="宋体" w:eastAsia="宋体"/>
                <w:sz w:val="16"/>
              </w:rPr>
              <w:t>特种设备检验率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D51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01E5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AE9B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AB1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C92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8C8AD">
            <w:pPr>
              <w:jc w:val="center"/>
            </w:pPr>
            <w:r>
              <w:rPr>
                <w:rFonts w:ascii="宋体" w:hAnsi="宋体" w:eastAsia="宋体"/>
                <w:sz w:val="16"/>
              </w:rPr>
              <w:t>20</w:t>
            </w:r>
          </w:p>
        </w:tc>
      </w:tr>
      <w:tr w14:paraId="7A28F0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4F92D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EE7D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7DE41">
            <w:pPr>
              <w:jc w:val="center"/>
            </w:pPr>
            <w:r>
              <w:rPr>
                <w:rFonts w:hint="eastAsia" w:ascii="宋体" w:hAnsi="宋体"/>
                <w:sz w:val="16"/>
                <w:lang w:eastAsia="zh-CN"/>
              </w:rPr>
              <w:t>特种设备</w:t>
            </w:r>
            <w:r>
              <w:rPr>
                <w:rFonts w:ascii="宋体" w:hAnsi="宋体" w:eastAsia="宋体"/>
                <w:sz w:val="16"/>
              </w:rPr>
              <w:t>使用单位每年进行监督检查次数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EFA98">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8E8C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ACE3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CF57C">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E90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BF754">
            <w:pPr>
              <w:jc w:val="center"/>
            </w:pPr>
            <w:r>
              <w:rPr>
                <w:rFonts w:ascii="宋体" w:hAnsi="宋体" w:eastAsia="宋体"/>
                <w:sz w:val="16"/>
              </w:rPr>
              <w:t>20</w:t>
            </w:r>
          </w:p>
        </w:tc>
      </w:tr>
      <w:tr w14:paraId="6B0E28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1368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05E4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24918">
            <w:pPr>
              <w:jc w:val="center"/>
            </w:pPr>
            <w:r>
              <w:rPr>
                <w:rFonts w:ascii="宋体" w:hAnsi="宋体" w:eastAsia="宋体"/>
                <w:sz w:val="16"/>
              </w:rPr>
              <w:t>投诉调解成功率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68B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ADC6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CD1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E6B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1161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2B2E3">
            <w:pPr>
              <w:jc w:val="center"/>
            </w:pPr>
            <w:r>
              <w:rPr>
                <w:rFonts w:ascii="宋体" w:hAnsi="宋体" w:eastAsia="宋体"/>
                <w:sz w:val="16"/>
              </w:rPr>
              <w:t>10</w:t>
            </w:r>
          </w:p>
        </w:tc>
      </w:tr>
    </w:tbl>
    <w:p w14:paraId="5AB35A1C">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598"/>
        <w:gridCol w:w="936"/>
        <w:gridCol w:w="598"/>
        <w:gridCol w:w="630"/>
        <w:gridCol w:w="609"/>
        <w:gridCol w:w="598"/>
        <w:gridCol w:w="598"/>
        <w:gridCol w:w="856"/>
        <w:gridCol w:w="633"/>
        <w:gridCol w:w="558"/>
        <w:gridCol w:w="631"/>
      </w:tblGrid>
      <w:tr w14:paraId="59761A99">
        <w:tblPrEx>
          <w:tblCellMar>
            <w:top w:w="0" w:type="dxa"/>
            <w:left w:w="108" w:type="dxa"/>
            <w:bottom w:w="0" w:type="dxa"/>
            <w:right w:w="108" w:type="dxa"/>
          </w:tblCellMar>
        </w:tblPrEx>
        <w:tc>
          <w:tcPr>
            <w:tcW w:w="8848" w:type="dxa"/>
            <w:gridSpan w:val="14"/>
            <w:vAlign w:val="center"/>
          </w:tcPr>
          <w:p w14:paraId="5C6455C4">
            <w:pPr>
              <w:jc w:val="center"/>
            </w:pPr>
            <w:r>
              <w:rPr>
                <w:rFonts w:ascii="宋体" w:hAnsi="宋体" w:eastAsia="宋体"/>
                <w:sz w:val="24"/>
              </w:rPr>
              <w:t>项目支出绩效自评表</w:t>
            </w:r>
          </w:p>
        </w:tc>
      </w:tr>
      <w:tr w14:paraId="799EF356">
        <w:tblPrEx>
          <w:tblCellMar>
            <w:top w:w="0" w:type="dxa"/>
            <w:left w:w="108" w:type="dxa"/>
            <w:bottom w:w="0" w:type="dxa"/>
            <w:right w:w="108" w:type="dxa"/>
          </w:tblCellMar>
        </w:tblPrEx>
        <w:tc>
          <w:tcPr>
            <w:tcW w:w="8848" w:type="dxa"/>
            <w:gridSpan w:val="14"/>
            <w:vAlign w:val="center"/>
          </w:tcPr>
          <w:p w14:paraId="36EA6EA4">
            <w:pPr>
              <w:jc w:val="center"/>
            </w:pPr>
            <w:r>
              <w:rPr>
                <w:rFonts w:ascii="宋体" w:hAnsi="宋体" w:eastAsia="宋体"/>
                <w:sz w:val="24"/>
              </w:rPr>
              <w:t>(2024年度)</w:t>
            </w:r>
          </w:p>
        </w:tc>
      </w:tr>
      <w:tr w14:paraId="1BC1FB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90C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658F40">
            <w:pPr>
              <w:jc w:val="center"/>
            </w:pPr>
            <w:r>
              <w:rPr>
                <w:rFonts w:ascii="宋体" w:hAnsi="宋体" w:eastAsia="宋体"/>
                <w:sz w:val="16"/>
              </w:rPr>
              <w:t>2024年度食品安全监督抽检和食品安全执法能力提升项目</w:t>
            </w:r>
          </w:p>
        </w:tc>
      </w:tr>
      <w:tr w14:paraId="102007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08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AC8A3">
            <w:pPr>
              <w:jc w:val="center"/>
            </w:pPr>
            <w:r>
              <w:rPr>
                <w:rFonts w:ascii="宋体" w:hAnsi="宋体" w:eastAsia="宋体"/>
                <w:sz w:val="16"/>
              </w:rPr>
              <w:t>英吉沙县市场监督管理局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73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48B289">
            <w:pPr>
              <w:jc w:val="center"/>
            </w:pPr>
            <w:r>
              <w:rPr>
                <w:rFonts w:ascii="宋体" w:hAnsi="宋体" w:eastAsia="宋体"/>
                <w:sz w:val="16"/>
              </w:rPr>
              <w:t>英吉沙县市场监督管理局</w:t>
            </w:r>
          </w:p>
        </w:tc>
      </w:tr>
      <w:tr w14:paraId="7AB03D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FB9F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9A9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F0B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8D4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CA9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4C3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4035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F1E1">
            <w:pPr>
              <w:jc w:val="center"/>
            </w:pPr>
            <w:r>
              <w:rPr>
                <w:rFonts w:ascii="宋体" w:hAnsi="宋体" w:eastAsia="宋体"/>
                <w:sz w:val="16"/>
              </w:rPr>
              <w:t>得分</w:t>
            </w:r>
          </w:p>
        </w:tc>
      </w:tr>
      <w:tr w14:paraId="14EDE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F06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463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E0C2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A692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4969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DB3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DB14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1B76">
            <w:pPr>
              <w:jc w:val="center"/>
            </w:pPr>
            <w:r>
              <w:rPr>
                <w:rFonts w:ascii="宋体" w:hAnsi="宋体" w:eastAsia="宋体"/>
                <w:sz w:val="16"/>
              </w:rPr>
              <w:t>10.00分</w:t>
            </w:r>
          </w:p>
        </w:tc>
      </w:tr>
      <w:tr w14:paraId="5E87A0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444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16E2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0AA2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E1D8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27C3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271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812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7FE5">
            <w:pPr>
              <w:jc w:val="center"/>
            </w:pPr>
            <w:r>
              <w:rPr>
                <w:rFonts w:ascii="宋体" w:hAnsi="宋体" w:eastAsia="宋体"/>
                <w:sz w:val="16"/>
              </w:rPr>
              <w:t>—</w:t>
            </w:r>
          </w:p>
        </w:tc>
      </w:tr>
      <w:tr w14:paraId="5C2D82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7F0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B5E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A1E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765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86A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F22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061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0834">
            <w:pPr>
              <w:jc w:val="center"/>
            </w:pPr>
            <w:r>
              <w:rPr>
                <w:rFonts w:ascii="宋体" w:hAnsi="宋体" w:eastAsia="宋体"/>
                <w:sz w:val="16"/>
              </w:rPr>
              <w:t>—</w:t>
            </w:r>
          </w:p>
        </w:tc>
      </w:tr>
      <w:tr w14:paraId="6005BA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92DF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801D2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38DB01">
            <w:pPr>
              <w:jc w:val="center"/>
            </w:pPr>
            <w:r>
              <w:rPr>
                <w:rFonts w:ascii="宋体" w:hAnsi="宋体" w:eastAsia="宋体"/>
                <w:sz w:val="16"/>
              </w:rPr>
              <w:t>实际完成情况</w:t>
            </w:r>
          </w:p>
        </w:tc>
      </w:tr>
      <w:tr w14:paraId="15CF1F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C96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03A5E8">
            <w:pPr>
              <w:jc w:val="both"/>
            </w:pPr>
            <w:r>
              <w:rPr>
                <w:rFonts w:ascii="宋体" w:hAnsi="宋体" w:eastAsia="宋体"/>
                <w:sz w:val="16"/>
              </w:rPr>
              <w:t>通过食品日常监督检查68批次，保障产品质量安全，及时发现和处理不合格产品，防止其流入市场，保障人民群众身体健康和生命安全；促进生产经营企业加强质量管理，提高产品质量水平，增强市场竞争力；维护市场秩序，打击假冒伪劣产品，保护消费者的合法权益；增强公众信心，提高政府的公信力。采购执法记录仪2台、便携式计算机2台、便携式打印机6台、录音笔设备2个，配备食品执法办案装备，有效提升执法人员食品安全监管水平和业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15105B">
            <w:pPr>
              <w:jc w:val="both"/>
            </w:pPr>
            <w:r>
              <w:rPr>
                <w:rFonts w:hint="eastAsia" w:ascii="宋体" w:hAnsi="宋体"/>
                <w:sz w:val="16"/>
                <w:lang w:eastAsia="zh-CN"/>
              </w:rPr>
              <w:t>截至</w:t>
            </w:r>
            <w:r>
              <w:rPr>
                <w:rFonts w:ascii="宋体" w:hAnsi="宋体" w:eastAsia="宋体"/>
                <w:sz w:val="16"/>
              </w:rPr>
              <w:t>2024年12月31日，该项目执行资金10万元，用于通过食品日常监督检查95批次，保障产品质量安全，及时发现和处理不合格产品，防止其流入市场，保障人民群众身体健康和生命安全；促进生产经营企业加强质量管理，提高产品质量水平，增强市场竞争力；维护市场秩序，打击假冒伪劣产品，保护消费者的合法权益；增强公众信心，提高政府的公信力。</w:t>
            </w:r>
          </w:p>
        </w:tc>
      </w:tr>
      <w:tr w14:paraId="46E635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8B21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35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71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DA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1F1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7AC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369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A24E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5B6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4B6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EBB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061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09A02">
            <w:pPr>
              <w:jc w:val="center"/>
            </w:pPr>
            <w:r>
              <w:rPr>
                <w:rFonts w:ascii="宋体" w:hAnsi="宋体" w:eastAsia="宋体"/>
                <w:sz w:val="16"/>
              </w:rPr>
              <w:t>偏差原因分析及改进措施</w:t>
            </w:r>
          </w:p>
        </w:tc>
      </w:tr>
      <w:tr w14:paraId="4239AE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6E9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349A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8F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DF25">
            <w:pPr>
              <w:jc w:val="center"/>
            </w:pPr>
            <w:r>
              <w:rPr>
                <w:rFonts w:ascii="宋体" w:hAnsi="宋体" w:eastAsia="宋体"/>
                <w:sz w:val="16"/>
              </w:rPr>
              <w:t>食品日常监督检查批次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069CB">
            <w:pPr>
              <w:jc w:val="center"/>
            </w:pPr>
            <w:r>
              <w:rPr>
                <w:rFonts w:ascii="宋体" w:hAnsi="宋体" w:eastAsia="宋体"/>
                <w:sz w:val="16"/>
              </w:rPr>
              <w:t>&gt;=68批次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2E0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D0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E1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E7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9C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45F95">
            <w:pPr>
              <w:jc w:val="center"/>
            </w:pPr>
            <w:r>
              <w:rPr>
                <w:rFonts w:ascii="宋体" w:hAnsi="宋体" w:eastAsia="宋体"/>
                <w:sz w:val="16"/>
              </w:rPr>
              <w:t>=95批次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045E8">
            <w:pPr>
              <w:jc w:val="center"/>
            </w:pPr>
            <w:r>
              <w:rPr>
                <w:rFonts w:ascii="宋体" w:hAnsi="宋体" w:eastAsia="宋体"/>
                <w:sz w:val="16"/>
              </w:rPr>
              <w:t>6.03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5BCD8">
            <w:pPr>
              <w:jc w:val="center"/>
            </w:pPr>
            <w:r>
              <w:rPr>
                <w:rFonts w:ascii="宋体" w:hAnsi="宋体" w:eastAsia="宋体"/>
                <w:sz w:val="16"/>
              </w:rPr>
              <w:t>因项目实际需要和检测费用实际情况结合适当增加抽检批次。整改措施：进一步优化项目方案和抽检预算，完善项目变更管理</w:t>
            </w:r>
          </w:p>
        </w:tc>
      </w:tr>
      <w:tr w14:paraId="6CDE53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7DD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A7D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AA0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8C8E6">
            <w:pPr>
              <w:jc w:val="center"/>
            </w:pPr>
            <w:r>
              <w:rPr>
                <w:rFonts w:hint="eastAsia" w:ascii="宋体" w:hAnsi="宋体"/>
                <w:sz w:val="16"/>
                <w:lang w:eastAsia="zh-CN"/>
              </w:rPr>
              <w:t>食</w:t>
            </w:r>
            <w:r>
              <w:rPr>
                <w:rFonts w:ascii="宋体" w:hAnsi="宋体" w:eastAsia="宋体"/>
                <w:sz w:val="16"/>
              </w:rPr>
              <w:t>品安全抽检合格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6559">
            <w:pPr>
              <w:jc w:val="center"/>
            </w:pPr>
            <w:r>
              <w:rPr>
                <w:rFonts w:ascii="宋体" w:hAnsi="宋体" w:eastAsia="宋体"/>
                <w:sz w:val="16"/>
              </w:rPr>
              <w:t>&gt;=99.40%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53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95EF1">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6B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1E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A90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6897">
            <w:pPr>
              <w:jc w:val="center"/>
            </w:pPr>
            <w:r>
              <w:rPr>
                <w:rFonts w:ascii="宋体" w:hAnsi="宋体" w:eastAsia="宋体"/>
                <w:sz w:val="16"/>
              </w:rPr>
              <w:t>=96.8%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775B">
            <w:pPr>
              <w:jc w:val="center"/>
            </w:pPr>
            <w:r>
              <w:rPr>
                <w:rFonts w:ascii="宋体" w:hAnsi="宋体" w:eastAsia="宋体"/>
                <w:sz w:val="16"/>
              </w:rPr>
              <w:t>9.34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65AC7">
            <w:pPr>
              <w:jc w:val="center"/>
            </w:pPr>
            <w:r>
              <w:rPr>
                <w:rFonts w:ascii="宋体" w:hAnsi="宋体" w:eastAsia="宋体"/>
                <w:sz w:val="16"/>
              </w:rPr>
              <w:t>原因：抽检要求和标准更高，抽检范围比较大。整改措施：优化检测方案，强化流通环节监管</w:t>
            </w:r>
          </w:p>
        </w:tc>
      </w:tr>
      <w:tr w14:paraId="60A1E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8B0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362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873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A75FB">
            <w:pPr>
              <w:jc w:val="center"/>
            </w:pPr>
            <w:r>
              <w:rPr>
                <w:rFonts w:ascii="宋体" w:hAnsi="宋体" w:eastAsia="宋体"/>
                <w:sz w:val="16"/>
              </w:rPr>
              <w:t>资金</w:t>
            </w:r>
            <w:r>
              <w:rPr>
                <w:rFonts w:hint="eastAsia" w:ascii="宋体" w:hAnsi="宋体"/>
                <w:sz w:val="16"/>
                <w:lang w:eastAsia="zh-CN"/>
              </w:rPr>
              <w:t>支</w:t>
            </w:r>
            <w:r>
              <w:rPr>
                <w:rFonts w:ascii="宋体" w:hAnsi="宋体" w:eastAsia="宋体"/>
                <w:sz w:val="16"/>
              </w:rPr>
              <w:t>付及时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9B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33E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BC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FE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3CA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754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F2F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26C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70607">
            <w:pPr>
              <w:jc w:val="center"/>
            </w:pPr>
          </w:p>
        </w:tc>
      </w:tr>
      <w:tr w14:paraId="356E2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299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990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A7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A2D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9F4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56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42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A4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0F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9A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178C">
            <w:pPr>
              <w:jc w:val="center"/>
            </w:pPr>
            <w:r>
              <w:rPr>
                <w:rFonts w:ascii="宋体" w:hAnsi="宋体" w:eastAsia="宋体"/>
                <w:sz w:val="16"/>
              </w:rPr>
              <w:t>=2024年11月4日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C2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B2464">
            <w:pPr>
              <w:jc w:val="center"/>
            </w:pPr>
          </w:p>
        </w:tc>
      </w:tr>
      <w:tr w14:paraId="641A2D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4C2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2CC5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8A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4B094">
            <w:pPr>
              <w:jc w:val="center"/>
            </w:pPr>
            <w:r>
              <w:rPr>
                <w:rFonts w:ascii="宋体" w:hAnsi="宋体" w:eastAsia="宋体"/>
                <w:sz w:val="16"/>
              </w:rPr>
              <w:t>平均每批次抽检成本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6114">
            <w:pPr>
              <w:jc w:val="center"/>
            </w:pPr>
            <w:r>
              <w:rPr>
                <w:rFonts w:ascii="宋体" w:hAnsi="宋体" w:eastAsia="宋体"/>
                <w:sz w:val="16"/>
              </w:rPr>
              <w:t>&lt;=1470.59元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86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F4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D4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712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35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4A7D">
            <w:pPr>
              <w:jc w:val="center"/>
            </w:pPr>
            <w:r>
              <w:rPr>
                <w:rFonts w:ascii="宋体" w:hAnsi="宋体" w:eastAsia="宋体"/>
                <w:sz w:val="16"/>
              </w:rPr>
              <w:t>=1470.59元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8D74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3E723">
            <w:pPr>
              <w:jc w:val="center"/>
            </w:pPr>
            <w:r>
              <w:rPr>
                <w:rFonts w:ascii="宋体" w:hAnsi="宋体" w:eastAsia="宋体"/>
                <w:sz w:val="16"/>
              </w:rPr>
              <w:t>原因：项目成本预算不精准。整改措施：进一步优化项目方案</w:t>
            </w:r>
          </w:p>
        </w:tc>
      </w:tr>
      <w:tr w14:paraId="5716FD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A84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93E7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A6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686C">
            <w:pPr>
              <w:jc w:val="center"/>
            </w:pPr>
            <w:r>
              <w:rPr>
                <w:rFonts w:ascii="宋体" w:hAnsi="宋体" w:eastAsia="宋体"/>
                <w:sz w:val="16"/>
              </w:rPr>
              <w:t>提高基层监管队伍执法能力和监管能力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BA1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932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AF9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87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26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AC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73B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02C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3455B">
            <w:pPr>
              <w:jc w:val="center"/>
            </w:pPr>
          </w:p>
        </w:tc>
      </w:tr>
      <w:tr w14:paraId="191577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FEB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4B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C5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0962">
            <w:pPr>
              <w:jc w:val="center"/>
            </w:pPr>
            <w:r>
              <w:rPr>
                <w:rFonts w:ascii="宋体" w:hAnsi="宋体" w:eastAsia="宋体"/>
                <w:sz w:val="16"/>
              </w:rPr>
              <w:t>检测单位满意度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705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F1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5A45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52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BF5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B8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00B7">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02E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5DD98">
            <w:pPr>
              <w:jc w:val="center"/>
            </w:pPr>
            <w:r>
              <w:rPr>
                <w:rFonts w:ascii="宋体" w:hAnsi="宋体" w:eastAsia="宋体"/>
                <w:sz w:val="16"/>
              </w:rPr>
              <w:t>该项目是今年新增项目，认知度比较低因此导计划标准低。整改措施：加强宣传，提高项目认知度</w:t>
            </w:r>
          </w:p>
        </w:tc>
      </w:tr>
      <w:tr w14:paraId="0934356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D00D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B25D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298F3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1AC4">
            <w:pPr>
              <w:jc w:val="center"/>
            </w:pPr>
            <w:r>
              <w:rPr>
                <w:rFonts w:ascii="宋体" w:hAnsi="宋体" w:eastAsia="宋体"/>
                <w:sz w:val="16"/>
              </w:rPr>
              <w:t>95.37分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E95FDE"/>
        </w:tc>
      </w:tr>
    </w:tbl>
    <w:p w14:paraId="28D12D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49900DA1">
        <w:tblPrEx>
          <w:tblCellMar>
            <w:top w:w="0" w:type="dxa"/>
            <w:left w:w="108" w:type="dxa"/>
            <w:bottom w:w="0" w:type="dxa"/>
            <w:right w:w="108" w:type="dxa"/>
          </w:tblCellMar>
        </w:tblPrEx>
        <w:tc>
          <w:tcPr>
            <w:tcW w:w="8848" w:type="dxa"/>
            <w:gridSpan w:val="14"/>
            <w:vAlign w:val="center"/>
          </w:tcPr>
          <w:p w14:paraId="441D6D64">
            <w:pPr>
              <w:jc w:val="center"/>
            </w:pPr>
            <w:r>
              <w:rPr>
                <w:rFonts w:ascii="宋体" w:hAnsi="宋体" w:eastAsia="宋体"/>
                <w:sz w:val="24"/>
              </w:rPr>
              <w:t>项目支出绩效自评表</w:t>
            </w:r>
          </w:p>
        </w:tc>
      </w:tr>
      <w:tr w14:paraId="5BE0EED7">
        <w:tblPrEx>
          <w:tblCellMar>
            <w:top w:w="0" w:type="dxa"/>
            <w:left w:w="108" w:type="dxa"/>
            <w:bottom w:w="0" w:type="dxa"/>
            <w:right w:w="108" w:type="dxa"/>
          </w:tblCellMar>
        </w:tblPrEx>
        <w:tc>
          <w:tcPr>
            <w:tcW w:w="8848" w:type="dxa"/>
            <w:gridSpan w:val="14"/>
            <w:vAlign w:val="center"/>
          </w:tcPr>
          <w:p w14:paraId="6E4D4EDA">
            <w:pPr>
              <w:jc w:val="center"/>
            </w:pPr>
            <w:r>
              <w:rPr>
                <w:rFonts w:ascii="宋体" w:hAnsi="宋体" w:eastAsia="宋体"/>
                <w:sz w:val="24"/>
              </w:rPr>
              <w:t>(2024年度)</w:t>
            </w:r>
          </w:p>
        </w:tc>
      </w:tr>
      <w:tr w14:paraId="2F9532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1D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E32F6B">
            <w:pPr>
              <w:jc w:val="center"/>
            </w:pPr>
            <w:r>
              <w:rPr>
                <w:rFonts w:ascii="宋体" w:hAnsi="宋体" w:eastAsia="宋体"/>
                <w:sz w:val="16"/>
              </w:rPr>
              <w:t>2024年英吉沙县萨罕市监所、乌恰市监所运行经费</w:t>
            </w:r>
          </w:p>
        </w:tc>
      </w:tr>
      <w:tr w14:paraId="4BCA99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30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7AF5D0">
            <w:pPr>
              <w:jc w:val="center"/>
            </w:pPr>
            <w:r>
              <w:rPr>
                <w:rFonts w:ascii="宋体" w:hAnsi="宋体" w:eastAsia="宋体"/>
                <w:sz w:val="16"/>
              </w:rPr>
              <w:t>英吉沙县市场监督管理局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22B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504CB1">
            <w:pPr>
              <w:jc w:val="center"/>
            </w:pPr>
            <w:r>
              <w:rPr>
                <w:rFonts w:ascii="宋体" w:hAnsi="宋体" w:eastAsia="宋体"/>
                <w:sz w:val="16"/>
              </w:rPr>
              <w:t>英吉沙县市场监督管理局</w:t>
            </w:r>
          </w:p>
        </w:tc>
      </w:tr>
      <w:tr w14:paraId="6BC45D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C2C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F2B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91E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CB4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575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A07A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BAB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8FCF">
            <w:pPr>
              <w:jc w:val="center"/>
            </w:pPr>
            <w:r>
              <w:rPr>
                <w:rFonts w:ascii="宋体" w:hAnsi="宋体" w:eastAsia="宋体"/>
                <w:sz w:val="16"/>
              </w:rPr>
              <w:t>得分</w:t>
            </w:r>
          </w:p>
        </w:tc>
      </w:tr>
      <w:tr w14:paraId="4484A5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F47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75A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9500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E07F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9F98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0FA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2F92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0BDC0">
            <w:pPr>
              <w:jc w:val="center"/>
            </w:pPr>
            <w:r>
              <w:rPr>
                <w:rFonts w:ascii="宋体" w:hAnsi="宋体" w:eastAsia="宋体"/>
                <w:sz w:val="16"/>
              </w:rPr>
              <w:t>10.00分</w:t>
            </w:r>
          </w:p>
        </w:tc>
      </w:tr>
      <w:tr w14:paraId="1AD493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D70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8269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6C60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C8F8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3061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07D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1E3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4C30">
            <w:pPr>
              <w:jc w:val="center"/>
            </w:pPr>
            <w:r>
              <w:rPr>
                <w:rFonts w:ascii="宋体" w:hAnsi="宋体" w:eastAsia="宋体"/>
                <w:sz w:val="16"/>
              </w:rPr>
              <w:t>—</w:t>
            </w:r>
          </w:p>
        </w:tc>
      </w:tr>
      <w:tr w14:paraId="2B4D3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770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5D2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401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DB8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4A5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1BB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B2C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AD099">
            <w:pPr>
              <w:jc w:val="center"/>
            </w:pPr>
            <w:r>
              <w:rPr>
                <w:rFonts w:ascii="宋体" w:hAnsi="宋体" w:eastAsia="宋体"/>
                <w:sz w:val="16"/>
              </w:rPr>
              <w:t>—</w:t>
            </w:r>
          </w:p>
        </w:tc>
      </w:tr>
      <w:tr w14:paraId="15A6DC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4A79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DF37A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167086">
            <w:pPr>
              <w:jc w:val="center"/>
            </w:pPr>
            <w:r>
              <w:rPr>
                <w:rFonts w:ascii="宋体" w:hAnsi="宋体" w:eastAsia="宋体"/>
                <w:sz w:val="16"/>
              </w:rPr>
              <w:t>实际完成情况</w:t>
            </w:r>
          </w:p>
        </w:tc>
      </w:tr>
      <w:tr w14:paraId="6316DE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50BD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8B7127">
            <w:pPr>
              <w:jc w:val="both"/>
            </w:pPr>
            <w:r>
              <w:rPr>
                <w:rFonts w:ascii="宋体" w:hAnsi="宋体" w:eastAsia="宋体"/>
                <w:sz w:val="16"/>
              </w:rPr>
              <w:t>2024年英吉沙县萨罕市监所、乌恰市监所运行经费项目的总目标是保障市监所的正常运转所需水电费（0.3万元），办公楼维修费（3万元），办公费（1.5万元），其他费用（0.2万元），同时通过恢复运转乡镇市监所，提升乡镇治理水平，加强乡镇食品、药品安全等领域的执法力度，增强群众的安全感，同时加强法治宣传，提高乡镇群众的法治意识和法律素养，促进法治建设，为群众提供更便捷、更优质的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10E496">
            <w:pPr>
              <w:jc w:val="both"/>
            </w:pPr>
            <w:r>
              <w:rPr>
                <w:rFonts w:hint="eastAsia" w:ascii="宋体" w:hAnsi="宋体"/>
                <w:sz w:val="16"/>
                <w:lang w:eastAsia="zh-CN"/>
              </w:rPr>
              <w:t>截至2024</w:t>
            </w:r>
            <w:r>
              <w:rPr>
                <w:rFonts w:ascii="宋体" w:hAnsi="宋体" w:eastAsia="宋体"/>
                <w:sz w:val="16"/>
              </w:rPr>
              <w:t>年12月31日，该项目执行资金5万元，主要用于支付英吉沙县萨罕市监所、乌恰市监所正常运转所需水电费，办公楼维修费，办公费，其他费用，同时通过恢复运转乡镇市监所，提升乡镇治理水平，加强乡镇食品、药品安全等领域的执法力度，增强群众的安全感，同时加强法治宣传，提高乡镇群众的法治意识和法律素养，促进法治建设，为群众提供更便捷、更优质的服务。</w:t>
            </w:r>
          </w:p>
        </w:tc>
      </w:tr>
      <w:tr w14:paraId="1A954B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8A10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53D0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DBF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0C1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6093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01B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B99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89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07DF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9AA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325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E7C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62344">
            <w:pPr>
              <w:jc w:val="center"/>
            </w:pPr>
            <w:r>
              <w:rPr>
                <w:rFonts w:ascii="宋体" w:hAnsi="宋体" w:eastAsia="宋体"/>
                <w:sz w:val="16"/>
              </w:rPr>
              <w:t>偏差原因分析及改进措施</w:t>
            </w:r>
          </w:p>
        </w:tc>
      </w:tr>
      <w:tr w14:paraId="176359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461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F294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FA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C292">
            <w:pPr>
              <w:jc w:val="center"/>
            </w:pPr>
            <w:r>
              <w:rPr>
                <w:rFonts w:ascii="宋体" w:hAnsi="宋体" w:eastAsia="宋体"/>
                <w:sz w:val="16"/>
              </w:rPr>
              <w:t>市监所运转所需费用笔数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4B7AB">
            <w:pPr>
              <w:jc w:val="center"/>
            </w:pPr>
            <w:r>
              <w:rPr>
                <w:rFonts w:ascii="宋体" w:hAnsi="宋体" w:eastAsia="宋体"/>
                <w:sz w:val="16"/>
              </w:rPr>
              <w:t>&gt;=4笔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9F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97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4F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A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53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0DC2">
            <w:pPr>
              <w:jc w:val="center"/>
            </w:pPr>
            <w:r>
              <w:rPr>
                <w:rFonts w:ascii="宋体" w:hAnsi="宋体" w:eastAsia="宋体"/>
                <w:sz w:val="16"/>
              </w:rPr>
              <w:t>=5笔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A6B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65B33">
            <w:pPr>
              <w:jc w:val="center"/>
            </w:pPr>
            <w:r>
              <w:rPr>
                <w:rFonts w:ascii="宋体" w:hAnsi="宋体" w:eastAsia="宋体"/>
                <w:sz w:val="16"/>
              </w:rPr>
              <w:t>因部门分类不一样水费和电费单独支出</w:t>
            </w:r>
          </w:p>
        </w:tc>
      </w:tr>
      <w:tr w14:paraId="1EED2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854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8C7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5C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26E2F">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39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73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66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B0E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301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C2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4F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01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B4DE8">
            <w:pPr>
              <w:jc w:val="center"/>
            </w:pPr>
          </w:p>
        </w:tc>
      </w:tr>
      <w:tr w14:paraId="00A15C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256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42B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C0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661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F2E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27C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43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0F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88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12D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5DEB">
            <w:pPr>
              <w:jc w:val="center"/>
            </w:pPr>
            <w:r>
              <w:rPr>
                <w:rFonts w:ascii="宋体" w:hAnsi="宋体" w:eastAsia="宋体"/>
                <w:sz w:val="16"/>
              </w:rPr>
              <w:t>2024年7月31日</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32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19696">
            <w:pPr>
              <w:jc w:val="center"/>
            </w:pPr>
          </w:p>
        </w:tc>
      </w:tr>
      <w:tr w14:paraId="1F1147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F07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9814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979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EB33">
            <w:pPr>
              <w:jc w:val="center"/>
            </w:pPr>
            <w:r>
              <w:rPr>
                <w:rFonts w:ascii="宋体" w:hAnsi="宋体" w:eastAsia="宋体"/>
                <w:sz w:val="16"/>
              </w:rPr>
              <w:t>水电费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31D5">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72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AB6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3F0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03D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A54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AB79B">
            <w:pPr>
              <w:jc w:val="center"/>
            </w:pPr>
            <w:r>
              <w:rPr>
                <w:rFonts w:ascii="宋体" w:hAnsi="宋体" w:eastAsia="宋体"/>
                <w:sz w:val="16"/>
              </w:rPr>
              <w:t>=0.427万元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24D3">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40AE0">
            <w:pPr>
              <w:jc w:val="center"/>
            </w:pPr>
            <w:r>
              <w:rPr>
                <w:rFonts w:ascii="宋体" w:hAnsi="宋体" w:eastAsia="宋体"/>
                <w:sz w:val="16"/>
              </w:rPr>
              <w:t>该项目是一次性项目，明年没有因此为了保障明年正常运行预付2025年水电费</w:t>
            </w:r>
          </w:p>
        </w:tc>
      </w:tr>
      <w:tr w14:paraId="1A2F8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AF3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410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F3F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AABC">
            <w:pPr>
              <w:jc w:val="center"/>
            </w:pPr>
            <w:r>
              <w:rPr>
                <w:rFonts w:ascii="宋体" w:hAnsi="宋体" w:eastAsia="宋体"/>
                <w:sz w:val="16"/>
              </w:rPr>
              <w:t>办公楼维修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B643">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344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58E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F1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E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801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6342">
            <w:pPr>
              <w:jc w:val="center"/>
            </w:pPr>
            <w:r>
              <w:rPr>
                <w:rFonts w:ascii="宋体" w:hAnsi="宋体" w:eastAsia="宋体"/>
                <w:sz w:val="16"/>
              </w:rPr>
              <w:t>=2.981万元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0751E">
            <w:pPr>
              <w:jc w:val="center"/>
            </w:pPr>
            <w:r>
              <w:rPr>
                <w:rFonts w:ascii="宋体" w:hAnsi="宋体" w:eastAsia="宋体"/>
                <w:sz w:val="16"/>
              </w:rPr>
              <w:t>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760A5">
            <w:pPr>
              <w:jc w:val="center"/>
            </w:pPr>
            <w:r>
              <w:rPr>
                <w:rFonts w:ascii="宋体" w:hAnsi="宋体" w:eastAsia="宋体"/>
                <w:sz w:val="16"/>
              </w:rPr>
              <w:t>节约项目资金导致。</w:t>
            </w:r>
          </w:p>
        </w:tc>
      </w:tr>
      <w:tr w14:paraId="015434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A8E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E75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DB6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8755">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DFAE">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9F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F6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AC6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60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289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2E8B">
            <w:pPr>
              <w:jc w:val="center"/>
            </w:pPr>
            <w:r>
              <w:rPr>
                <w:rFonts w:ascii="宋体" w:hAnsi="宋体" w:eastAsia="宋体"/>
                <w:sz w:val="16"/>
              </w:rPr>
              <w:t>=0.6181万元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31D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37229">
            <w:pPr>
              <w:jc w:val="center"/>
            </w:pPr>
            <w:r>
              <w:rPr>
                <w:rFonts w:ascii="宋体" w:hAnsi="宋体" w:eastAsia="宋体"/>
                <w:sz w:val="16"/>
              </w:rPr>
              <w:t>因市监所工作人员少经费也不少</w:t>
            </w:r>
          </w:p>
        </w:tc>
      </w:tr>
      <w:tr w14:paraId="4559B2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AF7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8A0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C94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6648">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251DA">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31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5B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6D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96D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EB9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9316">
            <w:pPr>
              <w:jc w:val="center"/>
            </w:pPr>
            <w:r>
              <w:rPr>
                <w:rFonts w:ascii="宋体" w:hAnsi="宋体" w:eastAsia="宋体"/>
                <w:sz w:val="16"/>
              </w:rPr>
              <w:t>=1.3288万元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6312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B823B">
            <w:pPr>
              <w:jc w:val="center"/>
            </w:pPr>
            <w:r>
              <w:rPr>
                <w:rFonts w:ascii="宋体" w:hAnsi="宋体" w:eastAsia="宋体"/>
                <w:sz w:val="16"/>
              </w:rPr>
              <w:t>两所市监所重新换了广告制作，横幅等材料</w:t>
            </w:r>
            <w:r>
              <w:rPr>
                <w:rFonts w:hint="eastAsia" w:ascii="宋体" w:hAnsi="宋体"/>
                <w:sz w:val="16"/>
                <w:lang w:eastAsia="zh-CN"/>
              </w:rPr>
              <w:t>，</w:t>
            </w:r>
            <w:bookmarkStart w:id="0" w:name="_GoBack"/>
            <w:bookmarkEnd w:id="0"/>
            <w:r>
              <w:rPr>
                <w:rFonts w:ascii="宋体" w:hAnsi="宋体" w:eastAsia="宋体"/>
                <w:sz w:val="16"/>
              </w:rPr>
              <w:t>因此费用较高</w:t>
            </w:r>
          </w:p>
        </w:tc>
      </w:tr>
      <w:tr w14:paraId="539B09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589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FC9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619C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068B">
            <w:pPr>
              <w:jc w:val="center"/>
            </w:pPr>
            <w:r>
              <w:rPr>
                <w:rFonts w:ascii="宋体" w:hAnsi="宋体" w:eastAsia="宋体"/>
                <w:sz w:val="16"/>
              </w:rPr>
              <w:t>提高基层监管队伍执法能力和监管能力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937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FED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FC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55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03A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319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048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10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77324">
            <w:pPr>
              <w:jc w:val="center"/>
            </w:pPr>
          </w:p>
        </w:tc>
      </w:tr>
      <w:tr w14:paraId="17B77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7E5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05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54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9D85">
            <w:pPr>
              <w:jc w:val="center"/>
            </w:pPr>
            <w:r>
              <w:rPr>
                <w:rFonts w:ascii="宋体" w:hAnsi="宋体" w:eastAsia="宋体"/>
                <w:sz w:val="16"/>
              </w:rPr>
              <w:t>受益检测人员满意度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B11B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14D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C7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3AF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136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9A6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35B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CB7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0CF44">
            <w:pPr>
              <w:jc w:val="center"/>
            </w:pPr>
            <w:r>
              <w:rPr>
                <w:rFonts w:ascii="宋体" w:hAnsi="宋体" w:eastAsia="宋体"/>
                <w:sz w:val="16"/>
              </w:rPr>
              <w:t>受益人员满意度比较高</w:t>
            </w:r>
          </w:p>
        </w:tc>
      </w:tr>
      <w:tr w14:paraId="1B0DCF3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5A06A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BC44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F012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6BE9">
            <w:pPr>
              <w:jc w:val="center"/>
            </w:pPr>
            <w:r>
              <w:rPr>
                <w:rFonts w:ascii="宋体" w:hAnsi="宋体" w:eastAsia="宋体"/>
                <w:sz w:val="16"/>
              </w:rPr>
              <w:t>82.8分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726481"/>
        </w:tc>
      </w:tr>
    </w:tbl>
    <w:p w14:paraId="5A39B44F">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9"/>
        <w:gridCol w:w="776"/>
        <w:gridCol w:w="623"/>
        <w:gridCol w:w="631"/>
        <w:gridCol w:w="626"/>
        <w:gridCol w:w="623"/>
        <w:gridCol w:w="623"/>
        <w:gridCol w:w="776"/>
        <w:gridCol w:w="632"/>
        <w:gridCol w:w="614"/>
        <w:gridCol w:w="632"/>
      </w:tblGrid>
      <w:tr w14:paraId="6551DBC9">
        <w:tblPrEx>
          <w:tblCellMar>
            <w:top w:w="0" w:type="dxa"/>
            <w:left w:w="108" w:type="dxa"/>
            <w:bottom w:w="0" w:type="dxa"/>
            <w:right w:w="108" w:type="dxa"/>
          </w:tblCellMar>
        </w:tblPrEx>
        <w:tc>
          <w:tcPr>
            <w:tcW w:w="8848" w:type="dxa"/>
            <w:gridSpan w:val="14"/>
            <w:vAlign w:val="center"/>
          </w:tcPr>
          <w:p w14:paraId="45B5BB30">
            <w:pPr>
              <w:jc w:val="center"/>
            </w:pPr>
            <w:r>
              <w:rPr>
                <w:rFonts w:ascii="宋体" w:hAnsi="宋体" w:eastAsia="宋体"/>
                <w:sz w:val="24"/>
              </w:rPr>
              <w:t>项目支出绩效自评表</w:t>
            </w:r>
          </w:p>
        </w:tc>
      </w:tr>
      <w:tr w14:paraId="3BB53F85">
        <w:tblPrEx>
          <w:tblCellMar>
            <w:top w:w="0" w:type="dxa"/>
            <w:left w:w="108" w:type="dxa"/>
            <w:bottom w:w="0" w:type="dxa"/>
            <w:right w:w="108" w:type="dxa"/>
          </w:tblCellMar>
        </w:tblPrEx>
        <w:tc>
          <w:tcPr>
            <w:tcW w:w="8848" w:type="dxa"/>
            <w:gridSpan w:val="14"/>
            <w:vAlign w:val="center"/>
          </w:tcPr>
          <w:p w14:paraId="7DA36C96">
            <w:pPr>
              <w:jc w:val="center"/>
            </w:pPr>
            <w:r>
              <w:rPr>
                <w:rFonts w:ascii="宋体" w:hAnsi="宋体" w:eastAsia="宋体"/>
                <w:sz w:val="24"/>
              </w:rPr>
              <w:t>(2024年度)</w:t>
            </w:r>
          </w:p>
        </w:tc>
      </w:tr>
      <w:tr w14:paraId="6A638E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8C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963FAE">
            <w:pPr>
              <w:jc w:val="center"/>
            </w:pPr>
            <w:r>
              <w:rPr>
                <w:rFonts w:ascii="宋体" w:hAnsi="宋体" w:eastAsia="宋体"/>
                <w:sz w:val="16"/>
              </w:rPr>
              <w:t>2024年食用农产品质量安全抽检费项目</w:t>
            </w:r>
          </w:p>
        </w:tc>
      </w:tr>
      <w:tr w14:paraId="247374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0DB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51CCDA">
            <w:pPr>
              <w:jc w:val="center"/>
            </w:pPr>
            <w:r>
              <w:rPr>
                <w:rFonts w:ascii="宋体" w:hAnsi="宋体" w:eastAsia="宋体"/>
                <w:sz w:val="16"/>
              </w:rPr>
              <w:t>英吉沙县市场监督管理局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13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D6EEE1">
            <w:pPr>
              <w:jc w:val="center"/>
            </w:pPr>
            <w:r>
              <w:rPr>
                <w:rFonts w:ascii="宋体" w:hAnsi="宋体" w:eastAsia="宋体"/>
                <w:sz w:val="16"/>
              </w:rPr>
              <w:t>英吉沙县市场监督管理局</w:t>
            </w:r>
          </w:p>
        </w:tc>
      </w:tr>
      <w:tr w14:paraId="1C130B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8AC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10F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21E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F8D0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729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D9A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9E01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A3EBF">
            <w:pPr>
              <w:jc w:val="center"/>
            </w:pPr>
            <w:r>
              <w:rPr>
                <w:rFonts w:ascii="宋体" w:hAnsi="宋体" w:eastAsia="宋体"/>
                <w:sz w:val="16"/>
              </w:rPr>
              <w:t>得分</w:t>
            </w:r>
          </w:p>
        </w:tc>
      </w:tr>
      <w:tr w14:paraId="25662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EF3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5F3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B160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0DAA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49C6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5EF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CE4B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98F5">
            <w:pPr>
              <w:jc w:val="center"/>
            </w:pPr>
            <w:r>
              <w:rPr>
                <w:rFonts w:ascii="宋体" w:hAnsi="宋体" w:eastAsia="宋体"/>
                <w:sz w:val="16"/>
              </w:rPr>
              <w:t>10.00分</w:t>
            </w:r>
          </w:p>
        </w:tc>
      </w:tr>
      <w:tr w14:paraId="549F7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E57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AEA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698C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7124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D8BA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CFE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CF3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FEB44">
            <w:pPr>
              <w:jc w:val="center"/>
            </w:pPr>
            <w:r>
              <w:rPr>
                <w:rFonts w:ascii="宋体" w:hAnsi="宋体" w:eastAsia="宋体"/>
                <w:sz w:val="16"/>
              </w:rPr>
              <w:t>—</w:t>
            </w:r>
          </w:p>
        </w:tc>
      </w:tr>
      <w:tr w14:paraId="488C0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D72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734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037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D2C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1E6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646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62B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9C80">
            <w:pPr>
              <w:jc w:val="center"/>
            </w:pPr>
            <w:r>
              <w:rPr>
                <w:rFonts w:ascii="宋体" w:hAnsi="宋体" w:eastAsia="宋体"/>
                <w:sz w:val="16"/>
              </w:rPr>
              <w:t>—</w:t>
            </w:r>
          </w:p>
        </w:tc>
      </w:tr>
      <w:tr w14:paraId="139824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2AE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02A6E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9A9A5B">
            <w:pPr>
              <w:jc w:val="center"/>
            </w:pPr>
            <w:r>
              <w:rPr>
                <w:rFonts w:ascii="宋体" w:hAnsi="宋体" w:eastAsia="宋体"/>
                <w:sz w:val="16"/>
              </w:rPr>
              <w:t>实际完成情况</w:t>
            </w:r>
          </w:p>
        </w:tc>
      </w:tr>
      <w:tr w14:paraId="07BEC6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2ED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F36E43">
            <w:pPr>
              <w:jc w:val="both"/>
            </w:pPr>
            <w:r>
              <w:rPr>
                <w:rFonts w:ascii="宋体" w:hAnsi="宋体" w:eastAsia="宋体"/>
                <w:sz w:val="16"/>
              </w:rPr>
              <w:t>该项目计划总资金20万元，用于食品安全监督抽检总共480批次,食用农产品抽检有效促进全县食用农产品抽检服务，有效提高食品经营者的经营能力，提升食用农产品质量管理能力，充分发挥食品快检车的作用，准确了解掌握我县食用农产品质量安全状况（农残、兽残）、确保群众饮食安全，同时提高基层监管队伍执法能力和监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846DB1">
            <w:pPr>
              <w:jc w:val="both"/>
            </w:pPr>
            <w:r>
              <w:rPr>
                <w:rFonts w:hint="eastAsia" w:ascii="宋体" w:hAnsi="宋体"/>
                <w:sz w:val="16"/>
                <w:lang w:eastAsia="zh-CN"/>
              </w:rPr>
              <w:t>截至2024</w:t>
            </w:r>
            <w:r>
              <w:rPr>
                <w:rFonts w:ascii="宋体" w:hAnsi="宋体" w:eastAsia="宋体"/>
                <w:sz w:val="16"/>
              </w:rPr>
              <w:t>年12月31日，该项目执行资金20万元，用于食品安全监督抽检总共544批次,食用农产品抽检有效促进全县食用农产品抽检服务，有效提高食品经营者的经营能力，提升食用农产品质量管理能力，充分发挥食品快检车的作用，准确了解掌握我县食用农产品质量安全状况（农残、兽残）、确保了群众饮食安全，同时提高基层监管队伍执法能力和监管能力。</w:t>
            </w:r>
          </w:p>
        </w:tc>
      </w:tr>
      <w:tr w14:paraId="488DC0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C98F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BA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C3EA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898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3E7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F2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857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02D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4D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1BF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60B6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1E9F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86018">
            <w:pPr>
              <w:jc w:val="center"/>
            </w:pPr>
            <w:r>
              <w:rPr>
                <w:rFonts w:ascii="宋体" w:hAnsi="宋体" w:eastAsia="宋体"/>
                <w:sz w:val="16"/>
              </w:rPr>
              <w:t>偏差原因分析及改进措施</w:t>
            </w:r>
          </w:p>
        </w:tc>
      </w:tr>
      <w:tr w14:paraId="68A68F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A99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92C13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050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7201A">
            <w:pPr>
              <w:jc w:val="center"/>
            </w:pPr>
            <w:r>
              <w:rPr>
                <w:rFonts w:ascii="宋体" w:hAnsi="宋体" w:eastAsia="宋体"/>
                <w:sz w:val="16"/>
              </w:rPr>
              <w:t>食品日常监督检查批次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5854">
            <w:pPr>
              <w:jc w:val="center"/>
            </w:pPr>
            <w:r>
              <w:rPr>
                <w:rFonts w:ascii="宋体" w:hAnsi="宋体" w:eastAsia="宋体"/>
                <w:sz w:val="16"/>
              </w:rPr>
              <w:t>&gt;=480批次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11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E949D">
            <w:pPr>
              <w:jc w:val="center"/>
            </w:pPr>
            <w:r>
              <w:rPr>
                <w:rFonts w:ascii="宋体" w:hAnsi="宋体" w:eastAsia="宋体"/>
                <w:sz w:val="16"/>
              </w:rPr>
              <w:t>509批次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1E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FBC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CD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7F2CD">
            <w:pPr>
              <w:jc w:val="center"/>
            </w:pPr>
            <w:r>
              <w:rPr>
                <w:rFonts w:ascii="宋体" w:hAnsi="宋体" w:eastAsia="宋体"/>
                <w:sz w:val="16"/>
              </w:rPr>
              <w:t>=544批次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A10E3">
            <w:pPr>
              <w:jc w:val="center"/>
            </w:pPr>
            <w:r>
              <w:rPr>
                <w:rFonts w:ascii="宋体" w:hAnsi="宋体" w:eastAsia="宋体"/>
                <w:sz w:val="16"/>
              </w:rPr>
              <w:t>6.93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5BF2D">
            <w:pPr>
              <w:jc w:val="center"/>
            </w:pPr>
            <w:r>
              <w:rPr>
                <w:rFonts w:ascii="宋体" w:hAnsi="宋体" w:eastAsia="宋体"/>
                <w:sz w:val="16"/>
              </w:rPr>
              <w:t>年初目标值设立不合理导致，后期设立目标值时会注意。</w:t>
            </w:r>
          </w:p>
        </w:tc>
      </w:tr>
      <w:tr w14:paraId="286EB9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492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9FA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19B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DDF7">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F4A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9B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49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26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7C3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0B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699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6D6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1BFDC">
            <w:pPr>
              <w:jc w:val="center"/>
            </w:pPr>
          </w:p>
        </w:tc>
      </w:tr>
      <w:tr w14:paraId="58FE3A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291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ECF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BD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DADA5">
            <w:pPr>
              <w:jc w:val="center"/>
            </w:pPr>
            <w:r>
              <w:rPr>
                <w:rFonts w:ascii="宋体" w:hAnsi="宋体" w:eastAsia="宋体"/>
                <w:sz w:val="16"/>
              </w:rPr>
              <w:t>食品安全抽检合格率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E8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113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9200">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2A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6D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63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7DB6">
            <w:pPr>
              <w:jc w:val="center"/>
            </w:pPr>
            <w:r>
              <w:rPr>
                <w:rFonts w:ascii="宋体" w:hAnsi="宋体" w:eastAsia="宋体"/>
                <w:sz w:val="16"/>
              </w:rPr>
              <w:t>=98.97%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01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13F0F">
            <w:pPr>
              <w:jc w:val="center"/>
            </w:pPr>
            <w:r>
              <w:rPr>
                <w:rFonts w:ascii="宋体" w:hAnsi="宋体" w:eastAsia="宋体"/>
                <w:sz w:val="16"/>
              </w:rPr>
              <w:t>抽检要求和标准更高，下一步优化抽检方案，提升检测能力，加大对食品企业的巡查监管</w:t>
            </w:r>
          </w:p>
        </w:tc>
      </w:tr>
      <w:tr w14:paraId="0AF38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F05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409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C80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A5F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5A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49D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89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C9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CA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45E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E9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5ED1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8BB80">
            <w:pPr>
              <w:jc w:val="center"/>
            </w:pPr>
          </w:p>
        </w:tc>
      </w:tr>
      <w:tr w14:paraId="2A3953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4C1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166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243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5A1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C40A2">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578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706A3">
            <w:pPr>
              <w:jc w:val="center"/>
            </w:pPr>
            <w:r>
              <w:rPr>
                <w:rFonts w:ascii="宋体" w:hAnsi="宋体" w:eastAsia="宋体"/>
                <w:sz w:val="16"/>
              </w:rPr>
              <w:t>2023年12月24日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25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E88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60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DB5D7">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4DD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19BDF">
            <w:pPr>
              <w:jc w:val="center"/>
            </w:pPr>
          </w:p>
        </w:tc>
      </w:tr>
      <w:tr w14:paraId="24541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349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B27B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160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13CE">
            <w:pPr>
              <w:jc w:val="center"/>
            </w:pPr>
            <w:r>
              <w:rPr>
                <w:rFonts w:ascii="宋体" w:hAnsi="宋体" w:eastAsia="宋体"/>
                <w:sz w:val="16"/>
              </w:rPr>
              <w:t>2024年食品抽检服务平均成本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41C8">
            <w:pPr>
              <w:jc w:val="center"/>
            </w:pPr>
            <w:r>
              <w:rPr>
                <w:rFonts w:ascii="宋体" w:hAnsi="宋体" w:eastAsia="宋体"/>
                <w:sz w:val="16"/>
              </w:rPr>
              <w:t>&lt;=0.042万元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57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75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2C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49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22C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2CB9">
            <w:pPr>
              <w:jc w:val="center"/>
            </w:pPr>
            <w:r>
              <w:rPr>
                <w:rFonts w:ascii="宋体" w:hAnsi="宋体" w:eastAsia="宋体"/>
                <w:sz w:val="16"/>
              </w:rPr>
              <w:t>=0.06万元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26AD">
            <w:pPr>
              <w:jc w:val="center"/>
            </w:pPr>
            <w:r>
              <w:rPr>
                <w:rFonts w:ascii="宋体" w:hAnsi="宋体" w:eastAsia="宋体"/>
                <w:sz w:val="16"/>
              </w:rPr>
              <w:t>11.43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6B71A">
            <w:pPr>
              <w:jc w:val="center"/>
            </w:pPr>
            <w:r>
              <w:rPr>
                <w:rFonts w:ascii="宋体" w:hAnsi="宋体" w:eastAsia="宋体"/>
                <w:sz w:val="16"/>
              </w:rPr>
              <w:t>对食品抽检材料价格波动、抽检计划变更，导致费用高，下一步对成本控制优化，完善项目变更管理</w:t>
            </w:r>
          </w:p>
        </w:tc>
      </w:tr>
      <w:tr w14:paraId="5121BD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365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7C15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5AD4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BFCD">
            <w:pPr>
              <w:jc w:val="center"/>
            </w:pPr>
            <w:r>
              <w:rPr>
                <w:rFonts w:ascii="宋体" w:hAnsi="宋体" w:eastAsia="宋体"/>
                <w:sz w:val="16"/>
              </w:rPr>
              <w:t>提高基层监管队伍执法能力和监管能力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5C40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50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2D1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1A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75C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7A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7E47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0B8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85E82">
            <w:pPr>
              <w:jc w:val="center"/>
            </w:pPr>
          </w:p>
        </w:tc>
      </w:tr>
      <w:tr w14:paraId="2E536F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DC6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37C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66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B4DA">
            <w:pPr>
              <w:jc w:val="center"/>
            </w:pPr>
            <w:r>
              <w:rPr>
                <w:rFonts w:ascii="宋体" w:hAnsi="宋体" w:eastAsia="宋体"/>
                <w:sz w:val="16"/>
              </w:rPr>
              <w:t>受益检测人员满意度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7B3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3EA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FB29">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B7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90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4F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51279">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C96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022C1">
            <w:pPr>
              <w:jc w:val="center"/>
            </w:pPr>
            <w:r>
              <w:rPr>
                <w:rFonts w:ascii="宋体" w:hAnsi="宋体" w:eastAsia="宋体"/>
                <w:sz w:val="16"/>
              </w:rPr>
              <w:t>认知度高受益人员满意度比较高，下</w:t>
            </w:r>
            <w:r>
              <w:rPr>
                <w:rFonts w:hint="eastAsia" w:ascii="宋体" w:hAnsi="宋体"/>
                <w:sz w:val="16"/>
                <w:lang w:eastAsia="zh-CN"/>
              </w:rPr>
              <w:t>一步</w:t>
            </w:r>
            <w:r>
              <w:rPr>
                <w:rFonts w:ascii="宋体" w:hAnsi="宋体" w:eastAsia="宋体"/>
                <w:sz w:val="16"/>
              </w:rPr>
              <w:t>优化项目方案，做好项目绩效目标</w:t>
            </w:r>
          </w:p>
        </w:tc>
      </w:tr>
      <w:tr w14:paraId="3A32D3B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F0A4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786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6E58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F522">
            <w:pPr>
              <w:jc w:val="center"/>
            </w:pPr>
            <w:r>
              <w:rPr>
                <w:rFonts w:ascii="宋体" w:hAnsi="宋体" w:eastAsia="宋体"/>
                <w:sz w:val="16"/>
              </w:rPr>
              <w:t>82.36分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0F70C7"/>
        </w:tc>
      </w:tr>
    </w:tbl>
    <w:p w14:paraId="0AA5EE28">
      <w:r>
        <w:br w:type="page"/>
      </w:r>
    </w:p>
    <w:p w14:paraId="54F5526D">
      <w:pPr>
        <w:spacing w:line="640" w:lineRule="exact"/>
        <w:ind w:firstLine="640"/>
        <w:jc w:val="both"/>
        <w:outlineLvl w:val="2"/>
      </w:pPr>
      <w:r>
        <w:rPr>
          <w:rFonts w:ascii="黑体" w:hAnsi="黑体" w:eastAsia="黑体"/>
          <w:sz w:val="32"/>
        </w:rPr>
        <w:t>十二、其他需说明的事项</w:t>
      </w:r>
    </w:p>
    <w:p w14:paraId="2D1A3BC8">
      <w:pPr>
        <w:spacing w:line="580" w:lineRule="exact"/>
        <w:ind w:firstLine="640"/>
        <w:jc w:val="both"/>
      </w:pPr>
      <w:r>
        <w:rPr>
          <w:rFonts w:ascii="仿宋_GB2312" w:hAnsi="仿宋_GB2312" w:eastAsia="仿宋_GB2312"/>
          <w:b w:val="0"/>
          <w:sz w:val="32"/>
        </w:rPr>
        <w:t>本单位无其他需说明的事项。</w:t>
      </w:r>
    </w:p>
    <w:p w14:paraId="16DB87EE">
      <w:r>
        <w:br w:type="page"/>
      </w:r>
    </w:p>
    <w:p w14:paraId="68D5FD49">
      <w:pPr>
        <w:spacing w:line="240" w:lineRule="auto"/>
        <w:jc w:val="center"/>
        <w:outlineLvl w:val="1"/>
      </w:pPr>
      <w:r>
        <w:rPr>
          <w:rFonts w:ascii="黑体" w:hAnsi="黑体" w:eastAsia="黑体"/>
          <w:sz w:val="32"/>
        </w:rPr>
        <w:t>第三部分 专业名词解释</w:t>
      </w:r>
    </w:p>
    <w:p w14:paraId="4833ADC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DA88D1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0598CD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4A02AE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B87728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8FD732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B05AD3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0E5133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EBE0F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100ACF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E12257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852D9A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89C26E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65AD7C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3AF147A">
      <w:r>
        <w:br w:type="page"/>
      </w:r>
    </w:p>
    <w:p w14:paraId="741E550F">
      <w:pPr>
        <w:spacing w:line="240" w:lineRule="auto"/>
        <w:jc w:val="center"/>
        <w:outlineLvl w:val="1"/>
      </w:pPr>
      <w:r>
        <w:rPr>
          <w:rFonts w:ascii="黑体" w:hAnsi="黑体" w:eastAsia="黑体"/>
          <w:sz w:val="32"/>
        </w:rPr>
        <w:t>第四部分 部门决算报表（见附表）</w:t>
      </w:r>
    </w:p>
    <w:p w14:paraId="4751D778">
      <w:pPr>
        <w:spacing w:line="240" w:lineRule="auto"/>
        <w:ind w:firstLine="640"/>
        <w:jc w:val="both"/>
      </w:pPr>
      <w:r>
        <w:rPr>
          <w:rFonts w:ascii="仿宋_GB2312" w:hAnsi="仿宋_GB2312" w:eastAsia="仿宋_GB2312"/>
          <w:b w:val="0"/>
          <w:sz w:val="32"/>
        </w:rPr>
        <w:t>一、《收入支出决算总表》</w:t>
      </w:r>
    </w:p>
    <w:p w14:paraId="1F059F1D">
      <w:pPr>
        <w:spacing w:line="240" w:lineRule="auto"/>
        <w:ind w:firstLine="640"/>
        <w:jc w:val="both"/>
      </w:pPr>
      <w:r>
        <w:rPr>
          <w:rFonts w:ascii="仿宋_GB2312" w:hAnsi="仿宋_GB2312" w:eastAsia="仿宋_GB2312"/>
          <w:b w:val="0"/>
          <w:sz w:val="32"/>
        </w:rPr>
        <w:t>二、《收入决算表》</w:t>
      </w:r>
    </w:p>
    <w:p w14:paraId="324758BF">
      <w:pPr>
        <w:spacing w:line="240" w:lineRule="auto"/>
        <w:ind w:firstLine="640"/>
        <w:jc w:val="both"/>
      </w:pPr>
      <w:r>
        <w:rPr>
          <w:rFonts w:ascii="仿宋_GB2312" w:hAnsi="仿宋_GB2312" w:eastAsia="仿宋_GB2312"/>
          <w:b w:val="0"/>
          <w:sz w:val="32"/>
        </w:rPr>
        <w:t>三、《支出决算表》</w:t>
      </w:r>
    </w:p>
    <w:p w14:paraId="0947DC20">
      <w:pPr>
        <w:spacing w:line="240" w:lineRule="auto"/>
        <w:ind w:firstLine="640"/>
        <w:jc w:val="both"/>
      </w:pPr>
      <w:r>
        <w:rPr>
          <w:rFonts w:ascii="仿宋_GB2312" w:hAnsi="仿宋_GB2312" w:eastAsia="仿宋_GB2312"/>
          <w:b w:val="0"/>
          <w:sz w:val="32"/>
        </w:rPr>
        <w:t>四、《财政拨款收入支出决算总表》</w:t>
      </w:r>
    </w:p>
    <w:p w14:paraId="6F9AFB51">
      <w:pPr>
        <w:spacing w:line="240" w:lineRule="auto"/>
        <w:ind w:firstLine="640"/>
        <w:jc w:val="both"/>
      </w:pPr>
      <w:r>
        <w:rPr>
          <w:rFonts w:ascii="仿宋_GB2312" w:hAnsi="仿宋_GB2312" w:eastAsia="仿宋_GB2312"/>
          <w:b w:val="0"/>
          <w:sz w:val="32"/>
        </w:rPr>
        <w:t>五、《一般公共预算财政拨款支出决算表》</w:t>
      </w:r>
    </w:p>
    <w:p w14:paraId="2AD8DF0E">
      <w:pPr>
        <w:spacing w:line="240" w:lineRule="auto"/>
        <w:ind w:firstLine="640"/>
        <w:jc w:val="both"/>
      </w:pPr>
      <w:r>
        <w:rPr>
          <w:rFonts w:ascii="仿宋_GB2312" w:hAnsi="仿宋_GB2312" w:eastAsia="仿宋_GB2312"/>
          <w:b w:val="0"/>
          <w:sz w:val="32"/>
        </w:rPr>
        <w:t>六、《一般公共预算财政拨款基本支出决算表》</w:t>
      </w:r>
    </w:p>
    <w:p w14:paraId="42229AD9">
      <w:pPr>
        <w:spacing w:line="240" w:lineRule="auto"/>
        <w:ind w:firstLine="640"/>
        <w:jc w:val="both"/>
      </w:pPr>
      <w:r>
        <w:rPr>
          <w:rFonts w:ascii="仿宋_GB2312" w:hAnsi="仿宋_GB2312" w:eastAsia="仿宋_GB2312"/>
          <w:b w:val="0"/>
          <w:sz w:val="32"/>
        </w:rPr>
        <w:t>七、《政府性基金预算财政拨款收入支出决算表》</w:t>
      </w:r>
    </w:p>
    <w:p w14:paraId="035E2ED8">
      <w:pPr>
        <w:spacing w:line="240" w:lineRule="auto"/>
        <w:ind w:firstLine="640"/>
        <w:jc w:val="both"/>
      </w:pPr>
      <w:r>
        <w:rPr>
          <w:rFonts w:ascii="仿宋_GB2312" w:hAnsi="仿宋_GB2312" w:eastAsia="仿宋_GB2312"/>
          <w:b w:val="0"/>
          <w:sz w:val="32"/>
        </w:rPr>
        <w:t>八、《国有资本经营预算财政拨款收入支出决算表》</w:t>
      </w:r>
    </w:p>
    <w:p w14:paraId="75BCCBA4">
      <w:pPr>
        <w:spacing w:line="240" w:lineRule="auto"/>
        <w:ind w:firstLine="640"/>
        <w:jc w:val="both"/>
      </w:pPr>
      <w:r>
        <w:rPr>
          <w:rFonts w:ascii="仿宋_GB2312" w:hAnsi="仿宋_GB2312" w:eastAsia="仿宋_GB2312"/>
          <w:b w:val="0"/>
          <w:sz w:val="32"/>
        </w:rPr>
        <w:t>九、《财政拨款“三公”经费支出决算表》</w:t>
      </w:r>
    </w:p>
    <w:p w14:paraId="29D49469">
      <w:pPr>
        <w:spacing w:line="240" w:lineRule="auto"/>
        <w:ind w:firstLine="640"/>
        <w:jc w:val="both"/>
      </w:pPr>
    </w:p>
    <w:p w14:paraId="169BE81A">
      <w:pPr>
        <w:spacing w:line="240" w:lineRule="auto"/>
        <w:ind w:firstLine="640"/>
        <w:jc w:val="both"/>
      </w:pPr>
    </w:p>
    <w:p w14:paraId="1974DFDA">
      <w:pPr>
        <w:spacing w:line="240" w:lineRule="auto"/>
        <w:ind w:firstLine="640"/>
        <w:jc w:val="both"/>
      </w:pPr>
    </w:p>
    <w:p w14:paraId="3B14860C">
      <w:pPr>
        <w:spacing w:line="240" w:lineRule="auto"/>
        <w:ind w:firstLine="640"/>
        <w:jc w:val="both"/>
      </w:pPr>
    </w:p>
    <w:p w14:paraId="216D4FC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937707"/>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D11A65"/>
    <w:rsid w:val="3914510A"/>
    <w:rsid w:val="3B1220C9"/>
    <w:rsid w:val="3D5275AC"/>
    <w:rsid w:val="3EA7725F"/>
    <w:rsid w:val="3EC014A1"/>
    <w:rsid w:val="40834692"/>
    <w:rsid w:val="423A32B2"/>
    <w:rsid w:val="423C0CB4"/>
    <w:rsid w:val="427B5743"/>
    <w:rsid w:val="42E64542"/>
    <w:rsid w:val="46393F1E"/>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8533B4"/>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6135</Words>
  <Characters>7049</Characters>
  <Lines>0</Lines>
  <Paragraphs>0</Paragraphs>
  <TotalTime>6</TotalTime>
  <ScaleCrop>false</ScaleCrop>
  <LinksUpToDate>false</LinksUpToDate>
  <CharactersWithSpaces>7057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2025-09-17T03:04:32Z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