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4F8E28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英吉沙县总工会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7B06A0">
      <w:r>
        <w:br w:type="page"/>
      </w:r>
    </w:p>
    <w:p w14:paraId="11B3ECB2">
      <w:pPr>
        <w:spacing w:line="640" w:lineRule="exact"/>
        <w:jc w:val="center"/>
        <w:outlineLvl w:val="1"/>
      </w:pPr>
      <w:r>
        <w:rPr>
          <w:rFonts w:ascii="黑体" w:hAnsi="黑体" w:eastAsia="黑体"/>
          <w:sz w:val="32"/>
        </w:rPr>
        <w:t>第一部分 单位概况</w:t>
      </w:r>
    </w:p>
    <w:p w14:paraId="2553AB27">
      <w:pPr>
        <w:spacing w:line="640" w:lineRule="exact"/>
        <w:ind w:firstLine="640"/>
        <w:jc w:val="both"/>
        <w:outlineLvl w:val="2"/>
      </w:pPr>
      <w:r>
        <w:rPr>
          <w:rFonts w:ascii="黑体" w:hAnsi="黑体" w:eastAsia="黑体"/>
          <w:sz w:val="32"/>
        </w:rPr>
        <w:t>一、主要职能</w:t>
      </w:r>
    </w:p>
    <w:p w14:paraId="3D16A904">
      <w:pPr>
        <w:spacing w:line="580" w:lineRule="exact"/>
        <w:ind w:firstLine="640"/>
        <w:jc w:val="both"/>
      </w:pPr>
      <w:r>
        <w:rPr>
          <w:rFonts w:ascii="仿宋_GB2312" w:hAnsi="仿宋_GB2312" w:eastAsia="仿宋_GB2312"/>
          <w:sz w:val="32"/>
        </w:rPr>
        <w:t>(一)进一步突出和履行维护职工合法权益的职能。</w:t>
      </w:r>
    </w:p>
    <w:p w14:paraId="7B379DFB">
      <w:pPr>
        <w:spacing w:line="580" w:lineRule="exact"/>
        <w:ind w:firstLine="640"/>
        <w:jc w:val="both"/>
      </w:pPr>
      <w:r>
        <w:rPr>
          <w:rFonts w:ascii="仿宋_GB2312" w:hAnsi="仿宋_GB2312" w:eastAsia="仿宋_GB2312"/>
          <w:sz w:val="32"/>
        </w:rPr>
        <w:t>（二）指导基层工会组织开展以职工代表大会为基本制度的</w:t>
      </w:r>
      <w:r>
        <w:rPr>
          <w:rFonts w:hint="eastAsia" w:ascii="仿宋_GB2312" w:hAnsi="仿宋_GB2312" w:eastAsia="仿宋_GB2312"/>
          <w:sz w:val="32"/>
          <w:lang w:eastAsia="zh-CN"/>
        </w:rPr>
        <w:t>民主管理、民主监督</w:t>
      </w:r>
      <w:r>
        <w:rPr>
          <w:rFonts w:ascii="仿宋_GB2312" w:hAnsi="仿宋_GB2312" w:eastAsia="仿宋_GB2312"/>
          <w:sz w:val="32"/>
        </w:rPr>
        <w:t>工作。</w:t>
      </w:r>
    </w:p>
    <w:p w14:paraId="7F0067BE">
      <w:pPr>
        <w:spacing w:line="580" w:lineRule="exact"/>
        <w:ind w:firstLine="640"/>
        <w:jc w:val="both"/>
      </w:pPr>
      <w:r>
        <w:rPr>
          <w:rFonts w:ascii="仿宋_GB2312" w:hAnsi="仿宋_GB2312" w:eastAsia="仿宋_GB2312"/>
          <w:sz w:val="32"/>
        </w:rPr>
        <w:t>（三）推动工会组织建立平等协商、集体合同制度和监督保证机制。</w:t>
      </w:r>
    </w:p>
    <w:p w14:paraId="4CE9D1B8">
      <w:pPr>
        <w:spacing w:line="580" w:lineRule="exact"/>
        <w:ind w:firstLine="640"/>
        <w:jc w:val="both"/>
      </w:pPr>
      <w:r>
        <w:rPr>
          <w:rFonts w:ascii="仿宋_GB2312" w:hAnsi="仿宋_GB2312" w:eastAsia="仿宋_GB2312"/>
          <w:sz w:val="32"/>
        </w:rPr>
        <w:t>（四）加强新建企业工会组织组建工作，进一步健全工会组织，所有乡、镇及社区、企业都要成立工会，并逐步向个体工商户延伸。</w:t>
      </w:r>
    </w:p>
    <w:p w14:paraId="3D7A983C">
      <w:pPr>
        <w:spacing w:line="580" w:lineRule="exact"/>
        <w:ind w:firstLine="640"/>
        <w:jc w:val="both"/>
      </w:pPr>
      <w:r>
        <w:rPr>
          <w:rFonts w:ascii="仿宋_GB2312" w:hAnsi="仿宋_GB2312" w:eastAsia="仿宋_GB2312"/>
          <w:sz w:val="32"/>
        </w:rPr>
        <w:t>（五）根据党的中心任务，指导各基层工会依据《</w:t>
      </w:r>
      <w:r>
        <w:rPr>
          <w:rFonts w:hint="eastAsia" w:ascii="仿宋_GB2312" w:hAnsi="仿宋_GB2312" w:eastAsia="仿宋_GB2312"/>
          <w:sz w:val="32"/>
          <w:lang w:eastAsia="zh-CN"/>
        </w:rPr>
        <w:t>中华人民共和国工会法》《</w:t>
      </w:r>
      <w:r>
        <w:rPr>
          <w:rFonts w:ascii="仿宋_GB2312" w:hAnsi="仿宋_GB2312" w:eastAsia="仿宋_GB2312"/>
          <w:sz w:val="32"/>
        </w:rPr>
        <w:t>中国工会章程》开展各项工作，维护职工的合法利益和民主权利；动员和组织职工积极参加社会主义现代化建设，完成经济和社会发展任务；代表和组织职工参与国家和社会事务的管理，参与企业、事业和机关的民主管理，教育职工不断提高思想道德素质和科学文化素质，建立一支有理想、有道德、有文化、守纪律的职工队伍。</w:t>
      </w:r>
    </w:p>
    <w:p w14:paraId="013FEA37">
      <w:pPr>
        <w:spacing w:line="580" w:lineRule="exact"/>
        <w:ind w:firstLine="640"/>
        <w:jc w:val="both"/>
      </w:pPr>
      <w:r>
        <w:rPr>
          <w:rFonts w:ascii="仿宋_GB2312" w:hAnsi="仿宋_GB2312" w:eastAsia="仿宋_GB2312"/>
          <w:sz w:val="32"/>
        </w:rPr>
        <w:t>（六）工会在发展社会主义市场经济的过程中，在维护职工</w:t>
      </w:r>
      <w:r>
        <w:rPr>
          <w:rFonts w:hint="eastAsia" w:ascii="仿宋_GB2312" w:hAnsi="仿宋_GB2312" w:eastAsia="仿宋_GB2312"/>
          <w:sz w:val="32"/>
          <w:lang w:eastAsia="zh-CN"/>
        </w:rPr>
        <w:t>政治权利</w:t>
      </w:r>
      <w:r>
        <w:rPr>
          <w:rFonts w:ascii="仿宋_GB2312" w:hAnsi="仿宋_GB2312" w:eastAsia="仿宋_GB2312"/>
          <w:sz w:val="32"/>
        </w:rPr>
        <w:t>的同时，维护职工的劳动权利和物质文化利益把参与协调劳动关系，</w:t>
      </w:r>
      <w:r>
        <w:rPr>
          <w:rFonts w:hint="eastAsia" w:ascii="仿宋_GB2312" w:hAnsi="仿宋_GB2312" w:eastAsia="仿宋_GB2312"/>
          <w:sz w:val="32"/>
          <w:lang w:val="en-US" w:eastAsia="zh-CN"/>
        </w:rPr>
        <w:t>把</w:t>
      </w:r>
      <w:bookmarkStart w:id="0" w:name="_GoBack"/>
      <w:bookmarkEnd w:id="0"/>
      <w:r>
        <w:rPr>
          <w:rFonts w:ascii="仿宋_GB2312" w:hAnsi="仿宋_GB2312" w:eastAsia="仿宋_GB2312"/>
          <w:sz w:val="32"/>
        </w:rPr>
        <w:t>调节社会矛盾作为一项重要工作努力促进经济的发展和社会的长期WD。</w:t>
      </w:r>
    </w:p>
    <w:p w14:paraId="5B4E013A">
      <w:pPr>
        <w:spacing w:line="580" w:lineRule="exact"/>
        <w:ind w:firstLine="640"/>
        <w:jc w:val="both"/>
      </w:pPr>
      <w:r>
        <w:rPr>
          <w:rFonts w:ascii="仿宋_GB2312" w:hAnsi="仿宋_GB2312" w:eastAsia="仿宋_GB2312"/>
          <w:sz w:val="32"/>
        </w:rPr>
        <w:t>（七）对有关职工合法权益的重大问题进行调查研究，向上级反映职工的思想、愿望和要求，并提出意见和建议。</w:t>
      </w:r>
    </w:p>
    <w:p w14:paraId="65BCE1C8">
      <w:pPr>
        <w:spacing w:line="580" w:lineRule="exact"/>
        <w:ind w:firstLine="640"/>
        <w:jc w:val="both"/>
      </w:pPr>
      <w:r>
        <w:rPr>
          <w:rFonts w:ascii="仿宋_GB2312" w:hAnsi="仿宋_GB2312" w:eastAsia="仿宋_GB2312"/>
          <w:sz w:val="32"/>
        </w:rPr>
        <w:t>（八）指导基层工会自身建设和改革，组织各级工会开展以职工代表大会为基本制度的民主选举、民主决策、</w:t>
      </w:r>
      <w:r>
        <w:rPr>
          <w:rFonts w:hint="eastAsia" w:ascii="仿宋_GB2312" w:hAnsi="仿宋_GB2312" w:eastAsia="仿宋_GB2312"/>
          <w:sz w:val="32"/>
          <w:lang w:eastAsia="zh-CN"/>
        </w:rPr>
        <w:t>民主管理、民主监督</w:t>
      </w:r>
      <w:r>
        <w:rPr>
          <w:rFonts w:ascii="仿宋_GB2312" w:hAnsi="仿宋_GB2312" w:eastAsia="仿宋_GB2312"/>
          <w:sz w:val="32"/>
        </w:rPr>
        <w:t>工作，推动建立平等协商集体合同制度和监督保证机制的工作。</w:t>
      </w:r>
    </w:p>
    <w:p w14:paraId="25192323">
      <w:pPr>
        <w:spacing w:line="580" w:lineRule="exact"/>
        <w:ind w:firstLine="640"/>
        <w:jc w:val="both"/>
      </w:pPr>
      <w:r>
        <w:rPr>
          <w:rFonts w:ascii="仿宋_GB2312" w:hAnsi="仿宋_GB2312" w:eastAsia="仿宋_GB2312"/>
          <w:sz w:val="32"/>
        </w:rPr>
        <w:t>（九）建立健全基层工会组织，负责基层工会干部的培训工作。</w:t>
      </w:r>
    </w:p>
    <w:p w14:paraId="3AB7AACC">
      <w:pPr>
        <w:spacing w:line="580" w:lineRule="exact"/>
        <w:ind w:firstLine="640"/>
        <w:jc w:val="both"/>
      </w:pPr>
      <w:r>
        <w:rPr>
          <w:rFonts w:ascii="仿宋_GB2312" w:hAnsi="仿宋_GB2312" w:eastAsia="仿宋_GB2312"/>
          <w:sz w:val="32"/>
        </w:rPr>
        <w:t>（十）协助县委、县政府做好劳动模范推荐和评选工作，负责劳动模范的管理工作。</w:t>
      </w:r>
    </w:p>
    <w:p w14:paraId="60726B5C">
      <w:pPr>
        <w:spacing w:line="580" w:lineRule="exact"/>
        <w:ind w:firstLine="640"/>
        <w:jc w:val="both"/>
      </w:pPr>
      <w:r>
        <w:rPr>
          <w:rFonts w:ascii="仿宋_GB2312" w:hAnsi="仿宋_GB2312" w:eastAsia="仿宋_GB2312"/>
          <w:sz w:val="32"/>
        </w:rPr>
        <w:t>（十一）负责工会经费的管理、审查、审计和工会资产的管理工作。</w:t>
      </w:r>
    </w:p>
    <w:p w14:paraId="06F8ED00">
      <w:pPr>
        <w:spacing w:line="580" w:lineRule="exact"/>
        <w:ind w:firstLine="640"/>
        <w:jc w:val="both"/>
      </w:pPr>
      <w:r>
        <w:rPr>
          <w:rFonts w:ascii="仿宋_GB2312" w:hAnsi="仿宋_GB2312" w:eastAsia="仿宋_GB2312"/>
          <w:sz w:val="32"/>
        </w:rPr>
        <w:t>（十二）承办县委、县政府、地区工会交办的其他事项。</w:t>
      </w:r>
    </w:p>
    <w:p w14:paraId="32316BE4">
      <w:pPr>
        <w:spacing w:line="640" w:lineRule="exact"/>
        <w:ind w:firstLine="640"/>
        <w:jc w:val="both"/>
        <w:outlineLvl w:val="2"/>
      </w:pPr>
      <w:r>
        <w:rPr>
          <w:rFonts w:ascii="黑体" w:hAnsi="黑体" w:eastAsia="黑体"/>
          <w:sz w:val="32"/>
        </w:rPr>
        <w:t>二、机构设置及人员情况</w:t>
      </w:r>
    </w:p>
    <w:p w14:paraId="2848EEF0">
      <w:pPr>
        <w:spacing w:line="580" w:lineRule="exact"/>
        <w:ind w:firstLine="640"/>
        <w:jc w:val="both"/>
      </w:pPr>
      <w:r>
        <w:rPr>
          <w:rFonts w:ascii="仿宋_GB2312" w:hAnsi="仿宋_GB2312" w:eastAsia="仿宋_GB2312"/>
          <w:sz w:val="32"/>
        </w:rPr>
        <w:t>英吉沙县总工会2024年度，实有人数12人，其中：在职人员4人，减少1人；离休人员0人，增加0人；退休人员8人,减少1人。</w:t>
      </w:r>
    </w:p>
    <w:p w14:paraId="32081BB7">
      <w:pPr>
        <w:spacing w:line="580" w:lineRule="exact"/>
        <w:ind w:firstLine="640"/>
        <w:jc w:val="both"/>
      </w:pPr>
      <w:r>
        <w:rPr>
          <w:rFonts w:ascii="仿宋_GB2312" w:hAnsi="仿宋_GB2312" w:eastAsia="仿宋_GB2312"/>
          <w:sz w:val="32"/>
        </w:rPr>
        <w:t>英吉沙县总工会无下属预算单位，下设1个科室，分别是：办公室。</w:t>
      </w:r>
    </w:p>
    <w:p w14:paraId="1EBD98A1">
      <w:r>
        <w:br w:type="page"/>
      </w:r>
    </w:p>
    <w:p w14:paraId="0A9ADC80">
      <w:pPr>
        <w:spacing w:line="240" w:lineRule="auto"/>
        <w:jc w:val="center"/>
        <w:outlineLvl w:val="1"/>
      </w:pPr>
      <w:r>
        <w:rPr>
          <w:rFonts w:ascii="黑体" w:hAnsi="黑体" w:eastAsia="黑体"/>
          <w:sz w:val="32"/>
        </w:rPr>
        <w:t>第二部分 部门决算情况说明</w:t>
      </w:r>
    </w:p>
    <w:p w14:paraId="54578180">
      <w:pPr>
        <w:spacing w:line="640" w:lineRule="exact"/>
        <w:ind w:firstLine="640"/>
        <w:jc w:val="both"/>
        <w:outlineLvl w:val="2"/>
      </w:pPr>
      <w:r>
        <w:rPr>
          <w:rFonts w:ascii="黑体" w:hAnsi="黑体" w:eastAsia="黑体"/>
          <w:sz w:val="32"/>
        </w:rPr>
        <w:t>一、收入支出决算总体情况说明</w:t>
      </w:r>
    </w:p>
    <w:p w14:paraId="6EF40403">
      <w:pPr>
        <w:spacing w:line="580" w:lineRule="exact"/>
        <w:ind w:firstLine="640"/>
        <w:jc w:val="both"/>
      </w:pPr>
      <w:r>
        <w:rPr>
          <w:rFonts w:ascii="仿宋_GB2312" w:hAnsi="仿宋_GB2312" w:eastAsia="仿宋_GB2312"/>
          <w:b/>
          <w:sz w:val="32"/>
        </w:rPr>
        <w:t>2024年度收入总计129.62万元，</w:t>
      </w:r>
      <w:r>
        <w:rPr>
          <w:rFonts w:ascii="仿宋_GB2312" w:hAnsi="仿宋_GB2312" w:eastAsia="仿宋_GB2312"/>
          <w:b w:val="0"/>
          <w:sz w:val="32"/>
        </w:rPr>
        <w:t>其中：本年收入合计129.62万元，使用非财政拨款结余（含专用结余）0.00万元，年初结转和结余0.00万元。</w:t>
      </w:r>
    </w:p>
    <w:p w14:paraId="461B4637">
      <w:pPr>
        <w:spacing w:line="580" w:lineRule="exact"/>
        <w:ind w:firstLine="640"/>
        <w:jc w:val="both"/>
      </w:pPr>
      <w:r>
        <w:rPr>
          <w:rFonts w:ascii="仿宋_GB2312" w:hAnsi="仿宋_GB2312" w:eastAsia="仿宋_GB2312"/>
          <w:b/>
          <w:sz w:val="32"/>
        </w:rPr>
        <w:t>2024年度支出总计129.62万元，</w:t>
      </w:r>
      <w:r>
        <w:rPr>
          <w:rFonts w:ascii="仿宋_GB2312" w:hAnsi="仿宋_GB2312" w:eastAsia="仿宋_GB2312"/>
          <w:b w:val="0"/>
          <w:sz w:val="32"/>
        </w:rPr>
        <w:t>其中：本年支出合计129.62万元，结余分配0.00万元，年末结转和结余0.00万元。</w:t>
      </w:r>
    </w:p>
    <w:p w14:paraId="1725155A">
      <w:pPr>
        <w:spacing w:line="580" w:lineRule="exact"/>
        <w:ind w:firstLine="640"/>
        <w:jc w:val="both"/>
      </w:pPr>
      <w:r>
        <w:rPr>
          <w:rFonts w:ascii="仿宋_GB2312" w:hAnsi="仿宋_GB2312" w:eastAsia="仿宋_GB2312"/>
          <w:b w:val="0"/>
          <w:sz w:val="32"/>
        </w:rPr>
        <w:t>收入支出总体与上年相比，增加10.26万元，增长8.60%，主要原因是：本年在职人员工资调增，导致相关人员经费较上年有所增加。</w:t>
      </w:r>
    </w:p>
    <w:p w14:paraId="06D907E9">
      <w:pPr>
        <w:spacing w:line="640" w:lineRule="exact"/>
        <w:ind w:firstLine="640"/>
        <w:jc w:val="both"/>
        <w:outlineLvl w:val="2"/>
      </w:pPr>
      <w:r>
        <w:rPr>
          <w:rFonts w:ascii="黑体" w:hAnsi="黑体" w:eastAsia="黑体"/>
          <w:sz w:val="32"/>
        </w:rPr>
        <w:t>二、收入决算情况说明</w:t>
      </w:r>
    </w:p>
    <w:p w14:paraId="598E460F">
      <w:pPr>
        <w:spacing w:line="580" w:lineRule="exact"/>
        <w:ind w:firstLine="640"/>
        <w:jc w:val="both"/>
      </w:pPr>
      <w:r>
        <w:rPr>
          <w:rFonts w:ascii="仿宋_GB2312" w:hAnsi="仿宋_GB2312" w:eastAsia="仿宋_GB2312"/>
          <w:b/>
          <w:sz w:val="32"/>
        </w:rPr>
        <w:t>本年收入129.62万元，</w:t>
      </w:r>
      <w:r>
        <w:rPr>
          <w:rFonts w:ascii="仿宋_GB2312" w:hAnsi="仿宋_GB2312" w:eastAsia="仿宋_GB2312"/>
          <w:b w:val="0"/>
          <w:sz w:val="32"/>
        </w:rPr>
        <w:t>其中：财政拨款收入129.62万元，占100.00%；上级补助收入0.00万元，占0.00%；事业收入0.00万元，占0.00%；经营收入0.00万元，占0.00%；附属单位上缴收入0.00万元，占0.00%；其他收入0.00万元，占0.00%。</w:t>
      </w:r>
    </w:p>
    <w:p w14:paraId="18DF734D">
      <w:pPr>
        <w:spacing w:line="640" w:lineRule="exact"/>
        <w:ind w:firstLine="640"/>
        <w:jc w:val="both"/>
        <w:outlineLvl w:val="2"/>
      </w:pPr>
      <w:r>
        <w:rPr>
          <w:rFonts w:ascii="黑体" w:hAnsi="黑体" w:eastAsia="黑体"/>
          <w:sz w:val="32"/>
        </w:rPr>
        <w:t>三、支出决算情况说明</w:t>
      </w:r>
    </w:p>
    <w:p w14:paraId="611C937B">
      <w:pPr>
        <w:spacing w:line="580" w:lineRule="exact"/>
        <w:ind w:firstLine="640"/>
        <w:jc w:val="both"/>
      </w:pPr>
      <w:r>
        <w:rPr>
          <w:rFonts w:ascii="仿宋_GB2312" w:hAnsi="仿宋_GB2312" w:eastAsia="仿宋_GB2312"/>
          <w:b/>
          <w:sz w:val="32"/>
        </w:rPr>
        <w:t>本年支出129.62万元，</w:t>
      </w:r>
      <w:r>
        <w:rPr>
          <w:rFonts w:ascii="仿宋_GB2312" w:hAnsi="仿宋_GB2312" w:eastAsia="仿宋_GB2312"/>
          <w:b w:val="0"/>
          <w:sz w:val="32"/>
        </w:rPr>
        <w:t>其中：基本支出129.62万元，占100.00%；项目支出0.00万元，占0.00%；上缴上级支出0.00万元，占0.00%；经营支出0.00万元，占0.00%；对附属单位补助支出0.00万元，占0.00%。</w:t>
      </w:r>
    </w:p>
    <w:p w14:paraId="077CD048">
      <w:pPr>
        <w:spacing w:line="640" w:lineRule="exact"/>
        <w:ind w:firstLine="640"/>
        <w:jc w:val="both"/>
        <w:outlineLvl w:val="2"/>
      </w:pPr>
      <w:r>
        <w:rPr>
          <w:rFonts w:ascii="黑体" w:hAnsi="黑体" w:eastAsia="黑体"/>
          <w:sz w:val="32"/>
        </w:rPr>
        <w:t>四、财政拨款收入支出决算总体情况说明</w:t>
      </w:r>
    </w:p>
    <w:p w14:paraId="3B7D539F">
      <w:pPr>
        <w:spacing w:line="580" w:lineRule="exact"/>
        <w:ind w:firstLine="640"/>
        <w:jc w:val="both"/>
      </w:pPr>
      <w:r>
        <w:rPr>
          <w:rFonts w:ascii="仿宋_GB2312" w:hAnsi="仿宋_GB2312" w:eastAsia="仿宋_GB2312"/>
          <w:b/>
          <w:sz w:val="32"/>
        </w:rPr>
        <w:t>2024年度财政拨款收入总计129.62万元，</w:t>
      </w:r>
      <w:r>
        <w:rPr>
          <w:rFonts w:ascii="仿宋_GB2312" w:hAnsi="仿宋_GB2312" w:eastAsia="仿宋_GB2312"/>
          <w:b w:val="0"/>
          <w:sz w:val="32"/>
        </w:rPr>
        <w:t>其中：年初财政拨款结转和结余0.00万元，本年财政拨款收入129.62万元。</w:t>
      </w:r>
      <w:r>
        <w:rPr>
          <w:rFonts w:ascii="仿宋_GB2312" w:hAnsi="仿宋_GB2312" w:eastAsia="仿宋_GB2312"/>
          <w:b/>
          <w:sz w:val="32"/>
        </w:rPr>
        <w:t>财政拨款支出总计129.62万元，</w:t>
      </w:r>
      <w:r>
        <w:rPr>
          <w:rFonts w:ascii="仿宋_GB2312" w:hAnsi="仿宋_GB2312" w:eastAsia="仿宋_GB2312"/>
          <w:b w:val="0"/>
          <w:sz w:val="32"/>
        </w:rPr>
        <w:t>其中：年末财政拨款结转和结余0.00万元，本年财政拨款支出129.62万元。</w:t>
      </w:r>
    </w:p>
    <w:p w14:paraId="0B53889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增加10.26万元，增长8.60%，主要原因是：本年在职人员工资调增，导致相关人员经费较上年有所增加。</w:t>
      </w:r>
      <w:r>
        <w:rPr>
          <w:rFonts w:ascii="仿宋_GB2312" w:hAnsi="仿宋_GB2312" w:eastAsia="仿宋_GB2312"/>
          <w:b/>
          <w:sz w:val="32"/>
        </w:rPr>
        <w:t>与年初预算相比，</w:t>
      </w:r>
      <w:r>
        <w:rPr>
          <w:rFonts w:ascii="仿宋_GB2312" w:hAnsi="仿宋_GB2312" w:eastAsia="仿宋_GB2312"/>
          <w:b w:val="0"/>
          <w:sz w:val="32"/>
        </w:rPr>
        <w:t>年初预算数111.84万元，决算数129.62万元，预决算差异率15.90%，主要原因是：年中追加人员工资、社保、公积金基数调增部分资金。</w:t>
      </w:r>
    </w:p>
    <w:p w14:paraId="241B0D82">
      <w:pPr>
        <w:spacing w:line="640" w:lineRule="exact"/>
        <w:ind w:firstLine="640"/>
        <w:jc w:val="both"/>
        <w:outlineLvl w:val="2"/>
      </w:pPr>
      <w:r>
        <w:rPr>
          <w:rFonts w:ascii="黑体" w:hAnsi="黑体" w:eastAsia="黑体"/>
          <w:sz w:val="32"/>
        </w:rPr>
        <w:t>五、一般公共预算财政拨款支出决算情况说明</w:t>
      </w:r>
    </w:p>
    <w:p w14:paraId="328169A7">
      <w:pPr>
        <w:spacing w:line="640" w:lineRule="exact"/>
        <w:ind w:firstLine="640"/>
        <w:jc w:val="both"/>
        <w:outlineLvl w:val="3"/>
      </w:pPr>
      <w:r>
        <w:rPr>
          <w:rFonts w:ascii="楷体_GB2312" w:hAnsi="楷体_GB2312" w:eastAsia="楷体_GB2312"/>
          <w:b/>
          <w:sz w:val="32"/>
        </w:rPr>
        <w:t>（一）一般公共预算财政拨款支出决算总体情况</w:t>
      </w:r>
    </w:p>
    <w:p w14:paraId="018CBDC3">
      <w:pPr>
        <w:spacing w:line="580" w:lineRule="exact"/>
        <w:ind w:firstLine="640"/>
        <w:jc w:val="both"/>
      </w:pPr>
      <w:r>
        <w:rPr>
          <w:rFonts w:ascii="仿宋_GB2312" w:hAnsi="仿宋_GB2312" w:eastAsia="仿宋_GB2312"/>
          <w:b/>
          <w:sz w:val="32"/>
        </w:rPr>
        <w:t>2024年度一般公共预算财政拨款支出129.62万元，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增加10.26万元，增长8.60%，主要原因是：本年在职人员工资调增，导致相关人员经费较上年有所增加。</w:t>
      </w:r>
      <w:r>
        <w:rPr>
          <w:rFonts w:ascii="仿宋_GB2312" w:hAnsi="仿宋_GB2312" w:eastAsia="仿宋_GB2312"/>
          <w:b/>
          <w:sz w:val="32"/>
        </w:rPr>
        <w:t>与年初预算相比,</w:t>
      </w:r>
      <w:r>
        <w:rPr>
          <w:rFonts w:ascii="仿宋_GB2312" w:hAnsi="仿宋_GB2312" w:eastAsia="仿宋_GB2312"/>
          <w:b w:val="0"/>
          <w:sz w:val="32"/>
        </w:rPr>
        <w:t>年初预算数111.84万元，决算数129.62万元，预决算差异率15.90%，主要原因是：年中追加人员工资、社保、公积金基数调增部分资金。</w:t>
      </w:r>
    </w:p>
    <w:p w14:paraId="4413C078">
      <w:pPr>
        <w:spacing w:line="640" w:lineRule="exact"/>
        <w:ind w:firstLine="640"/>
        <w:jc w:val="both"/>
        <w:outlineLvl w:val="3"/>
      </w:pPr>
      <w:r>
        <w:rPr>
          <w:rFonts w:ascii="楷体_GB2312" w:hAnsi="楷体_GB2312" w:eastAsia="楷体_GB2312"/>
          <w:b/>
          <w:sz w:val="32"/>
        </w:rPr>
        <w:t>（二）一般公共预算财政拨款支出决算结构情况</w:t>
      </w:r>
    </w:p>
    <w:p w14:paraId="12AE3669">
      <w:pPr>
        <w:spacing w:line="580" w:lineRule="exact"/>
        <w:ind w:firstLine="640"/>
        <w:jc w:val="both"/>
      </w:pPr>
      <w:r>
        <w:rPr>
          <w:rFonts w:ascii="仿宋_GB2312" w:hAnsi="仿宋_GB2312" w:eastAsia="仿宋_GB2312"/>
          <w:b w:val="0"/>
          <w:sz w:val="32"/>
        </w:rPr>
        <w:t>1.一般公共服务支出(类)93.29万元,占71.97%。</w:t>
      </w:r>
    </w:p>
    <w:p w14:paraId="29558035">
      <w:pPr>
        <w:spacing w:line="580" w:lineRule="exact"/>
        <w:ind w:firstLine="640"/>
        <w:jc w:val="both"/>
      </w:pPr>
      <w:r>
        <w:rPr>
          <w:rFonts w:ascii="仿宋_GB2312" w:hAnsi="仿宋_GB2312" w:eastAsia="仿宋_GB2312"/>
          <w:b w:val="0"/>
          <w:sz w:val="32"/>
        </w:rPr>
        <w:t>2.社会保障和就业支出(类)25.29万元,占19.51%。</w:t>
      </w:r>
    </w:p>
    <w:p w14:paraId="2AE2B015">
      <w:pPr>
        <w:spacing w:line="580" w:lineRule="exact"/>
        <w:ind w:firstLine="640"/>
        <w:jc w:val="both"/>
      </w:pPr>
      <w:r>
        <w:rPr>
          <w:rFonts w:ascii="仿宋_GB2312" w:hAnsi="仿宋_GB2312" w:eastAsia="仿宋_GB2312"/>
          <w:b w:val="0"/>
          <w:sz w:val="32"/>
        </w:rPr>
        <w:t>3.卫生健康支出(类)4.39万元,占3.39%。</w:t>
      </w:r>
    </w:p>
    <w:p w14:paraId="29C79313">
      <w:pPr>
        <w:spacing w:line="580" w:lineRule="exact"/>
        <w:ind w:firstLine="640"/>
        <w:jc w:val="both"/>
      </w:pPr>
      <w:r>
        <w:rPr>
          <w:rFonts w:ascii="仿宋_GB2312" w:hAnsi="仿宋_GB2312" w:eastAsia="仿宋_GB2312"/>
          <w:b w:val="0"/>
          <w:sz w:val="32"/>
        </w:rPr>
        <w:t>4.住房保障支出(类)6.66万元,占5.14%。</w:t>
      </w:r>
    </w:p>
    <w:p w14:paraId="6E1484C8">
      <w:pPr>
        <w:spacing w:line="640" w:lineRule="exact"/>
        <w:ind w:firstLine="640"/>
        <w:jc w:val="both"/>
        <w:outlineLvl w:val="3"/>
      </w:pPr>
      <w:r>
        <w:rPr>
          <w:rFonts w:ascii="楷体_GB2312" w:hAnsi="楷体_GB2312" w:eastAsia="楷体_GB2312"/>
          <w:b/>
          <w:sz w:val="32"/>
        </w:rPr>
        <w:t>（三）一般公共预算财政拨款支出决算具体情况</w:t>
      </w:r>
    </w:p>
    <w:p w14:paraId="7D985C4E">
      <w:pPr>
        <w:spacing w:line="580" w:lineRule="exact"/>
        <w:ind w:firstLine="640"/>
        <w:jc w:val="both"/>
      </w:pPr>
      <w:r>
        <w:rPr>
          <w:rFonts w:ascii="仿宋_GB2312" w:hAnsi="仿宋_GB2312" w:eastAsia="仿宋_GB2312"/>
          <w:b w:val="0"/>
          <w:sz w:val="32"/>
        </w:rPr>
        <w:t>1.一般公共服务支出(类)群众团体事务(款)行政运行(项):支出决算数为93.29万元，比上年决算增加18.60万元，增长24.90%,主要原因是：本年在职人员工资调增，导致相关人员经费较上年有所增加。</w:t>
      </w:r>
    </w:p>
    <w:p w14:paraId="3B5F796D">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2.社会保障和就业支出(类)行政事业单位养老支出(款)行政单位离退休(项):支出决算数为12.98万元，比上年决算增加2.38万元，增长22.45%,主要原因是：本年退休人员减员，死亡抚恤金支出增加。</w:t>
      </w:r>
    </w:p>
    <w:p w14:paraId="190E4F1F">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7.35万元，比上年决算减少1.45万元，下降16.48%,主要原因是：本年在职人员调入调出，人员职级不同，缴费基数不同，导致养老保险缴费较上年减少。</w:t>
      </w:r>
    </w:p>
    <w:p w14:paraId="191C31A5">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4.95万元，比上年决算减少1.64万元，下降24.89%,主要原因是：本年新增退休人员较上年减少，职业年金支出减少。</w:t>
      </w:r>
    </w:p>
    <w:p w14:paraId="486872F2">
      <w:pPr>
        <w:spacing w:line="580" w:lineRule="exact"/>
        <w:ind w:firstLine="640"/>
        <w:jc w:val="both"/>
      </w:pPr>
      <w:r>
        <w:rPr>
          <w:rFonts w:ascii="仿宋_GB2312" w:hAnsi="仿宋_GB2312" w:eastAsia="仿宋_GB2312"/>
          <w:b w:val="0"/>
          <w:sz w:val="32"/>
        </w:rPr>
        <w:t>5.卫生健康支出(类)行政事业单位医疗(款)行政单位医疗(项):支出决算数为3.80万元，比上年决算减少5.14万元，下降57.49%,主要原因是：本年在职人员调入调出，人员职级不同，缴费基数不同，导致行政单位医疗较上年减少。</w:t>
      </w:r>
    </w:p>
    <w:p w14:paraId="4E4F9974">
      <w:pPr>
        <w:spacing w:line="580" w:lineRule="exact"/>
        <w:ind w:firstLine="640"/>
        <w:jc w:val="both"/>
      </w:pPr>
      <w:r>
        <w:rPr>
          <w:rFonts w:ascii="仿宋_GB2312" w:hAnsi="仿宋_GB2312" w:eastAsia="仿宋_GB2312"/>
          <w:b w:val="0"/>
          <w:sz w:val="32"/>
        </w:rPr>
        <w:t>6.卫生健康支出(类)行政事业单位医疗(款)公务员医疗补助(项):支出决算数为0.59万元，比上年决算减少2.09万元，下降77.99%,主要原因是：本年在职人员调入调出，人员职级不同，缴费基数不同，导致公务员医疗补助较上年减少。</w:t>
      </w:r>
    </w:p>
    <w:p w14:paraId="0A7D4DAA">
      <w:pPr>
        <w:spacing w:line="580" w:lineRule="exact"/>
        <w:ind w:firstLine="640"/>
        <w:jc w:val="both"/>
      </w:pPr>
      <w:r>
        <w:rPr>
          <w:rFonts w:ascii="仿宋_GB2312" w:hAnsi="仿宋_GB2312" w:eastAsia="仿宋_GB2312"/>
          <w:b w:val="0"/>
          <w:sz w:val="32"/>
        </w:rPr>
        <w:t>7.住房保障支出(类)住房改革支出(款)住房公积金(项):支出决算数为6.66万元，比上年决算减少0.41万元，下降5.80%,主要原因是：本年在职人员调入调出，人员职级不同，缴费基数不同，导致住房公积金较上年减少。</w:t>
      </w:r>
    </w:p>
    <w:p w14:paraId="48DDF491">
      <w:pPr>
        <w:spacing w:line="640" w:lineRule="exact"/>
        <w:ind w:firstLine="640"/>
        <w:jc w:val="both"/>
        <w:outlineLvl w:val="2"/>
      </w:pPr>
      <w:r>
        <w:rPr>
          <w:rFonts w:ascii="黑体" w:hAnsi="黑体" w:eastAsia="黑体"/>
          <w:sz w:val="32"/>
        </w:rPr>
        <w:t>六、一般公共预算财政拨款基本支出决算情况说明</w:t>
      </w:r>
    </w:p>
    <w:p w14:paraId="700F7B79">
      <w:pPr>
        <w:spacing w:line="580" w:lineRule="exact"/>
        <w:ind w:firstLine="640"/>
        <w:jc w:val="both"/>
      </w:pPr>
      <w:r>
        <w:rPr>
          <w:rFonts w:ascii="仿宋_GB2312" w:hAnsi="仿宋_GB2312" w:eastAsia="仿宋_GB2312"/>
          <w:b w:val="0"/>
          <w:sz w:val="32"/>
        </w:rPr>
        <w:t>2024年度一般公共预算财政拨款基本支出129.62万元，其中：</w:t>
      </w:r>
      <w:r>
        <w:rPr>
          <w:rFonts w:ascii="仿宋_GB2312" w:hAnsi="仿宋_GB2312" w:eastAsia="仿宋_GB2312"/>
          <w:b/>
          <w:sz w:val="32"/>
        </w:rPr>
        <w:t>人员经费128.81万元，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包括：基本工资、津贴补贴、奖金、机关事业单位基本养老保险缴费、职业年金缴费、职工基本医疗保险缴费、公务员医疗补助缴费、其他社会保障缴费、住房公积金、退休费、抚恤金、奖励金。</w:t>
      </w:r>
    </w:p>
    <w:p w14:paraId="22F5FA40">
      <w:pPr>
        <w:spacing w:line="580" w:lineRule="exact"/>
        <w:ind w:firstLine="640"/>
        <w:jc w:val="both"/>
      </w:pPr>
      <w:r>
        <w:rPr>
          <w:rFonts w:ascii="仿宋_GB2312" w:hAnsi="仿宋_GB2312" w:eastAsia="仿宋_GB2312"/>
          <w:b/>
          <w:sz w:val="32"/>
        </w:rPr>
        <w:t>公用经费0.81万元，</w:t>
      </w:r>
      <w:r>
        <w:rPr>
          <w:rFonts w:ascii="仿宋_GB2312" w:hAnsi="仿宋_GB2312" w:eastAsia="仿宋_GB2312"/>
          <w:b w:val="0"/>
          <w:sz w:val="32"/>
        </w:rPr>
        <w:t>包括：办公费、电费、邮电费。</w:t>
      </w:r>
    </w:p>
    <w:p w14:paraId="563CF994">
      <w:pPr>
        <w:spacing w:line="640" w:lineRule="exact"/>
        <w:ind w:firstLine="640"/>
        <w:jc w:val="both"/>
        <w:outlineLvl w:val="2"/>
      </w:pPr>
      <w:r>
        <w:rPr>
          <w:rFonts w:ascii="黑体" w:hAnsi="黑体" w:eastAsia="黑体"/>
          <w:sz w:val="32"/>
        </w:rPr>
        <w:t>七、政府性基金预算财政拨款收入支出决算情况说明</w:t>
      </w:r>
    </w:p>
    <w:p w14:paraId="575C3E6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2C76213">
      <w:pPr>
        <w:spacing w:line="640" w:lineRule="exact"/>
        <w:ind w:firstLine="640"/>
        <w:jc w:val="both"/>
        <w:outlineLvl w:val="2"/>
      </w:pPr>
      <w:r>
        <w:rPr>
          <w:rFonts w:ascii="黑体" w:hAnsi="黑体" w:eastAsia="黑体"/>
          <w:sz w:val="32"/>
        </w:rPr>
        <w:t>八、国有资本经营预算财政拨款收入支出决算情况说明</w:t>
      </w:r>
    </w:p>
    <w:p w14:paraId="715BC5A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C762CC9">
      <w:pPr>
        <w:spacing w:line="640" w:lineRule="exact"/>
        <w:ind w:firstLine="640"/>
        <w:jc w:val="both"/>
        <w:outlineLvl w:val="2"/>
      </w:pPr>
      <w:r>
        <w:rPr>
          <w:rFonts w:ascii="黑体" w:hAnsi="黑体" w:eastAsia="黑体"/>
          <w:sz w:val="32"/>
        </w:rPr>
        <w:t>九、财政拨款“三公”经费支出决算情况说明</w:t>
      </w:r>
    </w:p>
    <w:p w14:paraId="482EAB1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比上年减少0.09万元，下降100.00%，主要原因是：严格落实</w:t>
      </w:r>
      <w:r>
        <w:rPr>
          <w:rFonts w:hint="eastAsia" w:ascii="仿宋_GB2312" w:hAnsi="仿宋_GB2312" w:eastAsia="仿宋_GB2312"/>
          <w:b w:val="0"/>
          <w:sz w:val="32"/>
          <w:lang w:val="en-US" w:eastAsia="zh-CN"/>
        </w:rPr>
        <w:t>中央</w:t>
      </w:r>
      <w:r>
        <w:rPr>
          <w:rFonts w:hint="eastAsia" w:ascii="仿宋_GB2312" w:hAnsi="仿宋_GB2312" w:eastAsia="仿宋_GB2312"/>
          <w:b w:val="0"/>
          <w:sz w:val="32"/>
          <w:lang w:eastAsia="zh-CN"/>
        </w:rPr>
        <w:t>八项规定</w:t>
      </w:r>
      <w:r>
        <w:rPr>
          <w:rFonts w:ascii="仿宋_GB2312" w:hAnsi="仿宋_GB2312" w:eastAsia="仿宋_GB2312"/>
          <w:b w:val="0"/>
          <w:sz w:val="32"/>
        </w:rPr>
        <w:t>精神，厉行节约，无公务用车运行维护费。其中：因公出国（境）费支出0.00万元，占0.00%，比上年增加0.00万元，增长0.00%，主要原因是：2023年与2024年均未安排因公出国（境）费支出。公务用车购置及运行维护费支出0.00万元，占0.00%，比上年减少0.09万元，下降100.00%，主要原因是：本单位无公务用车运行维护费。公务接待费支出0.00万元，占0.00%，比上年增加0.00万元，增长0.00%，主要原因是：2023年与2024年均未安排公务接待费支出。</w:t>
      </w:r>
    </w:p>
    <w:p w14:paraId="5250C6CC">
      <w:pPr>
        <w:spacing w:line="580" w:lineRule="exact"/>
        <w:ind w:firstLine="640"/>
        <w:jc w:val="both"/>
      </w:pPr>
      <w:r>
        <w:rPr>
          <w:rFonts w:ascii="仿宋_GB2312" w:hAnsi="仿宋_GB2312" w:eastAsia="仿宋_GB2312"/>
          <w:b/>
          <w:sz w:val="32"/>
        </w:rPr>
        <w:t>具体情况如下：</w:t>
      </w:r>
    </w:p>
    <w:p w14:paraId="7F2219F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22E9BA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631E4D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6F39B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77D1701">
      <w:pPr>
        <w:spacing w:line="640" w:lineRule="exact"/>
        <w:ind w:firstLine="640"/>
        <w:jc w:val="both"/>
        <w:outlineLvl w:val="2"/>
      </w:pPr>
      <w:r>
        <w:rPr>
          <w:rFonts w:ascii="黑体" w:hAnsi="黑体" w:eastAsia="黑体"/>
          <w:sz w:val="32"/>
        </w:rPr>
        <w:t>十、其他重要事项的情况说明</w:t>
      </w:r>
    </w:p>
    <w:p w14:paraId="7CCE813B">
      <w:pPr>
        <w:spacing w:line="640" w:lineRule="exact"/>
        <w:ind w:firstLine="640"/>
        <w:jc w:val="both"/>
        <w:outlineLvl w:val="3"/>
      </w:pPr>
      <w:r>
        <w:rPr>
          <w:rFonts w:ascii="楷体_GB2312" w:hAnsi="楷体_GB2312" w:eastAsia="楷体_GB2312"/>
          <w:b/>
          <w:sz w:val="32"/>
        </w:rPr>
        <w:t>（一）机关运行经费及公用经费支出情况</w:t>
      </w:r>
    </w:p>
    <w:p w14:paraId="43B0D6FB">
      <w:pPr>
        <w:spacing w:line="580" w:lineRule="exact"/>
        <w:ind w:firstLine="640"/>
        <w:jc w:val="both"/>
      </w:pPr>
      <w:r>
        <w:rPr>
          <w:rFonts w:ascii="仿宋_GB2312" w:hAnsi="仿宋_GB2312" w:eastAsia="仿宋_GB2312"/>
          <w:b w:val="0"/>
          <w:sz w:val="32"/>
        </w:rPr>
        <w:t>2024年度英吉沙县总工会（行政单位和参照公务员法管理事业单位）机关运行经费支出0.81万元，比上年减少0.06万元，下降6.90%，主要原因是：严格执行</w:t>
      </w:r>
      <w:r>
        <w:rPr>
          <w:rFonts w:hint="eastAsia" w:ascii="仿宋_GB2312" w:hAnsi="仿宋_GB2312" w:eastAsia="仿宋_GB2312"/>
          <w:b w:val="0"/>
          <w:sz w:val="32"/>
          <w:lang w:val="en-US" w:eastAsia="zh-CN"/>
        </w:rPr>
        <w:t>中央</w:t>
      </w:r>
      <w:r>
        <w:rPr>
          <w:rFonts w:hint="eastAsia" w:ascii="仿宋_GB2312" w:hAnsi="仿宋_GB2312" w:eastAsia="仿宋_GB2312"/>
          <w:b w:val="0"/>
          <w:sz w:val="32"/>
          <w:lang w:eastAsia="zh-CN"/>
        </w:rPr>
        <w:t>八项规定</w:t>
      </w:r>
      <w:r>
        <w:rPr>
          <w:rFonts w:ascii="仿宋_GB2312" w:hAnsi="仿宋_GB2312" w:eastAsia="仿宋_GB2312"/>
          <w:b w:val="0"/>
          <w:sz w:val="32"/>
        </w:rPr>
        <w:t>，厉行节约，</w:t>
      </w:r>
      <w:r>
        <w:rPr>
          <w:rFonts w:hint="eastAsia" w:ascii="仿宋_GB2312" w:hAnsi="仿宋_GB2312" w:eastAsia="仿宋_GB2312"/>
          <w:b w:val="0"/>
          <w:sz w:val="32"/>
          <w:lang w:eastAsia="zh-CN"/>
        </w:rPr>
        <w:t>减少</w:t>
      </w:r>
      <w:r>
        <w:rPr>
          <w:rFonts w:ascii="仿宋_GB2312" w:hAnsi="仿宋_GB2312" w:eastAsia="仿宋_GB2312"/>
          <w:b w:val="0"/>
          <w:sz w:val="32"/>
        </w:rPr>
        <w:t>经费。</w:t>
      </w:r>
    </w:p>
    <w:p w14:paraId="73056A60">
      <w:pPr>
        <w:spacing w:line="640" w:lineRule="exact"/>
        <w:ind w:firstLine="640"/>
        <w:jc w:val="both"/>
        <w:outlineLvl w:val="3"/>
      </w:pPr>
      <w:r>
        <w:rPr>
          <w:rFonts w:ascii="楷体_GB2312" w:hAnsi="楷体_GB2312" w:eastAsia="楷体_GB2312"/>
          <w:b/>
          <w:sz w:val="32"/>
        </w:rPr>
        <w:t>（二）政府采购情况</w:t>
      </w:r>
    </w:p>
    <w:p w14:paraId="2D30F45B">
      <w:pPr>
        <w:spacing w:line="580" w:lineRule="exact"/>
        <w:ind w:firstLine="640"/>
        <w:jc w:val="both"/>
      </w:pPr>
      <w:r>
        <w:rPr>
          <w:rFonts w:ascii="仿宋_GB2312" w:hAnsi="仿宋_GB2312" w:eastAsia="仿宋_GB2312"/>
          <w:b w:val="0"/>
          <w:sz w:val="32"/>
        </w:rPr>
        <w:t>2024年度政府采购支出总额0.75万元，其中：政府采购货物支出0.75万元、政府采购工程支出0.00万元、政府采购服务支出0.00万元。</w:t>
      </w:r>
    </w:p>
    <w:p w14:paraId="6F4C0210">
      <w:pPr>
        <w:spacing w:line="580" w:lineRule="exact"/>
        <w:ind w:firstLine="640"/>
        <w:jc w:val="both"/>
      </w:pPr>
      <w:r>
        <w:rPr>
          <w:rFonts w:ascii="仿宋_GB2312" w:hAnsi="仿宋_GB2312" w:eastAsia="仿宋_GB2312"/>
          <w:b w:val="0"/>
          <w:sz w:val="32"/>
        </w:rPr>
        <w:t>授予中小企业合同金额0.75万元，占政府采购支出总额的100.00%，其中：授予小微企业合同金额0.75万元，占政府采购支出总额的100.00%。</w:t>
      </w:r>
    </w:p>
    <w:p w14:paraId="3ECF6345">
      <w:pPr>
        <w:spacing w:line="640" w:lineRule="exact"/>
        <w:ind w:firstLine="640"/>
        <w:jc w:val="both"/>
        <w:outlineLvl w:val="3"/>
      </w:pPr>
      <w:r>
        <w:rPr>
          <w:rFonts w:ascii="楷体_GB2312" w:hAnsi="楷体_GB2312" w:eastAsia="楷体_GB2312"/>
          <w:b/>
          <w:sz w:val="32"/>
        </w:rPr>
        <w:t>（三）国有资产占用情况说明</w:t>
      </w:r>
    </w:p>
    <w:p w14:paraId="35A43301">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E3F42CE">
      <w:pPr>
        <w:spacing w:line="640" w:lineRule="exact"/>
        <w:ind w:firstLine="640"/>
        <w:jc w:val="both"/>
        <w:outlineLvl w:val="2"/>
      </w:pPr>
      <w:r>
        <w:rPr>
          <w:rFonts w:ascii="黑体" w:hAnsi="黑体" w:eastAsia="黑体"/>
          <w:sz w:val="32"/>
        </w:rPr>
        <w:t>十一、预算绩效的情况说明</w:t>
      </w:r>
    </w:p>
    <w:p w14:paraId="696FF02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129.62万元，实际执行总额129.62万元；预算绩效评价项目0个，全年预算数0.00万元，全年执行数0.00万元。预算绩效管理取得的成效：</w:t>
      </w:r>
      <w:r>
        <w:rPr>
          <w:rFonts w:hint="eastAsia" w:ascii="仿宋_GB2312" w:hAnsi="仿宋_GB2312" w:eastAsia="仿宋_GB2312"/>
          <w:b w:val="0"/>
          <w:sz w:val="32"/>
          <w:lang w:val="en-US" w:eastAsia="zh-CN"/>
        </w:rPr>
        <w:t>本</w:t>
      </w:r>
      <w:r>
        <w:rPr>
          <w:rFonts w:ascii="仿宋_GB2312" w:hAnsi="仿宋_GB2312" w:eastAsia="仿宋_GB2312"/>
          <w:b w:val="0"/>
          <w:sz w:val="32"/>
        </w:rPr>
        <w:t>单位无项目绩效自评表。发现的问题及原因：</w:t>
      </w:r>
      <w:r>
        <w:rPr>
          <w:rFonts w:hint="eastAsia" w:ascii="仿宋_GB2312" w:hAnsi="仿宋_GB2312" w:eastAsia="仿宋_GB2312"/>
          <w:b w:val="0"/>
          <w:sz w:val="32"/>
          <w:lang w:val="en-US" w:eastAsia="zh-CN"/>
        </w:rPr>
        <w:t>本</w:t>
      </w:r>
      <w:r>
        <w:rPr>
          <w:rFonts w:ascii="仿宋_GB2312" w:hAnsi="仿宋_GB2312" w:eastAsia="仿宋_GB2312"/>
          <w:b w:val="0"/>
          <w:sz w:val="32"/>
        </w:rPr>
        <w:t>单位无项目绩效自评表。下一步改进措施：</w:t>
      </w:r>
      <w:r>
        <w:rPr>
          <w:rFonts w:hint="eastAsia" w:ascii="仿宋_GB2312" w:hAnsi="仿宋_GB2312" w:eastAsia="仿宋_GB2312"/>
          <w:b w:val="0"/>
          <w:sz w:val="32"/>
          <w:lang w:val="en-US" w:eastAsia="zh-CN"/>
        </w:rPr>
        <w:t>本</w:t>
      </w:r>
      <w:r>
        <w:rPr>
          <w:rFonts w:ascii="仿宋_GB2312" w:hAnsi="仿宋_GB2312" w:eastAsia="仿宋_GB2312"/>
          <w:b w:val="0"/>
          <w:sz w:val="32"/>
        </w:rPr>
        <w:t>单位无项目绩效自评表。具体附整体支出绩效自评表。</w:t>
      </w:r>
    </w:p>
    <w:p w14:paraId="2EF96CE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01121BA">
        <w:tblPrEx>
          <w:tblCellMar>
            <w:top w:w="0" w:type="dxa"/>
            <w:left w:w="108" w:type="dxa"/>
            <w:bottom w:w="0" w:type="dxa"/>
            <w:right w:w="108" w:type="dxa"/>
          </w:tblCellMar>
        </w:tblPrEx>
        <w:tc>
          <w:tcPr>
            <w:tcW w:w="8847" w:type="dxa"/>
            <w:gridSpan w:val="9"/>
            <w:vAlign w:val="center"/>
          </w:tcPr>
          <w:p w14:paraId="0DBC4F81">
            <w:pPr>
              <w:jc w:val="center"/>
            </w:pPr>
            <w:r>
              <w:rPr>
                <w:rFonts w:ascii="宋体" w:hAnsi="宋体" w:eastAsia="宋体"/>
                <w:sz w:val="24"/>
              </w:rPr>
              <w:t>单位整体支出绩效自评表</w:t>
            </w:r>
          </w:p>
        </w:tc>
      </w:tr>
      <w:tr w14:paraId="19B1A04C">
        <w:tblPrEx>
          <w:tblCellMar>
            <w:top w:w="0" w:type="dxa"/>
            <w:left w:w="108" w:type="dxa"/>
            <w:bottom w:w="0" w:type="dxa"/>
            <w:right w:w="108" w:type="dxa"/>
          </w:tblCellMar>
        </w:tblPrEx>
        <w:tc>
          <w:tcPr>
            <w:tcW w:w="8847" w:type="dxa"/>
            <w:gridSpan w:val="9"/>
            <w:vAlign w:val="center"/>
          </w:tcPr>
          <w:p w14:paraId="5F165539">
            <w:pPr>
              <w:jc w:val="center"/>
            </w:pPr>
            <w:r>
              <w:rPr>
                <w:rFonts w:ascii="宋体" w:hAnsi="宋体" w:eastAsia="宋体"/>
                <w:sz w:val="24"/>
              </w:rPr>
              <w:t>（2024年度）</w:t>
            </w:r>
          </w:p>
        </w:tc>
      </w:tr>
      <w:tr w14:paraId="071796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5EBB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C38E07">
            <w:pPr>
              <w:jc w:val="center"/>
            </w:pPr>
            <w:r>
              <w:rPr>
                <w:rFonts w:ascii="宋体" w:hAnsi="宋体" w:eastAsia="宋体"/>
                <w:sz w:val="16"/>
              </w:rPr>
              <w:t>英吉沙县总工会</w:t>
            </w:r>
          </w:p>
        </w:tc>
      </w:tr>
      <w:tr w14:paraId="01698E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D7CC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E681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6F8D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2B90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DFDBD">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0650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1EBB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7A64">
            <w:pPr>
              <w:jc w:val="center"/>
            </w:pPr>
            <w:r>
              <w:rPr>
                <w:rFonts w:ascii="宋体" w:hAnsi="宋体" w:eastAsia="宋体"/>
                <w:sz w:val="16"/>
              </w:rPr>
              <w:t>得分</w:t>
            </w:r>
          </w:p>
        </w:tc>
      </w:tr>
      <w:tr w14:paraId="16CC2B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DD0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3A1B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FA256">
            <w:pPr>
              <w:jc w:val="center"/>
            </w:pPr>
            <w:r>
              <w:rPr>
                <w:rFonts w:ascii="宋体" w:hAnsi="宋体" w:eastAsia="宋体"/>
                <w:sz w:val="16"/>
              </w:rPr>
              <w:t>111.84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53CB5">
            <w:pPr>
              <w:jc w:val="center"/>
            </w:pPr>
            <w:r>
              <w:rPr>
                <w:rFonts w:ascii="宋体" w:hAnsi="宋体" w:eastAsia="宋体"/>
                <w:sz w:val="16"/>
              </w:rPr>
              <w:t>129.62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19705">
            <w:pPr>
              <w:jc w:val="center"/>
            </w:pPr>
            <w:r>
              <w:rPr>
                <w:rFonts w:ascii="宋体" w:hAnsi="宋体" w:eastAsia="宋体"/>
                <w:sz w:val="16"/>
              </w:rPr>
              <w:t>129.62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966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4EBD6">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D4E89">
            <w:pPr>
              <w:jc w:val="center"/>
            </w:pPr>
            <w:r>
              <w:rPr>
                <w:rFonts w:ascii="宋体" w:hAnsi="宋体" w:eastAsia="宋体"/>
                <w:sz w:val="16"/>
              </w:rPr>
              <w:t>10</w:t>
            </w:r>
          </w:p>
        </w:tc>
      </w:tr>
      <w:tr w14:paraId="1DA631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D93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44DF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FB1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09A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D56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771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04BA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EBF7E">
            <w:pPr>
              <w:jc w:val="center"/>
            </w:pPr>
            <w:r>
              <w:rPr>
                <w:rFonts w:ascii="宋体" w:hAnsi="宋体" w:eastAsia="宋体"/>
                <w:sz w:val="16"/>
              </w:rPr>
              <w:t>—</w:t>
            </w:r>
          </w:p>
        </w:tc>
      </w:tr>
      <w:tr w14:paraId="66ED25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F67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9C2A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52289">
            <w:pPr>
              <w:jc w:val="center"/>
            </w:pPr>
            <w:r>
              <w:rPr>
                <w:rFonts w:ascii="宋体" w:hAnsi="宋体" w:eastAsia="宋体"/>
                <w:sz w:val="16"/>
              </w:rPr>
              <w:t>111.84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590E1">
            <w:pPr>
              <w:jc w:val="center"/>
            </w:pPr>
            <w:r>
              <w:rPr>
                <w:rFonts w:ascii="宋体" w:hAnsi="宋体" w:eastAsia="宋体"/>
                <w:sz w:val="16"/>
              </w:rPr>
              <w:t>129.62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D472D">
            <w:pPr>
              <w:jc w:val="center"/>
            </w:pPr>
            <w:r>
              <w:rPr>
                <w:rFonts w:ascii="宋体" w:hAnsi="宋体" w:eastAsia="宋体"/>
                <w:sz w:val="16"/>
              </w:rPr>
              <w:t>129.62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434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A3FF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2480C">
            <w:pPr>
              <w:jc w:val="center"/>
            </w:pPr>
            <w:r>
              <w:rPr>
                <w:rFonts w:ascii="宋体" w:hAnsi="宋体" w:eastAsia="宋体"/>
                <w:sz w:val="16"/>
              </w:rPr>
              <w:t>—</w:t>
            </w:r>
          </w:p>
        </w:tc>
      </w:tr>
      <w:tr w14:paraId="03CCCC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5CC1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0A6F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FE9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2ED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952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D71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8A03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A4686">
            <w:pPr>
              <w:jc w:val="center"/>
            </w:pPr>
            <w:r>
              <w:rPr>
                <w:rFonts w:ascii="宋体" w:hAnsi="宋体" w:eastAsia="宋体"/>
                <w:sz w:val="16"/>
              </w:rPr>
              <w:t>—</w:t>
            </w:r>
          </w:p>
        </w:tc>
      </w:tr>
      <w:tr w14:paraId="0E0792E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013E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00D559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AD2128">
            <w:pPr>
              <w:jc w:val="center"/>
            </w:pPr>
            <w:r>
              <w:rPr>
                <w:rFonts w:ascii="宋体" w:hAnsi="宋体" w:eastAsia="宋体"/>
                <w:sz w:val="16"/>
              </w:rPr>
              <w:t>实际完成情况</w:t>
            </w:r>
          </w:p>
        </w:tc>
      </w:tr>
      <w:tr w14:paraId="5C7B45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989D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630B0F">
            <w:pPr>
              <w:jc w:val="both"/>
            </w:pPr>
            <w:r>
              <w:rPr>
                <w:rFonts w:ascii="宋体" w:hAnsi="宋体" w:eastAsia="宋体"/>
                <w:sz w:val="16"/>
              </w:rPr>
              <w:t>英吉沙县总工会将继续按照自治区党委，地委，县委的要求，做好各项措施落实。坚持把建立好完善职代会制度，平等协商和签订集体合同制度作为加强基层民主管理的重要手段，强化工资集体协商，职代会条例和厂务公开宣传和培训。保障英吉沙县总工会全年正常运送。组织开展夏送秋凉，冬送温暖等活动，竭力为各族职工群众做好事，办实事，解难事。保障英吉沙县总工会议工活动，技能竞赛活动正常举行。根据《中国工会章程》规定，地方工会每五年举行一次代表大会，英吉沙县工会第五届委员会任期已满，第六次代表大会应</w:t>
            </w:r>
            <w:r>
              <w:rPr>
                <w:rFonts w:hint="eastAsia" w:ascii="宋体" w:hAnsi="宋体"/>
                <w:sz w:val="16"/>
                <w:lang w:eastAsia="zh-CN"/>
              </w:rPr>
              <w:t>于</w:t>
            </w:r>
            <w:r>
              <w:rPr>
                <w:rFonts w:ascii="宋体" w:hAnsi="宋体" w:eastAsia="宋体"/>
                <w:sz w:val="16"/>
              </w:rPr>
              <w:t>2024年召开，做好县级工会加强年工作。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43F667">
            <w:pPr>
              <w:jc w:val="both"/>
            </w:pPr>
            <w:r>
              <w:rPr>
                <w:rFonts w:hint="eastAsia" w:ascii="宋体" w:hAnsi="宋体"/>
                <w:sz w:val="16"/>
                <w:lang w:eastAsia="zh-CN"/>
              </w:rPr>
              <w:t>1.</w:t>
            </w:r>
            <w:r>
              <w:rPr>
                <w:rFonts w:ascii="宋体" w:hAnsi="宋体" w:eastAsia="宋体"/>
                <w:sz w:val="16"/>
              </w:rPr>
              <w:t>组织送温暖活动2次，迎新春开展“工会温暖进万家”春节送温暖活动，慰问快递、外卖、环卫等20家单位的节日期间坚守一线职工共555人，发放面、清油等慰问物资，合计8.88万元。开展“工会送清凉”活动慰问320余名公安系统辅警、环卫工人、货车司机和新就业形态劳动者，投入资金3.2万元，切实维护职工安全与健康权益，提升职工群众对工会组织的认同感和归属感；2、组织劳动竞赛活动3次，开展“安康杯”竞赛活动，共13</w:t>
            </w:r>
            <w:r>
              <w:rPr>
                <w:rFonts w:hint="eastAsia" w:ascii="宋体" w:hAnsi="宋体"/>
                <w:sz w:val="16"/>
                <w:lang w:eastAsia="zh-CN"/>
              </w:rPr>
              <w:t>家</w:t>
            </w:r>
            <w:r>
              <w:rPr>
                <w:rFonts w:ascii="宋体" w:hAnsi="宋体" w:eastAsia="宋体"/>
                <w:sz w:val="16"/>
              </w:rPr>
              <w:t>企业、单位共389名职工参加竞赛活动。3、国语演讲比赛16次，联合各乡镇工会、企业工会广泛开展“中国梦·劳动美·新疆好——永远跟党走 奋进新时代”国语演讲比赛；4、规模以上企业集体合同签订率，我县完成120</w:t>
            </w:r>
            <w:r>
              <w:rPr>
                <w:rFonts w:hint="eastAsia" w:ascii="宋体" w:hAnsi="宋体"/>
                <w:sz w:val="16"/>
                <w:lang w:eastAsia="zh-CN"/>
              </w:rPr>
              <w:t>家</w:t>
            </w:r>
            <w:r>
              <w:rPr>
                <w:rFonts w:ascii="宋体" w:hAnsi="宋体" w:eastAsia="宋体"/>
                <w:sz w:val="16"/>
              </w:rPr>
              <w:t>企业签订工资集体合同，签订率达89.55%。其中：公有制企业15家，建立集体协商和集体合同制度的企业15家，签订率100%；非公有制企业119家，已建立集体协商和集体合同制度的企业105家，签订率88.23%。按企业人数分，百人以上企业14家，已建立集体协商和集体合同制度的企业12家，签订率85.71%；25人以上百人以下企业54家，已建立集体协商和集体</w:t>
            </w:r>
            <w:r>
              <w:rPr>
                <w:rFonts w:hint="eastAsia" w:ascii="宋体" w:hAnsi="宋体"/>
                <w:sz w:val="16"/>
                <w:lang w:eastAsia="zh-CN"/>
              </w:rPr>
              <w:t>合同制</w:t>
            </w:r>
            <w:r>
              <w:rPr>
                <w:rFonts w:ascii="宋体" w:hAnsi="宋体" w:eastAsia="宋体"/>
                <w:sz w:val="16"/>
              </w:rPr>
              <w:t>度的企业44家，签订率81.48%；25人以下企业66家已建立集体协商和集体合同制度的企业64家，签订率96.96%。</w:t>
            </w:r>
          </w:p>
        </w:tc>
      </w:tr>
      <w:tr w14:paraId="1D3FFBB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7BF6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3BCE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06ED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0EA1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98FF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7417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3698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3635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EDBD4">
            <w:pPr>
              <w:jc w:val="center"/>
            </w:pPr>
            <w:r>
              <w:rPr>
                <w:rFonts w:ascii="宋体" w:hAnsi="宋体" w:eastAsia="宋体"/>
                <w:sz w:val="16"/>
              </w:rPr>
              <w:t>得分</w:t>
            </w:r>
          </w:p>
        </w:tc>
      </w:tr>
      <w:tr w14:paraId="177C8B6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CAE37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E554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52C37">
            <w:pPr>
              <w:jc w:val="center"/>
            </w:pPr>
            <w:r>
              <w:rPr>
                <w:rFonts w:ascii="宋体" w:hAnsi="宋体" w:eastAsia="宋体"/>
                <w:sz w:val="16"/>
              </w:rPr>
              <w:t>组织送温暖活动次数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4AD90">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6A03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7A440">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B7202">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C7C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31AC7">
            <w:pPr>
              <w:jc w:val="center"/>
            </w:pPr>
            <w:r>
              <w:rPr>
                <w:rFonts w:ascii="宋体" w:hAnsi="宋体" w:eastAsia="宋体"/>
                <w:sz w:val="16"/>
              </w:rPr>
              <w:t>25</w:t>
            </w:r>
          </w:p>
        </w:tc>
      </w:tr>
      <w:tr w14:paraId="742FF2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015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24ED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D9C34">
            <w:pPr>
              <w:jc w:val="center"/>
            </w:pPr>
            <w:r>
              <w:rPr>
                <w:rFonts w:ascii="宋体" w:hAnsi="宋体" w:eastAsia="宋体"/>
                <w:sz w:val="16"/>
              </w:rPr>
              <w:t>组织劳动竞赛活动次数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DBF3D">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FD7E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6D57C">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CFE85">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4D0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C91AF">
            <w:pPr>
              <w:jc w:val="center"/>
            </w:pPr>
            <w:r>
              <w:rPr>
                <w:rFonts w:ascii="宋体" w:hAnsi="宋体" w:eastAsia="宋体"/>
                <w:sz w:val="16"/>
              </w:rPr>
              <w:t>25</w:t>
            </w:r>
          </w:p>
        </w:tc>
      </w:tr>
      <w:tr w14:paraId="3F7A06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501B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A23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18B08">
            <w:pPr>
              <w:jc w:val="center"/>
            </w:pPr>
            <w:r>
              <w:rPr>
                <w:rFonts w:ascii="宋体" w:hAnsi="宋体" w:eastAsia="宋体"/>
                <w:sz w:val="16"/>
              </w:rPr>
              <w:t>国语演讲比赛活动次数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3DE1F">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33C3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F55B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2348F">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A85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AF43">
            <w:pPr>
              <w:jc w:val="center"/>
            </w:pPr>
            <w:r>
              <w:rPr>
                <w:rFonts w:ascii="宋体" w:hAnsi="宋体" w:eastAsia="宋体"/>
                <w:sz w:val="16"/>
              </w:rPr>
              <w:t>20</w:t>
            </w:r>
          </w:p>
        </w:tc>
      </w:tr>
      <w:tr w14:paraId="7A2EE6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2AB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1EEB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71381">
            <w:pPr>
              <w:jc w:val="center"/>
            </w:pPr>
            <w:r>
              <w:rPr>
                <w:rFonts w:ascii="宋体" w:hAnsi="宋体" w:eastAsia="宋体"/>
                <w:sz w:val="16"/>
              </w:rPr>
              <w:t>劳模评选活动次数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22B4C">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F65C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228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7BD3B">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2D0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7F6DA">
            <w:pPr>
              <w:jc w:val="center"/>
            </w:pPr>
            <w:r>
              <w:rPr>
                <w:rFonts w:ascii="宋体" w:hAnsi="宋体" w:eastAsia="宋体"/>
                <w:sz w:val="16"/>
              </w:rPr>
              <w:t>10</w:t>
            </w:r>
          </w:p>
        </w:tc>
      </w:tr>
      <w:tr w14:paraId="601FE4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EC5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4D09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EF5C1">
            <w:pPr>
              <w:jc w:val="center"/>
            </w:pPr>
            <w:r>
              <w:rPr>
                <w:rFonts w:ascii="宋体" w:hAnsi="宋体" w:eastAsia="宋体"/>
                <w:sz w:val="16"/>
              </w:rPr>
              <w:t>规模以上企业集体合同签订率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5B8C4">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A76C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4A5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348E8">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A71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D7BFA">
            <w:pPr>
              <w:jc w:val="center"/>
            </w:pPr>
            <w:r>
              <w:rPr>
                <w:rFonts w:ascii="宋体" w:hAnsi="宋体" w:eastAsia="宋体"/>
                <w:sz w:val="16"/>
              </w:rPr>
              <w:t>10</w:t>
            </w:r>
          </w:p>
        </w:tc>
      </w:tr>
    </w:tbl>
    <w:p w14:paraId="31687369">
      <w:r>
        <w:br w:type="page"/>
      </w:r>
    </w:p>
    <w:p w14:paraId="52E281B7">
      <w:pPr>
        <w:spacing w:line="640" w:lineRule="exact"/>
        <w:ind w:firstLine="640"/>
        <w:jc w:val="both"/>
        <w:outlineLvl w:val="2"/>
      </w:pPr>
      <w:r>
        <w:rPr>
          <w:rFonts w:ascii="黑体" w:hAnsi="黑体" w:eastAsia="黑体"/>
          <w:sz w:val="32"/>
        </w:rPr>
        <w:t>十二、其他需说明的事项</w:t>
      </w:r>
    </w:p>
    <w:p w14:paraId="49B0395D">
      <w:pPr>
        <w:spacing w:line="580" w:lineRule="exact"/>
        <w:ind w:firstLine="640"/>
        <w:jc w:val="both"/>
      </w:pPr>
      <w:r>
        <w:rPr>
          <w:rFonts w:ascii="仿宋_GB2312" w:hAnsi="仿宋_GB2312" w:eastAsia="仿宋_GB2312"/>
          <w:b w:val="0"/>
          <w:sz w:val="32"/>
        </w:rPr>
        <w:t>本单位无其他需说明的事项。</w:t>
      </w:r>
    </w:p>
    <w:p w14:paraId="03B6E082">
      <w:r>
        <w:br w:type="page"/>
      </w:r>
    </w:p>
    <w:p w14:paraId="074831A6">
      <w:pPr>
        <w:spacing w:line="240" w:lineRule="auto"/>
        <w:jc w:val="center"/>
        <w:outlineLvl w:val="1"/>
      </w:pPr>
      <w:r>
        <w:rPr>
          <w:rFonts w:ascii="黑体" w:hAnsi="黑体" w:eastAsia="黑体"/>
          <w:sz w:val="32"/>
        </w:rPr>
        <w:t>第三部分 专业名词解释</w:t>
      </w:r>
    </w:p>
    <w:p w14:paraId="5B13957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FDEE95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E8EF7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4E5ACD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A88DA1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F22D6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CD5DF5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26A78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144D2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D8978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F3620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A8B67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C751B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FF650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E6351D">
      <w:r>
        <w:br w:type="page"/>
      </w:r>
    </w:p>
    <w:p w14:paraId="636761ED">
      <w:pPr>
        <w:spacing w:line="240" w:lineRule="auto"/>
        <w:jc w:val="center"/>
        <w:outlineLvl w:val="1"/>
      </w:pPr>
      <w:r>
        <w:rPr>
          <w:rFonts w:ascii="黑体" w:hAnsi="黑体" w:eastAsia="黑体"/>
          <w:sz w:val="32"/>
        </w:rPr>
        <w:t>第四部分 部门决算报表（见附表）</w:t>
      </w:r>
    </w:p>
    <w:p w14:paraId="2F684B88">
      <w:pPr>
        <w:spacing w:line="240" w:lineRule="auto"/>
        <w:ind w:firstLine="640"/>
        <w:jc w:val="both"/>
      </w:pPr>
      <w:r>
        <w:rPr>
          <w:rFonts w:ascii="仿宋_GB2312" w:hAnsi="仿宋_GB2312" w:eastAsia="仿宋_GB2312"/>
          <w:b w:val="0"/>
          <w:sz w:val="32"/>
        </w:rPr>
        <w:t>一、《收入支出决算总表》</w:t>
      </w:r>
    </w:p>
    <w:p w14:paraId="6FAFE1BE">
      <w:pPr>
        <w:spacing w:line="240" w:lineRule="auto"/>
        <w:ind w:firstLine="640"/>
        <w:jc w:val="both"/>
      </w:pPr>
      <w:r>
        <w:rPr>
          <w:rFonts w:ascii="仿宋_GB2312" w:hAnsi="仿宋_GB2312" w:eastAsia="仿宋_GB2312"/>
          <w:b w:val="0"/>
          <w:sz w:val="32"/>
        </w:rPr>
        <w:t>二、《收入决算表》</w:t>
      </w:r>
    </w:p>
    <w:p w14:paraId="01A3C1FA">
      <w:pPr>
        <w:spacing w:line="240" w:lineRule="auto"/>
        <w:ind w:firstLine="640"/>
        <w:jc w:val="both"/>
      </w:pPr>
      <w:r>
        <w:rPr>
          <w:rFonts w:ascii="仿宋_GB2312" w:hAnsi="仿宋_GB2312" w:eastAsia="仿宋_GB2312"/>
          <w:b w:val="0"/>
          <w:sz w:val="32"/>
        </w:rPr>
        <w:t>三、《支出决算表》</w:t>
      </w:r>
    </w:p>
    <w:p w14:paraId="720C13D0">
      <w:pPr>
        <w:spacing w:line="240" w:lineRule="auto"/>
        <w:ind w:firstLine="640"/>
        <w:jc w:val="both"/>
      </w:pPr>
      <w:r>
        <w:rPr>
          <w:rFonts w:ascii="仿宋_GB2312" w:hAnsi="仿宋_GB2312" w:eastAsia="仿宋_GB2312"/>
          <w:b w:val="0"/>
          <w:sz w:val="32"/>
        </w:rPr>
        <w:t>四、《财政拨款收入支出决算总表》</w:t>
      </w:r>
    </w:p>
    <w:p w14:paraId="138133C4">
      <w:pPr>
        <w:spacing w:line="240" w:lineRule="auto"/>
        <w:ind w:firstLine="640"/>
        <w:jc w:val="both"/>
      </w:pPr>
      <w:r>
        <w:rPr>
          <w:rFonts w:ascii="仿宋_GB2312" w:hAnsi="仿宋_GB2312" w:eastAsia="仿宋_GB2312"/>
          <w:b w:val="0"/>
          <w:sz w:val="32"/>
        </w:rPr>
        <w:t>五、《一般公共预算财政拨款支出决算表》</w:t>
      </w:r>
    </w:p>
    <w:p w14:paraId="6AB129E5">
      <w:pPr>
        <w:spacing w:line="240" w:lineRule="auto"/>
        <w:ind w:firstLine="640"/>
        <w:jc w:val="both"/>
      </w:pPr>
      <w:r>
        <w:rPr>
          <w:rFonts w:ascii="仿宋_GB2312" w:hAnsi="仿宋_GB2312" w:eastAsia="仿宋_GB2312"/>
          <w:b w:val="0"/>
          <w:sz w:val="32"/>
        </w:rPr>
        <w:t>六、《一般公共预算财政拨款基本支出决算表》</w:t>
      </w:r>
    </w:p>
    <w:p w14:paraId="477C43E6">
      <w:pPr>
        <w:spacing w:line="240" w:lineRule="auto"/>
        <w:ind w:firstLine="640"/>
        <w:jc w:val="both"/>
      </w:pPr>
      <w:r>
        <w:rPr>
          <w:rFonts w:ascii="仿宋_GB2312" w:hAnsi="仿宋_GB2312" w:eastAsia="仿宋_GB2312"/>
          <w:b w:val="0"/>
          <w:sz w:val="32"/>
        </w:rPr>
        <w:t>七、《政府性基金预算财政拨款收入支出决算表》</w:t>
      </w:r>
    </w:p>
    <w:p w14:paraId="404BF478">
      <w:pPr>
        <w:spacing w:line="240" w:lineRule="auto"/>
        <w:ind w:firstLine="640"/>
        <w:jc w:val="both"/>
      </w:pPr>
      <w:r>
        <w:rPr>
          <w:rFonts w:ascii="仿宋_GB2312" w:hAnsi="仿宋_GB2312" w:eastAsia="仿宋_GB2312"/>
          <w:b w:val="0"/>
          <w:sz w:val="32"/>
        </w:rPr>
        <w:t>八、《国有资本经营预算财政拨款收入支出决算表》</w:t>
      </w:r>
    </w:p>
    <w:p w14:paraId="73F6EA5B">
      <w:pPr>
        <w:spacing w:line="240" w:lineRule="auto"/>
        <w:ind w:firstLine="640"/>
        <w:jc w:val="both"/>
      </w:pPr>
      <w:r>
        <w:rPr>
          <w:rFonts w:ascii="仿宋_GB2312" w:hAnsi="仿宋_GB2312" w:eastAsia="仿宋_GB2312"/>
          <w:b w:val="0"/>
          <w:sz w:val="32"/>
        </w:rPr>
        <w:t>九、《财政拨款“三公”经费支出决算表》</w:t>
      </w:r>
    </w:p>
    <w:p w14:paraId="7A41519E">
      <w:pPr>
        <w:spacing w:line="240" w:lineRule="auto"/>
        <w:ind w:firstLine="640"/>
        <w:jc w:val="both"/>
      </w:pPr>
    </w:p>
    <w:p w14:paraId="15E1BBDF">
      <w:pPr>
        <w:spacing w:line="240" w:lineRule="auto"/>
        <w:ind w:firstLine="640"/>
        <w:jc w:val="both"/>
      </w:pPr>
    </w:p>
    <w:p w14:paraId="2F3FEA04">
      <w:pPr>
        <w:spacing w:line="240" w:lineRule="auto"/>
        <w:ind w:firstLine="640"/>
        <w:jc w:val="both"/>
      </w:pPr>
    </w:p>
    <w:p w14:paraId="38C6F830">
      <w:pPr>
        <w:spacing w:line="240" w:lineRule="auto"/>
        <w:ind w:firstLine="640"/>
        <w:jc w:val="both"/>
      </w:pPr>
    </w:p>
    <w:p w14:paraId="3E87E1D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9A777E7"/>
    <w:rsid w:val="0A3C58E8"/>
    <w:rsid w:val="0A7B4867"/>
    <w:rsid w:val="0B8C3ECC"/>
    <w:rsid w:val="0C3613A3"/>
    <w:rsid w:val="0C7227A7"/>
    <w:rsid w:val="0DCA6EF7"/>
    <w:rsid w:val="0E4B1576"/>
    <w:rsid w:val="0EA04331"/>
    <w:rsid w:val="0F9811B3"/>
    <w:rsid w:val="11E15093"/>
    <w:rsid w:val="120E0809"/>
    <w:rsid w:val="17691B2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F53B5F"/>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F974F7"/>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D75545"/>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4541</Words>
  <Characters>5155</Characters>
  <Lines>0</Lines>
  <Paragraphs>0</Paragraphs>
  <TotalTime>1</TotalTime>
  <ScaleCrop>false</ScaleCrop>
  <LinksUpToDate>false</LinksUpToDate>
  <CharactersWithSpaces>5163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2025-09-17T03:10:54Z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