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BF32B9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英吉沙县行政服务中心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F4DF4A">
      <w:r>
        <w:br w:type="page"/>
      </w:r>
    </w:p>
    <w:p w14:paraId="137994F1">
      <w:pPr>
        <w:spacing w:line="640" w:lineRule="exact"/>
        <w:jc w:val="center"/>
        <w:outlineLvl w:val="1"/>
      </w:pPr>
      <w:r>
        <w:rPr>
          <w:rFonts w:ascii="黑体" w:hAnsi="黑体" w:eastAsia="黑体"/>
          <w:sz w:val="32"/>
        </w:rPr>
        <w:t>第一部分 单位概况</w:t>
      </w:r>
    </w:p>
    <w:p w14:paraId="3D71C4B3">
      <w:pPr>
        <w:spacing w:line="640" w:lineRule="exact"/>
        <w:ind w:firstLine="640"/>
        <w:jc w:val="both"/>
        <w:outlineLvl w:val="2"/>
      </w:pPr>
      <w:r>
        <w:rPr>
          <w:rFonts w:ascii="黑体" w:hAnsi="黑体" w:eastAsia="黑体"/>
          <w:sz w:val="32"/>
        </w:rPr>
        <w:t>一、主要职能</w:t>
      </w:r>
    </w:p>
    <w:p w14:paraId="7F404C91">
      <w:pPr>
        <w:spacing w:line="580" w:lineRule="exact"/>
        <w:ind w:firstLine="640"/>
        <w:jc w:val="both"/>
      </w:pPr>
      <w:r>
        <w:rPr>
          <w:rFonts w:ascii="仿宋_GB2312" w:hAnsi="仿宋_GB2312" w:eastAsia="仿宋_GB2312"/>
          <w:sz w:val="32"/>
        </w:rPr>
        <w:t>（一）负责制定行政服务中心的各项规章制度、管理办法并组织实施。</w:t>
      </w:r>
    </w:p>
    <w:p w14:paraId="7BA2FA21">
      <w:pPr>
        <w:spacing w:line="580" w:lineRule="exact"/>
        <w:ind w:firstLine="640"/>
        <w:jc w:val="both"/>
      </w:pPr>
      <w:r>
        <w:rPr>
          <w:rFonts w:ascii="仿宋_GB2312" w:hAnsi="仿宋_GB2312" w:eastAsia="仿宋_GB2312"/>
          <w:sz w:val="32"/>
        </w:rPr>
        <w:t>（二）负责对服务窗口、工作人员的管理和考核。</w:t>
      </w:r>
    </w:p>
    <w:p w14:paraId="61E6376F">
      <w:pPr>
        <w:spacing w:line="580" w:lineRule="exact"/>
        <w:ind w:firstLine="640"/>
        <w:jc w:val="both"/>
      </w:pPr>
      <w:r>
        <w:rPr>
          <w:rFonts w:ascii="仿宋_GB2312" w:hAnsi="仿宋_GB2312" w:eastAsia="仿宋_GB2312"/>
          <w:sz w:val="32"/>
        </w:rPr>
        <w:t>（三）负责对进入行政服务中心服务项目的确定、调整，对服务事项及项目办理情况进行协调、督查。</w:t>
      </w:r>
    </w:p>
    <w:p w14:paraId="2AE2C776">
      <w:pPr>
        <w:spacing w:line="580" w:lineRule="exact"/>
        <w:ind w:firstLine="640"/>
        <w:jc w:val="both"/>
      </w:pPr>
      <w:r>
        <w:rPr>
          <w:rFonts w:ascii="仿宋_GB2312" w:hAnsi="仿宋_GB2312" w:eastAsia="仿宋_GB2312"/>
          <w:sz w:val="32"/>
        </w:rPr>
        <w:t>（四）负责联办事项的组织、协调和裁决。</w:t>
      </w:r>
    </w:p>
    <w:p w14:paraId="17CCAB71">
      <w:pPr>
        <w:spacing w:line="580" w:lineRule="exact"/>
        <w:ind w:firstLine="640"/>
        <w:jc w:val="both"/>
      </w:pPr>
      <w:r>
        <w:rPr>
          <w:rFonts w:ascii="仿宋_GB2312" w:hAnsi="仿宋_GB2312" w:eastAsia="仿宋_GB2312"/>
          <w:sz w:val="32"/>
        </w:rPr>
        <w:t>（五）负责对行政服务中心及窗口工作人员违规行为的查处。</w:t>
      </w:r>
    </w:p>
    <w:p w14:paraId="37165909">
      <w:pPr>
        <w:spacing w:line="580" w:lineRule="exact"/>
        <w:ind w:firstLine="640"/>
        <w:jc w:val="both"/>
      </w:pPr>
      <w:r>
        <w:rPr>
          <w:rFonts w:ascii="仿宋_GB2312" w:hAnsi="仿宋_GB2312" w:eastAsia="仿宋_GB2312"/>
          <w:sz w:val="32"/>
        </w:rPr>
        <w:t>（六）负责网上政务大厅和实体政务大厅融合工作。</w:t>
      </w:r>
    </w:p>
    <w:p w14:paraId="707059C9">
      <w:pPr>
        <w:spacing w:line="580" w:lineRule="exact"/>
        <w:ind w:firstLine="640"/>
        <w:jc w:val="both"/>
      </w:pPr>
      <w:r>
        <w:rPr>
          <w:rFonts w:ascii="仿宋_GB2312" w:hAnsi="仿宋_GB2312" w:eastAsia="仿宋_GB2312"/>
          <w:sz w:val="32"/>
        </w:rPr>
        <w:t>（七）负责县、乡镇（街道办事处）、村（社区）三级联动全域一体的政务服务体系建设和政务服务规范化、标准化建设工作。</w:t>
      </w:r>
    </w:p>
    <w:p w14:paraId="2774698C">
      <w:pPr>
        <w:spacing w:line="580" w:lineRule="exact"/>
        <w:ind w:firstLine="640"/>
        <w:jc w:val="both"/>
      </w:pPr>
      <w:r>
        <w:rPr>
          <w:rFonts w:ascii="仿宋_GB2312" w:hAnsi="仿宋_GB2312" w:eastAsia="仿宋_GB2312"/>
          <w:sz w:val="32"/>
        </w:rPr>
        <w:t>（八）指导和监督考核县直政务服务窗口单位单独建设的办事大厅和乡镇（街道办事处）政务服务中心（便民服务中心）、社区便民服务站建设。</w:t>
      </w:r>
    </w:p>
    <w:p w14:paraId="0B43B52B">
      <w:pPr>
        <w:spacing w:line="580" w:lineRule="exact"/>
        <w:ind w:firstLine="640"/>
        <w:jc w:val="both"/>
      </w:pPr>
      <w:r>
        <w:rPr>
          <w:rFonts w:ascii="仿宋_GB2312" w:hAnsi="仿宋_GB2312" w:eastAsia="仿宋_GB2312"/>
          <w:sz w:val="32"/>
        </w:rPr>
        <w:t>（九）负责12345政府服务热线的整合建设和管理工作。</w:t>
      </w:r>
    </w:p>
    <w:p w14:paraId="29E07EAA">
      <w:pPr>
        <w:spacing w:line="580" w:lineRule="exact"/>
        <w:ind w:firstLine="640"/>
        <w:jc w:val="both"/>
      </w:pPr>
      <w:r>
        <w:rPr>
          <w:rFonts w:ascii="仿宋_GB2312" w:hAnsi="仿宋_GB2312" w:eastAsia="仿宋_GB2312"/>
          <w:sz w:val="32"/>
        </w:rPr>
        <w:t>（十）承办县委、县政府交办的其他工作。</w:t>
      </w:r>
    </w:p>
    <w:p w14:paraId="52470CB4">
      <w:pPr>
        <w:spacing w:line="640" w:lineRule="exact"/>
        <w:ind w:firstLine="640"/>
        <w:jc w:val="both"/>
        <w:outlineLvl w:val="2"/>
      </w:pPr>
      <w:r>
        <w:rPr>
          <w:rFonts w:ascii="黑体" w:hAnsi="黑体" w:eastAsia="黑体"/>
          <w:sz w:val="32"/>
        </w:rPr>
        <w:t>二、机构设置及人员情况</w:t>
      </w:r>
    </w:p>
    <w:p w14:paraId="436F98E0">
      <w:pPr>
        <w:spacing w:line="580" w:lineRule="exact"/>
        <w:ind w:firstLine="640"/>
        <w:jc w:val="both"/>
      </w:pPr>
      <w:r>
        <w:rPr>
          <w:rFonts w:ascii="仿宋_GB2312" w:hAnsi="仿宋_GB2312" w:eastAsia="仿宋_GB2312"/>
          <w:sz w:val="32"/>
        </w:rPr>
        <w:t>英吉沙县行政服务中心2024年度，实有人数3人，其中：在职人员3人，增加0人；离休人员0人，增加0人；退休人员0人,增加0人。</w:t>
      </w:r>
    </w:p>
    <w:p w14:paraId="0149A060">
      <w:pPr>
        <w:spacing w:line="580" w:lineRule="exact"/>
        <w:ind w:firstLine="640"/>
        <w:jc w:val="both"/>
      </w:pPr>
      <w:r>
        <w:rPr>
          <w:rFonts w:ascii="仿宋_GB2312" w:hAnsi="仿宋_GB2312" w:eastAsia="仿宋_GB2312"/>
          <w:sz w:val="32"/>
        </w:rPr>
        <w:t>英吉沙县行政服务中心无下属预算单位，下设1个科室，分别是：综合办公室。</w:t>
      </w:r>
    </w:p>
    <w:p w14:paraId="73D5F310">
      <w:r>
        <w:br w:type="page"/>
      </w:r>
    </w:p>
    <w:p w14:paraId="309D3C13">
      <w:pPr>
        <w:spacing w:line="240" w:lineRule="auto"/>
        <w:jc w:val="center"/>
        <w:outlineLvl w:val="1"/>
      </w:pPr>
      <w:r>
        <w:rPr>
          <w:rFonts w:ascii="黑体" w:hAnsi="黑体" w:eastAsia="黑体"/>
          <w:sz w:val="32"/>
        </w:rPr>
        <w:t>第二部分 部门决算情况说明</w:t>
      </w:r>
    </w:p>
    <w:p w14:paraId="6E60568C">
      <w:pPr>
        <w:spacing w:line="640" w:lineRule="exact"/>
        <w:ind w:firstLine="640"/>
        <w:jc w:val="both"/>
        <w:outlineLvl w:val="2"/>
      </w:pPr>
      <w:r>
        <w:rPr>
          <w:rFonts w:ascii="黑体" w:hAnsi="黑体" w:eastAsia="黑体"/>
          <w:sz w:val="32"/>
        </w:rPr>
        <w:t>一、收入支出决算总体情况说明</w:t>
      </w:r>
    </w:p>
    <w:p w14:paraId="620B70C9">
      <w:pPr>
        <w:spacing w:line="580" w:lineRule="exact"/>
        <w:ind w:firstLine="640"/>
        <w:jc w:val="both"/>
      </w:pPr>
      <w:r>
        <w:rPr>
          <w:rFonts w:ascii="仿宋_GB2312" w:hAnsi="仿宋_GB2312" w:eastAsia="仿宋_GB2312"/>
          <w:b/>
          <w:sz w:val="32"/>
        </w:rPr>
        <w:t>2024年度收入总计163.51万元，</w:t>
      </w:r>
      <w:r>
        <w:rPr>
          <w:rFonts w:ascii="仿宋_GB2312" w:hAnsi="仿宋_GB2312" w:eastAsia="仿宋_GB2312"/>
          <w:b w:val="0"/>
          <w:sz w:val="32"/>
        </w:rPr>
        <w:t>其中：本年收入合计163.51万元，使用非财政拨款结余（含专用结余）0.00万元，年初结转和结余0.00万元。</w:t>
      </w:r>
    </w:p>
    <w:p w14:paraId="7F8F802A">
      <w:pPr>
        <w:spacing w:line="580" w:lineRule="exact"/>
        <w:ind w:firstLine="640"/>
        <w:jc w:val="both"/>
      </w:pPr>
      <w:r>
        <w:rPr>
          <w:rFonts w:ascii="仿宋_GB2312" w:hAnsi="仿宋_GB2312" w:eastAsia="仿宋_GB2312"/>
          <w:b/>
          <w:sz w:val="32"/>
        </w:rPr>
        <w:t>2024年度支出总计163.51万元，</w:t>
      </w:r>
      <w:r>
        <w:rPr>
          <w:rFonts w:ascii="仿宋_GB2312" w:hAnsi="仿宋_GB2312" w:eastAsia="仿宋_GB2312"/>
          <w:b w:val="0"/>
          <w:sz w:val="32"/>
        </w:rPr>
        <w:t>其中：本年支出合计163.51万元，结余分配0.00万元，年末结转和结余0.00万元。</w:t>
      </w:r>
    </w:p>
    <w:p w14:paraId="0C6690B9">
      <w:pPr>
        <w:spacing w:line="580" w:lineRule="exact"/>
        <w:ind w:firstLine="640"/>
        <w:jc w:val="both"/>
      </w:pPr>
      <w:r>
        <w:rPr>
          <w:rFonts w:ascii="仿宋_GB2312" w:hAnsi="仿宋_GB2312" w:eastAsia="仿宋_GB2312"/>
          <w:b w:val="0"/>
          <w:sz w:val="32"/>
        </w:rPr>
        <w:t>收入支出总体与上年相比，增加105.53万元，增长182.01%，主要原因是：本年增加英吉沙县营商环境优化提升援疆项目。</w:t>
      </w:r>
    </w:p>
    <w:p w14:paraId="297C50E5">
      <w:pPr>
        <w:spacing w:line="640" w:lineRule="exact"/>
        <w:ind w:firstLine="640"/>
        <w:jc w:val="both"/>
        <w:outlineLvl w:val="2"/>
      </w:pPr>
      <w:r>
        <w:rPr>
          <w:rFonts w:ascii="黑体" w:hAnsi="黑体" w:eastAsia="黑体"/>
          <w:sz w:val="32"/>
        </w:rPr>
        <w:t>二、收入决算情况说明</w:t>
      </w:r>
    </w:p>
    <w:p w14:paraId="1ECB2F30">
      <w:pPr>
        <w:spacing w:line="580" w:lineRule="exact"/>
        <w:ind w:firstLine="640"/>
        <w:jc w:val="both"/>
      </w:pPr>
      <w:r>
        <w:rPr>
          <w:rFonts w:ascii="仿宋_GB2312" w:hAnsi="仿宋_GB2312" w:eastAsia="仿宋_GB2312"/>
          <w:b/>
          <w:sz w:val="32"/>
        </w:rPr>
        <w:t>本年收入163.51万元，</w:t>
      </w:r>
      <w:r>
        <w:rPr>
          <w:rFonts w:ascii="仿宋_GB2312" w:hAnsi="仿宋_GB2312" w:eastAsia="仿宋_GB2312"/>
          <w:b w:val="0"/>
          <w:sz w:val="32"/>
        </w:rPr>
        <w:t>其中：财政拨款收入63.07万元，占38.57%；上级补助收入0.00万元，占0.00%；事业收入0.00万元，占0.00%；经营收入0.00万元，占0.00%；附属单位上缴收入0.00万元，占0.00%；其他收入100.44万元，占61.43%。</w:t>
      </w:r>
    </w:p>
    <w:p w14:paraId="4081FF94">
      <w:pPr>
        <w:spacing w:line="640" w:lineRule="exact"/>
        <w:ind w:firstLine="640"/>
        <w:jc w:val="both"/>
        <w:outlineLvl w:val="2"/>
      </w:pPr>
      <w:r>
        <w:rPr>
          <w:rFonts w:ascii="黑体" w:hAnsi="黑体" w:eastAsia="黑体"/>
          <w:sz w:val="32"/>
        </w:rPr>
        <w:t>三、支出决算情况说明</w:t>
      </w:r>
    </w:p>
    <w:p w14:paraId="4F545802">
      <w:pPr>
        <w:spacing w:line="580" w:lineRule="exact"/>
        <w:ind w:firstLine="640"/>
        <w:jc w:val="both"/>
      </w:pPr>
      <w:r>
        <w:rPr>
          <w:rFonts w:ascii="仿宋_GB2312" w:hAnsi="仿宋_GB2312" w:eastAsia="仿宋_GB2312"/>
          <w:b/>
          <w:sz w:val="32"/>
        </w:rPr>
        <w:t>本年支出163.51万元，</w:t>
      </w:r>
      <w:r>
        <w:rPr>
          <w:rFonts w:ascii="仿宋_GB2312" w:hAnsi="仿宋_GB2312" w:eastAsia="仿宋_GB2312"/>
          <w:b w:val="0"/>
          <w:sz w:val="32"/>
        </w:rPr>
        <w:t>其中：基本支出63.07万元，占38.57%；项目支出100.44万元，占61.43%；上缴上级支出0.00万元，占0.00%；经营支出0.00万元，占0.00%；对附属单位补助支出0.00万元，占0.00%。</w:t>
      </w:r>
    </w:p>
    <w:p w14:paraId="39D8DEE6">
      <w:pPr>
        <w:spacing w:line="640" w:lineRule="exact"/>
        <w:ind w:firstLine="640"/>
        <w:jc w:val="both"/>
        <w:outlineLvl w:val="2"/>
      </w:pPr>
      <w:r>
        <w:rPr>
          <w:rFonts w:ascii="黑体" w:hAnsi="黑体" w:eastAsia="黑体"/>
          <w:sz w:val="32"/>
        </w:rPr>
        <w:t>四、财政拨款收入支出决算总体情况说明</w:t>
      </w:r>
    </w:p>
    <w:p w14:paraId="2197D8A3">
      <w:pPr>
        <w:spacing w:line="580" w:lineRule="exact"/>
        <w:ind w:firstLine="640"/>
        <w:jc w:val="both"/>
      </w:pPr>
      <w:r>
        <w:rPr>
          <w:rFonts w:ascii="仿宋_GB2312" w:hAnsi="仿宋_GB2312" w:eastAsia="仿宋_GB2312"/>
          <w:b/>
          <w:sz w:val="32"/>
        </w:rPr>
        <w:t>2024年度财政拨款收入总计63.07万元，</w:t>
      </w:r>
      <w:r>
        <w:rPr>
          <w:rFonts w:ascii="仿宋_GB2312" w:hAnsi="仿宋_GB2312" w:eastAsia="仿宋_GB2312"/>
          <w:b w:val="0"/>
          <w:sz w:val="32"/>
        </w:rPr>
        <w:t>其中：年初财政拨款结转和结余0.00万元，本年财政拨款收入63.07万元。</w:t>
      </w:r>
      <w:r>
        <w:rPr>
          <w:rFonts w:ascii="仿宋_GB2312" w:hAnsi="仿宋_GB2312" w:eastAsia="仿宋_GB2312"/>
          <w:b/>
          <w:sz w:val="32"/>
        </w:rPr>
        <w:t>财政拨款支出总计63.07万元，</w:t>
      </w:r>
      <w:r>
        <w:rPr>
          <w:rFonts w:ascii="仿宋_GB2312" w:hAnsi="仿宋_GB2312" w:eastAsia="仿宋_GB2312"/>
          <w:b w:val="0"/>
          <w:sz w:val="32"/>
        </w:rPr>
        <w:t>其中：年末财政拨款结转和结余0.00万元，本年财政拨款支出63.07万元。</w:t>
      </w:r>
    </w:p>
    <w:p w14:paraId="2437A41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增加5.09万元，增长8.78%，主要原因是：本年在职人员工资调增，人员经费增加。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年初预算数58.25万元，决算数63.07万元，预决算差异率8.27%，主要原因是：年中追加人员工资、社保、公积金基数调增部分资金，导致预决算差异。</w:t>
      </w:r>
    </w:p>
    <w:p w14:paraId="5315F0A3">
      <w:pPr>
        <w:spacing w:line="640" w:lineRule="exact"/>
        <w:ind w:firstLine="640"/>
        <w:jc w:val="both"/>
        <w:outlineLvl w:val="2"/>
      </w:pPr>
      <w:r>
        <w:rPr>
          <w:rFonts w:ascii="黑体" w:hAnsi="黑体" w:eastAsia="黑体"/>
          <w:sz w:val="32"/>
        </w:rPr>
        <w:t>五、一般公共预算财政拨款支出决算情况说明</w:t>
      </w:r>
    </w:p>
    <w:p w14:paraId="16F6D83C">
      <w:pPr>
        <w:spacing w:line="640" w:lineRule="exact"/>
        <w:ind w:firstLine="640"/>
        <w:jc w:val="both"/>
        <w:outlineLvl w:val="3"/>
      </w:pPr>
      <w:r>
        <w:rPr>
          <w:rFonts w:ascii="楷体_GB2312" w:hAnsi="楷体_GB2312" w:eastAsia="楷体_GB2312"/>
          <w:b/>
          <w:sz w:val="32"/>
        </w:rPr>
        <w:t>（一）一般公共预算财政拨款支出决算总体情况</w:t>
      </w:r>
    </w:p>
    <w:p w14:paraId="4BE1797B">
      <w:pPr>
        <w:spacing w:line="580" w:lineRule="exact"/>
        <w:ind w:firstLine="640"/>
        <w:jc w:val="both"/>
      </w:pPr>
      <w:r>
        <w:rPr>
          <w:rFonts w:ascii="仿宋_GB2312" w:hAnsi="仿宋_GB2312" w:eastAsia="仿宋_GB2312"/>
          <w:b/>
          <w:sz w:val="32"/>
        </w:rPr>
        <w:t>2024年度一般公共预算财政拨款支出63.07万元，</w:t>
      </w:r>
      <w:r>
        <w:rPr>
          <w:rFonts w:ascii="仿宋_GB2312" w:hAnsi="仿宋_GB2312" w:eastAsia="仿宋_GB2312"/>
          <w:b w:val="0"/>
          <w:sz w:val="32"/>
        </w:rPr>
        <w:t>占本年支出合计的38.57%。</w:t>
      </w:r>
      <w:r>
        <w:rPr>
          <w:rFonts w:ascii="仿宋_GB2312" w:hAnsi="仿宋_GB2312" w:eastAsia="仿宋_GB2312"/>
          <w:b/>
          <w:sz w:val="32"/>
        </w:rPr>
        <w:t>与上年相比，</w:t>
      </w:r>
      <w:r>
        <w:rPr>
          <w:rFonts w:ascii="仿宋_GB2312" w:hAnsi="仿宋_GB2312" w:eastAsia="仿宋_GB2312"/>
          <w:b w:val="0"/>
          <w:sz w:val="32"/>
        </w:rPr>
        <w:t>增加5.09万元，增长8.78%，主要原因是：本年在职人员工资调增，人员经费增加。</w:t>
      </w:r>
      <w:r>
        <w:rPr>
          <w:rFonts w:ascii="仿宋_GB2312" w:hAnsi="仿宋_GB2312" w:eastAsia="仿宋_GB2312"/>
          <w:b/>
          <w:sz w:val="32"/>
        </w:rPr>
        <w:t>与年初预算相比,</w:t>
      </w:r>
      <w:r>
        <w:rPr>
          <w:rFonts w:ascii="仿宋_GB2312" w:hAnsi="仿宋_GB2312" w:eastAsia="仿宋_GB2312"/>
          <w:b w:val="0"/>
          <w:sz w:val="32"/>
        </w:rPr>
        <w:t>年初预算数58.25万元，决算数63.07万元，预决算差异率8.27%，主要原因是：年中追加人员工资、社保、公积金基数调增部分资金，导致预决算差异。</w:t>
      </w:r>
    </w:p>
    <w:p w14:paraId="06B8A008">
      <w:pPr>
        <w:spacing w:line="640" w:lineRule="exact"/>
        <w:ind w:firstLine="640"/>
        <w:jc w:val="both"/>
        <w:outlineLvl w:val="3"/>
      </w:pPr>
      <w:r>
        <w:rPr>
          <w:rFonts w:ascii="楷体_GB2312" w:hAnsi="楷体_GB2312" w:eastAsia="楷体_GB2312"/>
          <w:b/>
          <w:sz w:val="32"/>
        </w:rPr>
        <w:t>（二）一般公共预算财政拨款支出决算结构情况</w:t>
      </w:r>
    </w:p>
    <w:p w14:paraId="1CF69A40">
      <w:pPr>
        <w:spacing w:line="580" w:lineRule="exact"/>
        <w:ind w:firstLine="640"/>
        <w:jc w:val="both"/>
      </w:pPr>
      <w:r>
        <w:rPr>
          <w:rFonts w:ascii="仿宋_GB2312" w:hAnsi="仿宋_GB2312" w:eastAsia="仿宋_GB2312"/>
          <w:b w:val="0"/>
          <w:sz w:val="32"/>
        </w:rPr>
        <w:t>1.一般公共服务支出(类)51.90万元,占82.29%。</w:t>
      </w:r>
    </w:p>
    <w:p w14:paraId="44F83F0C">
      <w:pPr>
        <w:spacing w:line="580" w:lineRule="exact"/>
        <w:ind w:firstLine="640"/>
        <w:jc w:val="both"/>
      </w:pPr>
      <w:r>
        <w:rPr>
          <w:rFonts w:ascii="仿宋_GB2312" w:hAnsi="仿宋_GB2312" w:eastAsia="仿宋_GB2312"/>
          <w:b w:val="0"/>
          <w:sz w:val="32"/>
        </w:rPr>
        <w:t>2.社会保障和就业支出(类)5.07万元,占8.04%。</w:t>
      </w:r>
    </w:p>
    <w:p w14:paraId="29AF8889">
      <w:pPr>
        <w:spacing w:line="580" w:lineRule="exact"/>
        <w:ind w:firstLine="640"/>
        <w:jc w:val="both"/>
      </w:pPr>
      <w:r>
        <w:rPr>
          <w:rFonts w:ascii="仿宋_GB2312" w:hAnsi="仿宋_GB2312" w:eastAsia="仿宋_GB2312"/>
          <w:b w:val="0"/>
          <w:sz w:val="32"/>
        </w:rPr>
        <w:t>3.卫生健康支出(类)2.16万元,占3.42%。</w:t>
      </w:r>
    </w:p>
    <w:p w14:paraId="238497F0">
      <w:pPr>
        <w:spacing w:line="580" w:lineRule="exact"/>
        <w:ind w:firstLine="640"/>
        <w:jc w:val="both"/>
      </w:pPr>
      <w:r>
        <w:rPr>
          <w:rFonts w:ascii="仿宋_GB2312" w:hAnsi="仿宋_GB2312" w:eastAsia="仿宋_GB2312"/>
          <w:b w:val="0"/>
          <w:sz w:val="32"/>
        </w:rPr>
        <w:t>4.住房保障支出(类)3.93万元,占6.23%。</w:t>
      </w:r>
    </w:p>
    <w:p w14:paraId="36A7BB87">
      <w:pPr>
        <w:spacing w:line="640" w:lineRule="exact"/>
        <w:ind w:firstLine="640"/>
        <w:jc w:val="both"/>
        <w:outlineLvl w:val="3"/>
      </w:pPr>
      <w:r>
        <w:rPr>
          <w:rFonts w:ascii="楷体_GB2312" w:hAnsi="楷体_GB2312" w:eastAsia="楷体_GB2312"/>
          <w:b/>
          <w:sz w:val="32"/>
        </w:rPr>
        <w:t>（三）一般公共预算财政拨款支出决算具体情况</w:t>
      </w:r>
    </w:p>
    <w:p w14:paraId="621E8120">
      <w:pPr>
        <w:spacing w:line="580" w:lineRule="exact"/>
        <w:ind w:firstLine="640"/>
        <w:jc w:val="both"/>
      </w:pPr>
      <w:r>
        <w:rPr>
          <w:rFonts w:ascii="仿宋_GB2312" w:hAnsi="仿宋_GB2312" w:eastAsia="仿宋_GB2312"/>
          <w:b w:val="0"/>
          <w:sz w:val="32"/>
        </w:rPr>
        <w:t>1.一般公共服务支出(类)人大事务(款)事业运行(项):支出决算数为0.00万元，比上年决算减少0.44万元，下降100.00%,主要原因是：本年功能科目调整，奖金经费上年度单独列支，本年在一般公共服务支出(类)政府办公厅（室）及相关机构事务(款)事业运行(项)科目列支，导致经费较上年减少。</w:t>
      </w:r>
    </w:p>
    <w:p w14:paraId="2E4A2A21">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51.90万元，比上年决算增加7.87万元，增长17.87%,主要原因是：本年在职人员工资调增，导致相关人员经费较上年有所增加。本年功能科目调整，上年将奖金与津贴补贴经费、电费单独列支，本年调整此科目，因此经费增加。</w:t>
      </w:r>
    </w:p>
    <w:p w14:paraId="280F1752">
      <w:pPr>
        <w:spacing w:line="580" w:lineRule="exact"/>
        <w:ind w:firstLine="640"/>
        <w:jc w:val="both"/>
      </w:pPr>
      <w:r>
        <w:rPr>
          <w:rFonts w:ascii="仿宋_GB2312" w:hAnsi="仿宋_GB2312" w:eastAsia="仿宋_GB2312"/>
          <w:b w:val="0"/>
          <w:sz w:val="32"/>
        </w:rPr>
        <w:t>3.一般公共服务支出(类)市场监督管理事务(款)一般行政管理事务(项):支出决算数为0.00万元，比上年决算减少1.00万元，下降100.00%,主要原因是：本年功能科目调整，电费经费上年度单独列支，本年在一般公共服务支出(类)政府办公厅（室）及相关机构事务(款)事业运行(项)科目列支，导致经费较上年减少。</w:t>
      </w:r>
    </w:p>
    <w:p w14:paraId="0375E4A8">
      <w:pPr>
        <w:spacing w:line="580" w:lineRule="exact"/>
        <w:ind w:firstLine="640"/>
        <w:jc w:val="both"/>
      </w:pPr>
      <w:r>
        <w:rPr>
          <w:rFonts w:ascii="仿宋_GB2312" w:hAnsi="仿宋_GB2312" w:eastAsia="仿宋_GB2312"/>
          <w:b w:val="0"/>
          <w:sz w:val="32"/>
        </w:rPr>
        <w:t>4.一般公共服务支出(类)市场监督管理事务(款)事业运行(项):支出决算数为0.00万元，比上年决算减少2.19万元，下降100.00%,主要原因是：本年功能科目调整，奖金与津贴补贴经费上年度单独列支，本年在一般公共服务支出(类)政府办公厅（室）及相关机构事务(款)事业运行(项)科目列支，导致该科目经费较上年减少。</w:t>
      </w:r>
    </w:p>
    <w:p w14:paraId="69DCE584">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5.07万元，比上年决算减少0.35万元，下降6.46%,主要原因是：本年在职人员调入调出，人员职级不同，缴费基数不同，导致养老保险缴费较上年减少。</w:t>
      </w:r>
    </w:p>
    <w:p w14:paraId="04BF3F5F">
      <w:pPr>
        <w:spacing w:line="580" w:lineRule="exact"/>
        <w:ind w:firstLine="640"/>
        <w:jc w:val="both"/>
      </w:pPr>
      <w:r>
        <w:rPr>
          <w:rFonts w:ascii="仿宋_GB2312" w:hAnsi="仿宋_GB2312" w:eastAsia="仿宋_GB2312"/>
          <w:b w:val="0"/>
          <w:sz w:val="32"/>
        </w:rPr>
        <w:t>6.卫生健康支出(类)行政事业单位医疗(款)事业单位医疗(项):支出决算数为2.16万元，比上年决算减少0.16万元，下降6.90%,主要原因是：本年在职人员调入调出，人员职级不同，缴费基数不同，导致事业单位医疗较上年减少。</w:t>
      </w:r>
    </w:p>
    <w:p w14:paraId="1B1C05C6">
      <w:pPr>
        <w:spacing w:line="580" w:lineRule="exact"/>
        <w:ind w:firstLine="640"/>
        <w:jc w:val="both"/>
      </w:pPr>
      <w:r>
        <w:rPr>
          <w:rFonts w:ascii="仿宋_GB2312" w:hAnsi="仿宋_GB2312" w:eastAsia="仿宋_GB2312"/>
          <w:b w:val="0"/>
          <w:sz w:val="32"/>
        </w:rPr>
        <w:t>7.住房保障支出(类)住房改革支出(款)住房公积金(项):支出决算数为3.93万元，比上年决算增加1.34万元，增长51.74%,主要原因是：本年在职人员工资基数调增，公积金缴费基数上涨，相应支出增加。</w:t>
      </w:r>
    </w:p>
    <w:p w14:paraId="6565E169">
      <w:pPr>
        <w:spacing w:line="640" w:lineRule="exact"/>
        <w:ind w:firstLine="640"/>
        <w:jc w:val="both"/>
        <w:outlineLvl w:val="2"/>
      </w:pPr>
      <w:r>
        <w:rPr>
          <w:rFonts w:ascii="黑体" w:hAnsi="黑体" w:eastAsia="黑体"/>
          <w:sz w:val="32"/>
        </w:rPr>
        <w:t>六、一般公共预算财政拨款基本支出决算情况说明</w:t>
      </w:r>
    </w:p>
    <w:p w14:paraId="65810A84">
      <w:pPr>
        <w:spacing w:line="580" w:lineRule="exact"/>
        <w:ind w:firstLine="640"/>
        <w:jc w:val="both"/>
      </w:pPr>
      <w:r>
        <w:rPr>
          <w:rFonts w:ascii="仿宋_GB2312" w:hAnsi="仿宋_GB2312" w:eastAsia="仿宋_GB2312"/>
          <w:b w:val="0"/>
          <w:sz w:val="32"/>
        </w:rPr>
        <w:t>2024年度一般公共预算财政拨款基本支出63.07万元，其中：</w:t>
      </w:r>
      <w:r>
        <w:rPr>
          <w:rFonts w:ascii="仿宋_GB2312" w:hAnsi="仿宋_GB2312" w:eastAsia="仿宋_GB2312"/>
          <w:b/>
          <w:sz w:val="32"/>
        </w:rPr>
        <w:t>人员经费48.79万元，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5185CF49">
      <w:pPr>
        <w:spacing w:line="580" w:lineRule="exact"/>
        <w:ind w:firstLine="640"/>
        <w:jc w:val="both"/>
      </w:pPr>
      <w:r>
        <w:rPr>
          <w:rFonts w:ascii="仿宋_GB2312" w:hAnsi="仿宋_GB2312" w:eastAsia="仿宋_GB2312"/>
          <w:b/>
          <w:sz w:val="32"/>
        </w:rPr>
        <w:t>公用经费14.27万元，</w:t>
      </w:r>
      <w:r>
        <w:rPr>
          <w:rFonts w:ascii="仿宋_GB2312" w:hAnsi="仿宋_GB2312" w:eastAsia="仿宋_GB2312"/>
          <w:b w:val="0"/>
          <w:sz w:val="32"/>
        </w:rPr>
        <w:t>包括：电费、取暖费、差旅费、委托业务费。</w:t>
      </w:r>
    </w:p>
    <w:p w14:paraId="46DB8860">
      <w:pPr>
        <w:spacing w:line="640" w:lineRule="exact"/>
        <w:ind w:firstLine="640"/>
        <w:jc w:val="both"/>
        <w:outlineLvl w:val="2"/>
      </w:pPr>
      <w:r>
        <w:rPr>
          <w:rFonts w:ascii="黑体" w:hAnsi="黑体" w:eastAsia="黑体"/>
          <w:sz w:val="32"/>
        </w:rPr>
        <w:t>七、政府性基金预算财政拨款收入支出决算情况说明</w:t>
      </w:r>
    </w:p>
    <w:p w14:paraId="2455308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A5DDBD7">
      <w:pPr>
        <w:spacing w:line="640" w:lineRule="exact"/>
        <w:ind w:firstLine="640"/>
        <w:jc w:val="both"/>
        <w:outlineLvl w:val="2"/>
      </w:pPr>
      <w:r>
        <w:rPr>
          <w:rFonts w:ascii="黑体" w:hAnsi="黑体" w:eastAsia="黑体"/>
          <w:sz w:val="32"/>
        </w:rPr>
        <w:t>八、国有资本经营预算财政拨款收入支出决算情况说明</w:t>
      </w:r>
    </w:p>
    <w:p w14:paraId="78C41FE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BD9F258">
      <w:pPr>
        <w:spacing w:line="640" w:lineRule="exact"/>
        <w:ind w:firstLine="640"/>
        <w:jc w:val="both"/>
        <w:outlineLvl w:val="2"/>
      </w:pPr>
      <w:r>
        <w:rPr>
          <w:rFonts w:ascii="黑体" w:hAnsi="黑体" w:eastAsia="黑体"/>
          <w:sz w:val="32"/>
        </w:rPr>
        <w:t>九、财政拨款“三公”经费支出决算情况说明</w:t>
      </w:r>
    </w:p>
    <w:p w14:paraId="469FDDC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0F4DDE9">
      <w:pPr>
        <w:spacing w:line="580" w:lineRule="exact"/>
        <w:ind w:firstLine="640"/>
        <w:jc w:val="both"/>
      </w:pPr>
      <w:r>
        <w:rPr>
          <w:rFonts w:ascii="仿宋_GB2312" w:hAnsi="仿宋_GB2312" w:eastAsia="仿宋_GB2312"/>
          <w:b/>
          <w:sz w:val="32"/>
        </w:rPr>
        <w:t>具体情况如下：</w:t>
      </w:r>
    </w:p>
    <w:p w14:paraId="372D9A7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D5C39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B60316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186BF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3637B32">
      <w:pPr>
        <w:spacing w:line="640" w:lineRule="exact"/>
        <w:ind w:firstLine="640"/>
        <w:jc w:val="both"/>
        <w:outlineLvl w:val="2"/>
      </w:pPr>
      <w:r>
        <w:rPr>
          <w:rFonts w:ascii="黑体" w:hAnsi="黑体" w:eastAsia="黑体"/>
          <w:sz w:val="32"/>
        </w:rPr>
        <w:t>十、其他重要事项的情况说明</w:t>
      </w:r>
    </w:p>
    <w:p w14:paraId="4CB3E68C">
      <w:pPr>
        <w:spacing w:line="640" w:lineRule="exact"/>
        <w:ind w:firstLine="640"/>
        <w:jc w:val="both"/>
        <w:outlineLvl w:val="3"/>
      </w:pPr>
      <w:r>
        <w:rPr>
          <w:rFonts w:ascii="楷体_GB2312" w:hAnsi="楷体_GB2312" w:eastAsia="楷体_GB2312"/>
          <w:b/>
          <w:sz w:val="32"/>
        </w:rPr>
        <w:t>（一）机关运行经费及公用经费支出情况</w:t>
      </w:r>
    </w:p>
    <w:p w14:paraId="41AB2B91">
      <w:pPr>
        <w:spacing w:line="580" w:lineRule="exact"/>
        <w:ind w:firstLine="640"/>
        <w:jc w:val="both"/>
      </w:pPr>
      <w:r>
        <w:rPr>
          <w:rFonts w:ascii="仿宋_GB2312" w:hAnsi="仿宋_GB2312" w:eastAsia="仿宋_GB2312"/>
          <w:b w:val="0"/>
          <w:sz w:val="32"/>
        </w:rPr>
        <w:t>2024年度英吉沙县行政服务中心（事业单位）公用经费支出14.27万元，比上年增加3.87万元，增长37.21%，主要原因是：本年较上年增加行政服务大厅日常运行维护等业务委托费。</w:t>
      </w:r>
    </w:p>
    <w:p w14:paraId="09361E5A">
      <w:pPr>
        <w:spacing w:line="640" w:lineRule="exact"/>
        <w:ind w:firstLine="640"/>
        <w:jc w:val="both"/>
        <w:outlineLvl w:val="3"/>
      </w:pPr>
      <w:r>
        <w:rPr>
          <w:rFonts w:ascii="楷体_GB2312" w:hAnsi="楷体_GB2312" w:eastAsia="楷体_GB2312"/>
          <w:b/>
          <w:sz w:val="32"/>
        </w:rPr>
        <w:t>（二）政府采购情况</w:t>
      </w:r>
    </w:p>
    <w:p w14:paraId="40619D0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0E9B66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2B5687F">
      <w:pPr>
        <w:spacing w:line="640" w:lineRule="exact"/>
        <w:ind w:firstLine="640"/>
        <w:jc w:val="both"/>
        <w:outlineLvl w:val="3"/>
      </w:pPr>
      <w:r>
        <w:rPr>
          <w:rFonts w:ascii="楷体_GB2312" w:hAnsi="楷体_GB2312" w:eastAsia="楷体_GB2312"/>
          <w:b/>
          <w:sz w:val="32"/>
        </w:rPr>
        <w:t>（三）国有资产占用情况说明</w:t>
      </w:r>
    </w:p>
    <w:p w14:paraId="0A36160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F2933DD">
      <w:pPr>
        <w:spacing w:line="640" w:lineRule="exact"/>
        <w:ind w:firstLine="640"/>
        <w:jc w:val="both"/>
        <w:outlineLvl w:val="2"/>
      </w:pPr>
      <w:r>
        <w:rPr>
          <w:rFonts w:ascii="黑体" w:hAnsi="黑体" w:eastAsia="黑体"/>
          <w:sz w:val="32"/>
        </w:rPr>
        <w:t>十一、预算绩效的情况说明</w:t>
      </w:r>
    </w:p>
    <w:p w14:paraId="10E3E77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163.50万元，实际执行总额163.50万元；预算绩效评价项目1个，全年预算数3.60万元，全年执行数3.60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绩效管理专业人员匮乏，规范管理有盲点。预算绩效管理工作的覆盖面广、专业性强，预算单位在开展日常管理，需要具备一定专业素养和实战经验的人。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w:t>
      </w:r>
    </w:p>
    <w:p w14:paraId="716B94D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097C01B">
        <w:tblPrEx>
          <w:tblCellMar>
            <w:top w:w="0" w:type="dxa"/>
            <w:left w:w="108" w:type="dxa"/>
            <w:bottom w:w="0" w:type="dxa"/>
            <w:right w:w="108" w:type="dxa"/>
          </w:tblCellMar>
        </w:tblPrEx>
        <w:tc>
          <w:tcPr>
            <w:tcW w:w="8847" w:type="dxa"/>
            <w:gridSpan w:val="9"/>
            <w:vAlign w:val="center"/>
          </w:tcPr>
          <w:p w14:paraId="024590A8">
            <w:pPr>
              <w:jc w:val="center"/>
            </w:pPr>
            <w:r>
              <w:rPr>
                <w:rFonts w:ascii="宋体" w:hAnsi="宋体" w:eastAsia="宋体"/>
                <w:sz w:val="24"/>
              </w:rPr>
              <w:t>单位整体支出绩效自评表</w:t>
            </w:r>
          </w:p>
        </w:tc>
      </w:tr>
      <w:tr w14:paraId="160525A7">
        <w:tc>
          <w:tcPr>
            <w:tcW w:w="8847" w:type="dxa"/>
            <w:gridSpan w:val="9"/>
            <w:vAlign w:val="center"/>
          </w:tcPr>
          <w:p w14:paraId="5450B9F8">
            <w:pPr>
              <w:jc w:val="center"/>
            </w:pPr>
            <w:r>
              <w:rPr>
                <w:rFonts w:ascii="宋体" w:hAnsi="宋体" w:eastAsia="宋体"/>
                <w:sz w:val="24"/>
              </w:rPr>
              <w:t>（2024年度）</w:t>
            </w:r>
          </w:p>
        </w:tc>
      </w:tr>
      <w:tr w14:paraId="2968E0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55BF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C1E3086">
            <w:pPr>
              <w:jc w:val="center"/>
            </w:pPr>
            <w:r>
              <w:rPr>
                <w:rFonts w:ascii="宋体" w:hAnsi="宋体" w:eastAsia="宋体"/>
                <w:sz w:val="16"/>
              </w:rPr>
              <w:t>英吉沙县行政服务中心</w:t>
            </w:r>
          </w:p>
        </w:tc>
      </w:tr>
      <w:tr w14:paraId="3CC6A3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D58F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05BC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9B8C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6353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2B0D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E789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7FF3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C3D0F">
            <w:pPr>
              <w:jc w:val="center"/>
            </w:pPr>
            <w:r>
              <w:rPr>
                <w:rFonts w:ascii="宋体" w:hAnsi="宋体" w:eastAsia="宋体"/>
                <w:sz w:val="16"/>
              </w:rPr>
              <w:t>得分</w:t>
            </w:r>
          </w:p>
        </w:tc>
      </w:tr>
      <w:tr w14:paraId="55A134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C7B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3B45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0CEFF">
            <w:pPr>
              <w:jc w:val="center"/>
            </w:pPr>
            <w:r>
              <w:rPr>
                <w:rFonts w:ascii="宋体" w:hAnsi="宋体" w:eastAsia="宋体"/>
                <w:sz w:val="16"/>
              </w:rPr>
              <w:t>58.25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81219">
            <w:pPr>
              <w:jc w:val="center"/>
            </w:pPr>
            <w:r>
              <w:rPr>
                <w:rFonts w:ascii="宋体" w:hAnsi="宋体" w:eastAsia="宋体"/>
                <w:sz w:val="16"/>
              </w:rPr>
              <w:t>163.50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A3E99">
            <w:pPr>
              <w:jc w:val="center"/>
            </w:pPr>
            <w:r>
              <w:rPr>
                <w:rFonts w:ascii="宋体" w:hAnsi="宋体" w:eastAsia="宋体"/>
                <w:sz w:val="16"/>
              </w:rPr>
              <w:t>163.50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3E0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B8D01">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D4208">
            <w:pPr>
              <w:jc w:val="center"/>
            </w:pPr>
            <w:r>
              <w:rPr>
                <w:rFonts w:ascii="宋体" w:hAnsi="宋体" w:eastAsia="宋体"/>
                <w:sz w:val="16"/>
              </w:rPr>
              <w:t>10</w:t>
            </w:r>
          </w:p>
        </w:tc>
      </w:tr>
      <w:tr w14:paraId="7AB109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20A0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2C6A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BC5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BA7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E2A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6FE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106E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36355">
            <w:pPr>
              <w:jc w:val="center"/>
            </w:pPr>
            <w:r>
              <w:rPr>
                <w:rFonts w:ascii="宋体" w:hAnsi="宋体" w:eastAsia="宋体"/>
                <w:sz w:val="16"/>
              </w:rPr>
              <w:t>—</w:t>
            </w:r>
          </w:p>
        </w:tc>
      </w:tr>
      <w:tr w14:paraId="367762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15E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65A4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ABDD5">
            <w:pPr>
              <w:jc w:val="center"/>
            </w:pPr>
            <w:r>
              <w:rPr>
                <w:rFonts w:ascii="宋体" w:hAnsi="宋体" w:eastAsia="宋体"/>
                <w:sz w:val="16"/>
              </w:rPr>
              <w:t>58.25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A79DE">
            <w:pPr>
              <w:jc w:val="center"/>
            </w:pPr>
            <w:r>
              <w:rPr>
                <w:rFonts w:ascii="宋体" w:hAnsi="宋体" w:eastAsia="宋体"/>
                <w:sz w:val="16"/>
              </w:rPr>
              <w:t>63.06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7902C">
            <w:pPr>
              <w:jc w:val="center"/>
            </w:pPr>
            <w:r>
              <w:rPr>
                <w:rFonts w:ascii="宋体" w:hAnsi="宋体" w:eastAsia="宋体"/>
                <w:sz w:val="16"/>
              </w:rPr>
              <w:t>63.06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8B4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E683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81495">
            <w:pPr>
              <w:jc w:val="center"/>
            </w:pPr>
            <w:r>
              <w:rPr>
                <w:rFonts w:ascii="宋体" w:hAnsi="宋体" w:eastAsia="宋体"/>
                <w:sz w:val="16"/>
              </w:rPr>
              <w:t>—</w:t>
            </w:r>
          </w:p>
        </w:tc>
      </w:tr>
      <w:tr w14:paraId="16D3D8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D17B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0430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7C0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D056D">
            <w:pPr>
              <w:jc w:val="center"/>
            </w:pPr>
            <w:r>
              <w:rPr>
                <w:rFonts w:ascii="宋体" w:hAnsi="宋体" w:eastAsia="宋体"/>
                <w:sz w:val="16"/>
              </w:rPr>
              <w:t>100.44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C4215">
            <w:pPr>
              <w:jc w:val="center"/>
            </w:pPr>
            <w:r>
              <w:rPr>
                <w:rFonts w:ascii="宋体" w:hAnsi="宋体" w:eastAsia="宋体"/>
                <w:sz w:val="16"/>
              </w:rPr>
              <w:t>100.44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6B6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3A32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A82DF">
            <w:pPr>
              <w:jc w:val="center"/>
            </w:pPr>
            <w:r>
              <w:rPr>
                <w:rFonts w:ascii="宋体" w:hAnsi="宋体" w:eastAsia="宋体"/>
                <w:sz w:val="16"/>
              </w:rPr>
              <w:t>—</w:t>
            </w:r>
          </w:p>
        </w:tc>
      </w:tr>
      <w:tr w14:paraId="6CEEA0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7601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F469D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82D442">
            <w:pPr>
              <w:jc w:val="center"/>
            </w:pPr>
            <w:r>
              <w:rPr>
                <w:rFonts w:ascii="宋体" w:hAnsi="宋体" w:eastAsia="宋体"/>
                <w:sz w:val="16"/>
              </w:rPr>
              <w:t>实际完成情况</w:t>
            </w:r>
          </w:p>
        </w:tc>
      </w:tr>
      <w:tr w14:paraId="7B5DAD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9401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C39E0D">
            <w:pPr>
              <w:jc w:val="both"/>
            </w:pPr>
            <w:r>
              <w:rPr>
                <w:rFonts w:ascii="宋体" w:hAnsi="宋体" w:eastAsia="宋体"/>
                <w:sz w:val="16"/>
              </w:rPr>
              <w:t>深入学习贯彻党的二十大精神，深入学习贯彻《</w:t>
            </w:r>
            <w:r>
              <w:rPr>
                <w:rFonts w:hint="eastAsia" w:ascii="宋体" w:hAnsi="宋体"/>
                <w:sz w:val="16"/>
                <w:lang w:eastAsia="zh-CN"/>
              </w:rPr>
              <w:t>优化营商环境条例</w:t>
            </w:r>
            <w:r>
              <w:rPr>
                <w:rFonts w:ascii="宋体" w:hAnsi="宋体" w:eastAsia="宋体"/>
                <w:sz w:val="16"/>
              </w:rPr>
              <w:t>》，深入推进“一件事一次办</w:t>
            </w:r>
            <w:r>
              <w:rPr>
                <w:rFonts w:hint="eastAsia" w:ascii="宋体" w:hAnsi="宋体"/>
                <w:sz w:val="16"/>
                <w:lang w:eastAsia="zh-CN"/>
              </w:rPr>
              <w:t>”“</w:t>
            </w:r>
            <w:r>
              <w:rPr>
                <w:rFonts w:ascii="宋体" w:hAnsi="宋体" w:eastAsia="宋体"/>
                <w:sz w:val="16"/>
              </w:rPr>
              <w:t>跨省通办”改革，让企业、群众办事更加便利化、快捷化。依托自治区政务服务平台，继续深化“事项标准化”改革，坚持让数据多跑路、群众少跑腿的原则，全面推行政务服务“网上办”。不断加强实体政务服务大厅标准化建设，提升优化配套设施、提升办公环境和服务质量，效率再提速、服务再提质。持续提高12345平台运行效率，完善12345政务服务热线平台群众困难诉求处理机制。保障英吉沙县行政服务中心全年工作正常运转。保障12345热线受理500件，政务服务事项受理件数10000件，行政服务监督工作完成率100%，政务服务工作完成率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412ABD">
            <w:pPr>
              <w:jc w:val="both"/>
            </w:pPr>
            <w:r>
              <w:rPr>
                <w:rFonts w:hint="eastAsia" w:ascii="宋体" w:hAnsi="宋体"/>
                <w:sz w:val="16"/>
                <w:lang w:eastAsia="zh-CN"/>
              </w:rPr>
              <w:t>截至2024</w:t>
            </w:r>
            <w:r>
              <w:rPr>
                <w:rFonts w:ascii="宋体" w:hAnsi="宋体" w:eastAsia="宋体"/>
                <w:sz w:val="16"/>
              </w:rPr>
              <w:t>年12月，年初预算数58.25万元，预算调整数163.5万元，实际执行数163.5万元，认真贯彻落实深化“放管服”改革，优化营商环境部署，不断加强实体政务服务大厅标准化建设，提升优化配套设施、提升办公环境和服务质量。进一步提高12345平台运行效率，完善12345政务服务热线平台群众困难诉求处理机制。保障英吉沙县行政服务中心全年工作正常运转。本年度12345热线受理完成3057件，政务服务事项受理完成127700件，行政服务监督工作完成率100%，政务服务工作完成率100%。</w:t>
            </w:r>
          </w:p>
        </w:tc>
      </w:tr>
      <w:tr w14:paraId="6FC3EC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E34E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749D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677E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FDB0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7D4B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EC16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E8C1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C3A5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5CD00">
            <w:pPr>
              <w:jc w:val="center"/>
            </w:pPr>
            <w:r>
              <w:rPr>
                <w:rFonts w:ascii="宋体" w:hAnsi="宋体" w:eastAsia="宋体"/>
                <w:sz w:val="16"/>
              </w:rPr>
              <w:t>得分</w:t>
            </w:r>
          </w:p>
        </w:tc>
      </w:tr>
      <w:tr w14:paraId="641080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7984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23C8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0E451">
            <w:pPr>
              <w:jc w:val="center"/>
            </w:pPr>
            <w:r>
              <w:rPr>
                <w:rFonts w:ascii="宋体" w:hAnsi="宋体" w:eastAsia="宋体"/>
                <w:sz w:val="16"/>
              </w:rPr>
              <w:t>12345热线受理数量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62961">
            <w:pPr>
              <w:jc w:val="center"/>
            </w:pPr>
            <w:r>
              <w:rPr>
                <w:rFonts w:ascii="宋体" w:hAnsi="宋体" w:eastAsia="宋体"/>
                <w:sz w:val="16"/>
              </w:rPr>
              <w:t>&gt;=500件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98C8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1F73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237F8">
            <w:pPr>
              <w:jc w:val="center"/>
            </w:pPr>
            <w:r>
              <w:rPr>
                <w:rFonts w:ascii="宋体" w:hAnsi="宋体" w:eastAsia="宋体"/>
                <w:sz w:val="16"/>
              </w:rPr>
              <w:t>=3057件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7885F">
            <w:pPr>
              <w:jc w:val="center"/>
            </w:pPr>
            <w:r>
              <w:rPr>
                <w:rFonts w:ascii="宋体" w:hAnsi="宋体" w:eastAsia="宋体"/>
                <w:sz w:val="16"/>
              </w:rPr>
              <w:t>611.4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20F7B">
            <w:pPr>
              <w:jc w:val="center"/>
            </w:pPr>
            <w:r>
              <w:rPr>
                <w:rFonts w:ascii="宋体" w:hAnsi="宋体" w:eastAsia="宋体"/>
                <w:sz w:val="16"/>
              </w:rPr>
              <w:t>18</w:t>
            </w:r>
          </w:p>
        </w:tc>
      </w:tr>
      <w:tr w14:paraId="63E545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5BB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B42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70193">
            <w:pPr>
              <w:jc w:val="center"/>
            </w:pPr>
            <w:r>
              <w:rPr>
                <w:rFonts w:ascii="宋体" w:hAnsi="宋体" w:eastAsia="宋体"/>
                <w:sz w:val="16"/>
              </w:rPr>
              <w:t>政务服务事项受理件数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54F58">
            <w:pPr>
              <w:jc w:val="center"/>
            </w:pPr>
            <w:r>
              <w:rPr>
                <w:rFonts w:ascii="宋体" w:hAnsi="宋体" w:eastAsia="宋体"/>
                <w:sz w:val="16"/>
              </w:rPr>
              <w:t>&gt;=10000件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8FE3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053C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6B241">
            <w:pPr>
              <w:jc w:val="center"/>
            </w:pPr>
            <w:r>
              <w:rPr>
                <w:rFonts w:ascii="宋体" w:hAnsi="宋体" w:eastAsia="宋体"/>
                <w:sz w:val="16"/>
              </w:rPr>
              <w:t>=127700件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EFBCC">
            <w:pPr>
              <w:jc w:val="center"/>
            </w:pPr>
            <w:r>
              <w:rPr>
                <w:rFonts w:ascii="宋体" w:hAnsi="宋体" w:eastAsia="宋体"/>
                <w:sz w:val="16"/>
              </w:rPr>
              <w:t>1277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934A3">
            <w:pPr>
              <w:jc w:val="center"/>
            </w:pPr>
            <w:r>
              <w:rPr>
                <w:rFonts w:ascii="宋体" w:hAnsi="宋体" w:eastAsia="宋体"/>
                <w:sz w:val="16"/>
              </w:rPr>
              <w:t>18</w:t>
            </w:r>
          </w:p>
        </w:tc>
      </w:tr>
      <w:tr w14:paraId="03D6DB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2D7C5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C566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59DD1">
            <w:pPr>
              <w:jc w:val="center"/>
            </w:pPr>
            <w:r>
              <w:rPr>
                <w:rFonts w:ascii="宋体" w:hAnsi="宋体" w:eastAsia="宋体"/>
                <w:sz w:val="16"/>
              </w:rPr>
              <w:t>12345热线畅通率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5A5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C61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EEBB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B70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D23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35CB2">
            <w:pPr>
              <w:jc w:val="center"/>
            </w:pPr>
            <w:r>
              <w:rPr>
                <w:rFonts w:ascii="宋体" w:hAnsi="宋体" w:eastAsia="宋体"/>
                <w:sz w:val="16"/>
              </w:rPr>
              <w:t>18</w:t>
            </w:r>
          </w:p>
        </w:tc>
      </w:tr>
      <w:tr w14:paraId="2988C0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DB8F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B7F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D73C2">
            <w:pPr>
              <w:jc w:val="center"/>
            </w:pPr>
            <w:r>
              <w:rPr>
                <w:rFonts w:ascii="宋体" w:hAnsi="宋体" w:eastAsia="宋体"/>
                <w:sz w:val="16"/>
              </w:rPr>
              <w:t>政务服务事项受理办结率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8CD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A0E6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733E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625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09A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AC52F">
            <w:pPr>
              <w:jc w:val="center"/>
            </w:pPr>
            <w:r>
              <w:rPr>
                <w:rFonts w:ascii="宋体" w:hAnsi="宋体" w:eastAsia="宋体"/>
                <w:sz w:val="16"/>
              </w:rPr>
              <w:t>18</w:t>
            </w:r>
          </w:p>
        </w:tc>
      </w:tr>
      <w:tr w14:paraId="559514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B105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5EE2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28174">
            <w:pPr>
              <w:jc w:val="center"/>
            </w:pPr>
            <w:r>
              <w:rPr>
                <w:rFonts w:ascii="宋体" w:hAnsi="宋体" w:eastAsia="宋体"/>
                <w:sz w:val="16"/>
              </w:rPr>
              <w:t>行政服务</w:t>
            </w:r>
            <w:r>
              <w:rPr>
                <w:rFonts w:hint="eastAsia" w:ascii="宋体" w:hAnsi="宋体"/>
                <w:sz w:val="16"/>
                <w:lang w:eastAsia="zh-CN"/>
              </w:rPr>
              <w:t>平台</w:t>
            </w:r>
            <w:r>
              <w:rPr>
                <w:rFonts w:ascii="宋体" w:hAnsi="宋体" w:eastAsia="宋体"/>
                <w:sz w:val="16"/>
              </w:rPr>
              <w:t>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E09A5">
            <w:pPr>
              <w:jc w:val="center"/>
            </w:pPr>
            <w:bookmarkStart w:id="0" w:name="_GoBack"/>
            <w:r>
              <w:rPr>
                <w:rFonts w:ascii="宋体" w:hAnsi="宋体" w:eastAsia="宋体"/>
                <w:sz w:val="16"/>
              </w:rPr>
              <w:t>&gt;</w:t>
            </w:r>
            <w:bookmarkEnd w:id="0"/>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8642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7AD0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B277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057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DD50B">
            <w:pPr>
              <w:jc w:val="center"/>
            </w:pPr>
            <w:r>
              <w:rPr>
                <w:rFonts w:ascii="宋体" w:hAnsi="宋体" w:eastAsia="宋体"/>
                <w:sz w:val="16"/>
              </w:rPr>
              <w:t>18</w:t>
            </w:r>
          </w:p>
        </w:tc>
      </w:tr>
    </w:tbl>
    <w:p w14:paraId="36056C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492FFB4">
        <w:tblPrEx>
          <w:tblCellMar>
            <w:top w:w="0" w:type="dxa"/>
            <w:left w:w="108" w:type="dxa"/>
            <w:bottom w:w="0" w:type="dxa"/>
            <w:right w:w="108" w:type="dxa"/>
          </w:tblCellMar>
        </w:tblPrEx>
        <w:tc>
          <w:tcPr>
            <w:tcW w:w="8848" w:type="dxa"/>
            <w:gridSpan w:val="14"/>
            <w:vAlign w:val="center"/>
          </w:tcPr>
          <w:p w14:paraId="531FBBBE">
            <w:pPr>
              <w:jc w:val="center"/>
            </w:pPr>
            <w:r>
              <w:rPr>
                <w:rFonts w:ascii="宋体" w:hAnsi="宋体" w:eastAsia="宋体"/>
                <w:sz w:val="24"/>
              </w:rPr>
              <w:t>项目支出绩效自评表</w:t>
            </w:r>
          </w:p>
        </w:tc>
      </w:tr>
      <w:tr w14:paraId="78CFD396">
        <w:tblPrEx>
          <w:tblCellMar>
            <w:top w:w="0" w:type="dxa"/>
            <w:left w:w="108" w:type="dxa"/>
            <w:bottom w:w="0" w:type="dxa"/>
            <w:right w:w="108" w:type="dxa"/>
          </w:tblCellMar>
        </w:tblPrEx>
        <w:tc>
          <w:tcPr>
            <w:tcW w:w="8848" w:type="dxa"/>
            <w:gridSpan w:val="14"/>
            <w:vAlign w:val="center"/>
          </w:tcPr>
          <w:p w14:paraId="422A0C15">
            <w:pPr>
              <w:jc w:val="center"/>
            </w:pPr>
            <w:r>
              <w:rPr>
                <w:rFonts w:ascii="宋体" w:hAnsi="宋体" w:eastAsia="宋体"/>
                <w:sz w:val="24"/>
              </w:rPr>
              <w:t>(2024年度)</w:t>
            </w:r>
          </w:p>
        </w:tc>
      </w:tr>
      <w:tr w14:paraId="078F25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BF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A1AC89">
            <w:pPr>
              <w:jc w:val="center"/>
            </w:pPr>
            <w:r>
              <w:rPr>
                <w:rFonts w:ascii="宋体" w:hAnsi="宋体" w:eastAsia="宋体"/>
                <w:sz w:val="16"/>
              </w:rPr>
              <w:t>2024年大厅运行维护保障项目</w:t>
            </w:r>
          </w:p>
        </w:tc>
      </w:tr>
      <w:tr w14:paraId="294502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B8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E8F7F1">
            <w:pPr>
              <w:jc w:val="center"/>
            </w:pPr>
            <w:r>
              <w:rPr>
                <w:rFonts w:ascii="宋体" w:hAnsi="宋体" w:eastAsia="宋体"/>
                <w:sz w:val="16"/>
              </w:rPr>
              <w:t>英吉沙县行政服务中心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B3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95D9AA">
            <w:pPr>
              <w:jc w:val="center"/>
            </w:pPr>
            <w:r>
              <w:rPr>
                <w:rFonts w:ascii="宋体" w:hAnsi="宋体" w:eastAsia="宋体"/>
                <w:sz w:val="16"/>
              </w:rPr>
              <w:t>英吉沙县行政服务中心</w:t>
            </w:r>
          </w:p>
        </w:tc>
      </w:tr>
      <w:tr w14:paraId="2CF7E0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B42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174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F95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596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F52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808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FE1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9467">
            <w:pPr>
              <w:jc w:val="center"/>
            </w:pPr>
            <w:r>
              <w:rPr>
                <w:rFonts w:ascii="宋体" w:hAnsi="宋体" w:eastAsia="宋体"/>
                <w:sz w:val="16"/>
              </w:rPr>
              <w:t>得分</w:t>
            </w:r>
          </w:p>
        </w:tc>
      </w:tr>
      <w:tr w14:paraId="1975D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4CA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D66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C002F">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43128">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231A8">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662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18E5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7B59">
            <w:pPr>
              <w:jc w:val="center"/>
            </w:pPr>
            <w:r>
              <w:rPr>
                <w:rFonts w:ascii="宋体" w:hAnsi="宋体" w:eastAsia="宋体"/>
                <w:sz w:val="16"/>
              </w:rPr>
              <w:t>10.00分</w:t>
            </w:r>
          </w:p>
        </w:tc>
      </w:tr>
      <w:tr w14:paraId="6C5B1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26C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CC1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4B730">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17C1">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EC43E">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1AC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2C6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387E">
            <w:pPr>
              <w:jc w:val="center"/>
            </w:pPr>
            <w:r>
              <w:rPr>
                <w:rFonts w:ascii="宋体" w:hAnsi="宋体" w:eastAsia="宋体"/>
                <w:sz w:val="16"/>
              </w:rPr>
              <w:t>—</w:t>
            </w:r>
          </w:p>
        </w:tc>
      </w:tr>
      <w:tr w14:paraId="53CA3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D31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726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633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1BB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383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2A6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944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4AD4">
            <w:pPr>
              <w:jc w:val="center"/>
            </w:pPr>
            <w:r>
              <w:rPr>
                <w:rFonts w:ascii="宋体" w:hAnsi="宋体" w:eastAsia="宋体"/>
                <w:sz w:val="16"/>
              </w:rPr>
              <w:t>—</w:t>
            </w:r>
          </w:p>
        </w:tc>
      </w:tr>
      <w:tr w14:paraId="5A2384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1DA0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6CB4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0169EF">
            <w:pPr>
              <w:jc w:val="center"/>
            </w:pPr>
            <w:r>
              <w:rPr>
                <w:rFonts w:ascii="宋体" w:hAnsi="宋体" w:eastAsia="宋体"/>
                <w:sz w:val="16"/>
              </w:rPr>
              <w:t>实际完成情况</w:t>
            </w:r>
          </w:p>
        </w:tc>
      </w:tr>
      <w:tr w14:paraId="3AAA77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1CC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B6C66B">
            <w:pPr>
              <w:jc w:val="both"/>
            </w:pPr>
            <w:r>
              <w:rPr>
                <w:rFonts w:ascii="宋体" w:hAnsi="宋体" w:eastAsia="宋体"/>
                <w:sz w:val="16"/>
              </w:rPr>
              <w:t>为保障行政服务中心正常运转，确保企业群众办事高效，促进各项工作有序高效落实。通过该项目实施，有效提升中心工作效率，解决广大群众生活保障问题，确保90个服务窗口正常服务。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627043">
            <w:pPr>
              <w:jc w:val="both"/>
            </w:pPr>
            <w:r>
              <w:rPr>
                <w:rFonts w:hint="eastAsia" w:ascii="宋体" w:hAnsi="宋体"/>
                <w:sz w:val="16"/>
                <w:lang w:eastAsia="zh-CN"/>
              </w:rPr>
              <w:t>截至2024</w:t>
            </w:r>
            <w:r>
              <w:rPr>
                <w:rFonts w:ascii="宋体" w:hAnsi="宋体" w:eastAsia="宋体"/>
                <w:sz w:val="16"/>
              </w:rPr>
              <w:t>年12月31日，该项目执行资金3.6万元，主要用于2024年90个服务窗口正常服务，保障窗口工作人员数量117人，通过该项目的实施确保环境卫生干净整洁，有效提升中心工作效率，解决广大群众各项生活问题。</w:t>
            </w:r>
          </w:p>
        </w:tc>
      </w:tr>
      <w:tr w14:paraId="076FAA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3E3A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20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CA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F1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A5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B1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B4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14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CE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30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217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2A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33ECD">
            <w:pPr>
              <w:jc w:val="center"/>
            </w:pPr>
            <w:r>
              <w:rPr>
                <w:rFonts w:ascii="宋体" w:hAnsi="宋体" w:eastAsia="宋体"/>
                <w:sz w:val="16"/>
              </w:rPr>
              <w:t>偏差原因分析及改进措施</w:t>
            </w:r>
          </w:p>
        </w:tc>
      </w:tr>
      <w:tr w14:paraId="244980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8E6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6684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8EF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CB43">
            <w:pPr>
              <w:jc w:val="center"/>
            </w:pPr>
            <w:r>
              <w:rPr>
                <w:rFonts w:ascii="宋体" w:hAnsi="宋体" w:eastAsia="宋体"/>
                <w:sz w:val="16"/>
              </w:rPr>
              <w:t>保障服务窗口数量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49F8">
            <w:pPr>
              <w:jc w:val="center"/>
            </w:pPr>
            <w:r>
              <w:rPr>
                <w:rFonts w:ascii="宋体" w:hAnsi="宋体" w:eastAsia="宋体"/>
                <w:sz w:val="16"/>
              </w:rPr>
              <w:t>&gt;=90个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5F3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93BC">
            <w:pPr>
              <w:jc w:val="center"/>
            </w:pPr>
            <w:r>
              <w:rPr>
                <w:rFonts w:ascii="宋体" w:hAnsi="宋体" w:eastAsia="宋体"/>
                <w:sz w:val="16"/>
              </w:rPr>
              <w: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96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71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92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03D6">
            <w:pPr>
              <w:jc w:val="center"/>
            </w:pPr>
            <w:r>
              <w:rPr>
                <w:rFonts w:ascii="宋体" w:hAnsi="宋体" w:eastAsia="宋体"/>
                <w:sz w:val="16"/>
              </w:rPr>
              <w: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96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A1CD">
            <w:pPr>
              <w:jc w:val="center"/>
            </w:pPr>
          </w:p>
        </w:tc>
      </w:tr>
      <w:tr w14:paraId="56964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91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EC9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5B8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2B08">
            <w:pPr>
              <w:jc w:val="center"/>
            </w:pPr>
            <w:r>
              <w:rPr>
                <w:rFonts w:ascii="宋体" w:hAnsi="宋体" w:eastAsia="宋体"/>
                <w:sz w:val="16"/>
              </w:rPr>
              <w:t>窗口工作人员数量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1F14">
            <w:pPr>
              <w:jc w:val="center"/>
            </w:pPr>
            <w:r>
              <w:rPr>
                <w:rFonts w:ascii="宋体" w:hAnsi="宋体" w:eastAsia="宋体"/>
                <w:sz w:val="16"/>
              </w:rPr>
              <w:t>&gt;=117人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ED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ED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FE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02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F9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C022">
            <w:pPr>
              <w:jc w:val="center"/>
            </w:pPr>
            <w:r>
              <w:rPr>
                <w:rFonts w:ascii="宋体" w:hAnsi="宋体" w:eastAsia="宋体"/>
                <w:sz w:val="16"/>
              </w:rPr>
              <w: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1A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95AFD">
            <w:pPr>
              <w:jc w:val="center"/>
            </w:pPr>
          </w:p>
        </w:tc>
      </w:tr>
      <w:tr w14:paraId="390B5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224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06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FE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9DA1">
            <w:pPr>
              <w:jc w:val="center"/>
            </w:pPr>
            <w:r>
              <w:rPr>
                <w:rFonts w:ascii="宋体" w:hAnsi="宋体" w:eastAsia="宋体"/>
                <w:sz w:val="16"/>
              </w:rPr>
              <w:t>人均运转经费保障率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91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1EF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7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2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14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6F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A2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D8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3B112">
            <w:pPr>
              <w:jc w:val="center"/>
            </w:pPr>
          </w:p>
        </w:tc>
      </w:tr>
      <w:tr w14:paraId="3330A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67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FE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4E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F3AE">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C7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80A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F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33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CB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B0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8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F5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79DF1">
            <w:pPr>
              <w:jc w:val="center"/>
            </w:pPr>
          </w:p>
        </w:tc>
      </w:tr>
      <w:tr w14:paraId="5D0A3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FB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53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48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CA5B">
            <w:pPr>
              <w:jc w:val="center"/>
            </w:pPr>
            <w:r>
              <w:rPr>
                <w:rFonts w:ascii="宋体" w:hAnsi="宋体" w:eastAsia="宋体"/>
                <w:sz w:val="16"/>
              </w:rPr>
              <w:t>人均运转经费成本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82B7">
            <w:pPr>
              <w:jc w:val="center"/>
            </w:pPr>
            <w:r>
              <w:rPr>
                <w:rFonts w:ascii="宋体" w:hAnsi="宋体" w:eastAsia="宋体"/>
                <w:sz w:val="16"/>
              </w:rPr>
              <w:t>&lt;=307.6元/人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ECA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DC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D9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BD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A5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3B55">
            <w:pPr>
              <w:jc w:val="center"/>
            </w:pPr>
            <w:r>
              <w:rPr>
                <w:rFonts w:ascii="宋体" w:hAnsi="宋体" w:eastAsia="宋体"/>
                <w:sz w:val="16"/>
              </w:rPr>
              <w:t>=307.6元/人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E45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C6E52">
            <w:pPr>
              <w:jc w:val="center"/>
            </w:pPr>
          </w:p>
        </w:tc>
      </w:tr>
      <w:tr w14:paraId="47744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06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81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0C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6FA7">
            <w:pPr>
              <w:jc w:val="center"/>
            </w:pPr>
            <w:r>
              <w:rPr>
                <w:rFonts w:ascii="宋体" w:hAnsi="宋体" w:eastAsia="宋体"/>
                <w:sz w:val="16"/>
              </w:rPr>
              <w:t>保障政务服务中心大厅服务能力提升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8F7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6A3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E8A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EA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97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9B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74E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7FB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93240">
            <w:pPr>
              <w:jc w:val="center"/>
            </w:pPr>
          </w:p>
        </w:tc>
      </w:tr>
      <w:tr w14:paraId="3E5D8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87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C72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1A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9D1E">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F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263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7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06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43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6C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B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89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C36C2">
            <w:pPr>
              <w:jc w:val="center"/>
            </w:pPr>
          </w:p>
        </w:tc>
      </w:tr>
      <w:tr w14:paraId="077640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6FA2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848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6F84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37F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35FCB0"/>
        </w:tc>
      </w:tr>
    </w:tbl>
    <w:p w14:paraId="5C931851">
      <w:r>
        <w:br w:type="page"/>
      </w:r>
    </w:p>
    <w:p w14:paraId="178FDC45">
      <w:pPr>
        <w:spacing w:line="640" w:lineRule="exact"/>
        <w:ind w:firstLine="640"/>
        <w:jc w:val="both"/>
        <w:outlineLvl w:val="2"/>
      </w:pPr>
      <w:r>
        <w:rPr>
          <w:rFonts w:ascii="黑体" w:hAnsi="黑体" w:eastAsia="黑体"/>
          <w:sz w:val="32"/>
        </w:rPr>
        <w:t>十二、其他需说明的事项</w:t>
      </w:r>
    </w:p>
    <w:p w14:paraId="0E833125">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00058F1">
      <w:r>
        <w:br w:type="page"/>
      </w:r>
    </w:p>
    <w:p w14:paraId="711288F8">
      <w:pPr>
        <w:spacing w:line="240" w:lineRule="auto"/>
        <w:jc w:val="center"/>
        <w:outlineLvl w:val="1"/>
      </w:pPr>
      <w:r>
        <w:rPr>
          <w:rFonts w:ascii="黑体" w:hAnsi="黑体" w:eastAsia="黑体"/>
          <w:sz w:val="32"/>
        </w:rPr>
        <w:t>第三部分 专业名词解释</w:t>
      </w:r>
    </w:p>
    <w:p w14:paraId="0E243EF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70445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6289F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A4C1C7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7D7A6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EFDE9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05EBF3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61D6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B5935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B35E8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D878A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162D57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429E6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1C7D8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8719096">
      <w:r>
        <w:br w:type="page"/>
      </w:r>
    </w:p>
    <w:p w14:paraId="37785495">
      <w:pPr>
        <w:spacing w:line="240" w:lineRule="auto"/>
        <w:jc w:val="center"/>
        <w:outlineLvl w:val="1"/>
      </w:pPr>
      <w:r>
        <w:rPr>
          <w:rFonts w:ascii="黑体" w:hAnsi="黑体" w:eastAsia="黑体"/>
          <w:sz w:val="32"/>
        </w:rPr>
        <w:t>第四部分 部门决算报表（见附表）</w:t>
      </w:r>
    </w:p>
    <w:p w14:paraId="21D15CC5">
      <w:pPr>
        <w:spacing w:line="240" w:lineRule="auto"/>
        <w:ind w:firstLine="640"/>
        <w:jc w:val="both"/>
      </w:pPr>
      <w:r>
        <w:rPr>
          <w:rFonts w:ascii="仿宋_GB2312" w:hAnsi="仿宋_GB2312" w:eastAsia="仿宋_GB2312"/>
          <w:b w:val="0"/>
          <w:sz w:val="32"/>
        </w:rPr>
        <w:t>一、《收入支出决算总表》</w:t>
      </w:r>
    </w:p>
    <w:p w14:paraId="2F9D6A7D">
      <w:pPr>
        <w:spacing w:line="240" w:lineRule="auto"/>
        <w:ind w:firstLine="640"/>
        <w:jc w:val="both"/>
      </w:pPr>
      <w:r>
        <w:rPr>
          <w:rFonts w:ascii="仿宋_GB2312" w:hAnsi="仿宋_GB2312" w:eastAsia="仿宋_GB2312"/>
          <w:b w:val="0"/>
          <w:sz w:val="32"/>
        </w:rPr>
        <w:t>二、《收入决算表》</w:t>
      </w:r>
    </w:p>
    <w:p w14:paraId="025528A5">
      <w:pPr>
        <w:spacing w:line="240" w:lineRule="auto"/>
        <w:ind w:firstLine="640"/>
        <w:jc w:val="both"/>
      </w:pPr>
      <w:r>
        <w:rPr>
          <w:rFonts w:ascii="仿宋_GB2312" w:hAnsi="仿宋_GB2312" w:eastAsia="仿宋_GB2312"/>
          <w:b w:val="0"/>
          <w:sz w:val="32"/>
        </w:rPr>
        <w:t>三、《支出决算表》</w:t>
      </w:r>
    </w:p>
    <w:p w14:paraId="5C5B1013">
      <w:pPr>
        <w:spacing w:line="240" w:lineRule="auto"/>
        <w:ind w:firstLine="640"/>
        <w:jc w:val="both"/>
      </w:pPr>
      <w:r>
        <w:rPr>
          <w:rFonts w:ascii="仿宋_GB2312" w:hAnsi="仿宋_GB2312" w:eastAsia="仿宋_GB2312"/>
          <w:b w:val="0"/>
          <w:sz w:val="32"/>
        </w:rPr>
        <w:t>四、《财政拨款收入支出决算总表》</w:t>
      </w:r>
    </w:p>
    <w:p w14:paraId="3BEFA10A">
      <w:pPr>
        <w:spacing w:line="240" w:lineRule="auto"/>
        <w:ind w:firstLine="640"/>
        <w:jc w:val="both"/>
      </w:pPr>
      <w:r>
        <w:rPr>
          <w:rFonts w:ascii="仿宋_GB2312" w:hAnsi="仿宋_GB2312" w:eastAsia="仿宋_GB2312"/>
          <w:b w:val="0"/>
          <w:sz w:val="32"/>
        </w:rPr>
        <w:t>五、《一般公共预算财政拨款支出决算表》</w:t>
      </w:r>
    </w:p>
    <w:p w14:paraId="57B6A9E5">
      <w:pPr>
        <w:spacing w:line="240" w:lineRule="auto"/>
        <w:ind w:firstLine="640"/>
        <w:jc w:val="both"/>
      </w:pPr>
      <w:r>
        <w:rPr>
          <w:rFonts w:ascii="仿宋_GB2312" w:hAnsi="仿宋_GB2312" w:eastAsia="仿宋_GB2312"/>
          <w:b w:val="0"/>
          <w:sz w:val="32"/>
        </w:rPr>
        <w:t>六、《一般公共预算财政拨款基本支出决算表》</w:t>
      </w:r>
    </w:p>
    <w:p w14:paraId="71CCED6D">
      <w:pPr>
        <w:spacing w:line="240" w:lineRule="auto"/>
        <w:ind w:firstLine="640"/>
        <w:jc w:val="both"/>
      </w:pPr>
      <w:r>
        <w:rPr>
          <w:rFonts w:ascii="仿宋_GB2312" w:hAnsi="仿宋_GB2312" w:eastAsia="仿宋_GB2312"/>
          <w:b w:val="0"/>
          <w:sz w:val="32"/>
        </w:rPr>
        <w:t>七、《政府性基金预算财政拨款收入支出决算表》</w:t>
      </w:r>
    </w:p>
    <w:p w14:paraId="1621E23C">
      <w:pPr>
        <w:spacing w:line="240" w:lineRule="auto"/>
        <w:ind w:firstLine="640"/>
        <w:jc w:val="both"/>
      </w:pPr>
      <w:r>
        <w:rPr>
          <w:rFonts w:ascii="仿宋_GB2312" w:hAnsi="仿宋_GB2312" w:eastAsia="仿宋_GB2312"/>
          <w:b w:val="0"/>
          <w:sz w:val="32"/>
        </w:rPr>
        <w:t>八、《国有资本经营预算财政拨款收入支出决算表》</w:t>
      </w:r>
    </w:p>
    <w:p w14:paraId="5A5C3759">
      <w:pPr>
        <w:spacing w:line="240" w:lineRule="auto"/>
        <w:ind w:firstLine="640"/>
        <w:jc w:val="both"/>
      </w:pPr>
      <w:r>
        <w:rPr>
          <w:rFonts w:ascii="仿宋_GB2312" w:hAnsi="仿宋_GB2312" w:eastAsia="仿宋_GB2312"/>
          <w:b w:val="0"/>
          <w:sz w:val="32"/>
        </w:rPr>
        <w:t>九、《财政拨款“三公”经费支出决算表》</w:t>
      </w:r>
    </w:p>
    <w:p w14:paraId="55515839">
      <w:pPr>
        <w:spacing w:line="240" w:lineRule="auto"/>
        <w:ind w:firstLine="640"/>
        <w:jc w:val="both"/>
      </w:pPr>
    </w:p>
    <w:p w14:paraId="6FA39FD3">
      <w:pPr>
        <w:spacing w:line="240" w:lineRule="auto"/>
        <w:ind w:firstLine="640"/>
        <w:jc w:val="both"/>
      </w:pPr>
    </w:p>
    <w:p w14:paraId="18F14025">
      <w:pPr>
        <w:spacing w:line="240" w:lineRule="auto"/>
        <w:ind w:firstLine="640"/>
        <w:jc w:val="both"/>
      </w:pPr>
    </w:p>
    <w:p w14:paraId="65D4DEE6">
      <w:pPr>
        <w:spacing w:line="240" w:lineRule="auto"/>
        <w:ind w:firstLine="640"/>
        <w:jc w:val="both"/>
      </w:pPr>
    </w:p>
    <w:p w14:paraId="6AC9DC4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8">
    <w:panose1 w:val="02000000000000000000"/>
    <w:charset w:val="86"/>
    <w:family w:val="auto"/>
    <w:pitch w:val="default"/>
    <w:sig w:usb0="A00002BF" w:usb1="38CF7CFA" w:usb2="00082016" w:usb3="00000000" w:csb0="00040001" w:csb1="00000000"/>
  </w:font>
  <w:font w:name="WPSEMBED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190A10"/>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2D3CD8"/>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4592</Words>
  <Characters>5202</Characters>
  <Lines>0</Lines>
  <Paragraphs>0</Paragraphs>
  <TotalTime>4</TotalTime>
  <ScaleCrop>false</ScaleCrop>
  <LinksUpToDate>false</LinksUpToDate>
  <CharactersWithSpaces>5210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2025-09-05T07:36:04Z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