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no"?>
<Relationships xmlns="http://schemas.openxmlformats.org/package/2006/relationships">
<Relationship Id="rId1" Target="docProps/app.xml" Type="http://schemas.openxmlformats.org/officeDocument/2006/relationships/extended-properties"/>
<Relationship Id="rId2" Target="docProps/core.xml" Type="http://schemas.openxmlformats.org/package/2006/relationships/metadata/core-properties"/>
<Relationship Id="rId3" Target="docProps/custom.xml" Type="http://schemas.openxmlformats.org/officeDocument/2006/relationships/custom-properties"/>
<Relationship Id="rId4" Target="word/document.xml" Type="http://schemas.openxmlformats.org/officeDocument/2006/relationships/officeDocument"/>
</Relationships>
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both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ascii="方正小标宋_GBK" w:hAnsi="华文中宋" w:eastAsia="方正小标宋_GBK" w:cs="宋体"/>
          <w:b/>
          <w:kern w:val="0"/>
          <w:sz w:val="44"/>
          <w:szCs w:val="44"/>
        </w:rPr>
      </w:pPr>
      <w:r>
        <w:rPr>
          <w:rFonts w:hint="eastAsia" w:ascii="方正小标宋_GBK" w:hAnsi="华文中宋" w:eastAsia="方正小标宋_GBK" w:cs="宋体"/>
          <w:b/>
          <w:kern w:val="0"/>
          <w:sz w:val="44"/>
          <w:szCs w:val="44"/>
        </w:rPr>
        <w:t xml:space="preserve"> 部门单位项目支出绩效评价报告</w:t>
      </w:r>
    </w:p>
    <w:p>
      <w:pPr>
        <w:spacing w:line="570" w:lineRule="exact"/>
        <w:jc w:val="center"/>
        <w:rPr>
          <w:rFonts w:ascii="华文中宋" w:hAnsi="华文中宋" w:eastAsia="华文中宋" w:cs="宋体"/>
          <w:b/>
          <w:kern w:val="0"/>
          <w:sz w:val="52"/>
          <w:szCs w:val="52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6"/>
          <w:szCs w:val="36"/>
        </w:rPr>
      </w:pPr>
      <w:r>
        <w:rPr>
          <w:rFonts w:hint="eastAsia" w:hAnsi="宋体" w:eastAsia="仿宋_GB2312" w:cs="宋体"/>
          <w:kern w:val="0"/>
          <w:sz w:val="36"/>
          <w:szCs w:val="36"/>
        </w:rPr>
        <w:t xml:space="preserve">（  </w:t>
      </w:r>
      <w:r>
        <w:rPr>
          <w:rStyle w:val="18"/>
          <w:rFonts w:hint="eastAsia" w:ascii="仿宋_GB2312" w:hAnsi="楷体" w:eastAsia="仿宋_GB2312"/>
          <w:spacing w:val="-4"/>
          <w:sz w:val="32"/>
          <w:szCs w:val="32"/>
        </w:rPr>
        <w:t>2022</w:t>
      </w:r>
      <w:r>
        <w:rPr>
          <w:rFonts w:hint="eastAsia" w:ascii="方正仿宋_GBK" w:hAnsi="宋体" w:eastAsia="方正仿宋_GBK" w:cs="宋体"/>
          <w:kern w:val="0"/>
          <w:sz w:val="36"/>
          <w:szCs w:val="36"/>
        </w:rPr>
        <w:t xml:space="preserve"> </w:t>
      </w:r>
      <w:r>
        <w:rPr>
          <w:rFonts w:hint="eastAsia" w:hAnsi="宋体" w:eastAsia="仿宋_GB2312" w:cs="宋体"/>
          <w:kern w:val="0"/>
          <w:sz w:val="36"/>
          <w:szCs w:val="36"/>
        </w:rPr>
        <w:t xml:space="preserve"> 年度）</w:t>
      </w: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570" w:lineRule="exact"/>
        <w:jc w:val="center"/>
        <w:rPr>
          <w:rFonts w:hAnsi="宋体" w:eastAsia="仿宋_GB2312" w:cs="宋体"/>
          <w:kern w:val="0"/>
          <w:sz w:val="30"/>
          <w:szCs w:val="30"/>
        </w:rPr>
      </w:pPr>
    </w:p>
    <w:p>
      <w:pPr>
        <w:spacing w:line="70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项目名称：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2022年农业机械购置补贴项目</w:t>
      </w:r>
    </w:p>
    <w:p>
      <w:pPr>
        <w:spacing w:line="570" w:lineRule="exact"/>
        <w:ind w:firstLine="360" w:firstLineChars="100"/>
        <w:jc w:val="left"/>
        <w:rPr>
          <w:rFonts w:ascii="仿宋" w:hAnsi="仿宋" w:eastAsia="仿宋" w:cs="仿宋"/>
          <w:kern w:val="0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实施单位（公章）：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英吉沙县农业农村机械化发展中心(本级)</w:t>
      </w:r>
    </w:p>
    <w:p>
      <w:pPr>
        <w:spacing w:line="540" w:lineRule="exact"/>
        <w:ind w:firstLine="360" w:firstLineChars="100"/>
        <w:rPr>
          <w:rFonts w:hint="eastAsia"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主管部门（公章）：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英吉沙县农业农村机械化发展中心</w:t>
      </w:r>
    </w:p>
    <w:p>
      <w:pPr>
        <w:spacing w:line="570" w:lineRule="exact"/>
        <w:ind w:firstLine="360" w:firstLineChars="100"/>
        <w:rPr>
          <w:rFonts w:ascii="仿宋" w:hAnsi="仿宋" w:eastAsia="仿宋" w:cs="仿宋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项目负责人（签章）：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吐孙古力·喀斯木</w:t>
      </w:r>
    </w:p>
    <w:p>
      <w:pPr>
        <w:spacing w:line="540" w:lineRule="exact"/>
        <w:ind w:firstLine="360" w:firstLineChars="100"/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Fonts w:hint="eastAsia" w:ascii="仿宋" w:hAnsi="仿宋" w:eastAsia="仿宋" w:cs="仿宋"/>
          <w:kern w:val="0"/>
          <w:sz w:val="36"/>
          <w:szCs w:val="36"/>
        </w:rPr>
        <w:t>填报时间：</w:t>
      </w: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2023年02月28日</w:t>
      </w:r>
    </w:p>
    <w:p>
      <w:pP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br w:type="page"/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一、基本情况</w:t>
      </w:r>
    </w:p>
    <w:p>
      <w:pPr>
        <w:spacing w:line="570" w:lineRule="exact"/>
        <w:ind w:firstLine="627" w:firstLineChars="200"/>
        <w:rPr>
          <w:rStyle w:val="18"/>
          <w:rFonts w:ascii="方正楷体_GBK" w:hAnsi="方正楷体_GBK" w:eastAsia="方正楷体_GBK" w:cs="方正楷体_GBK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（一）项目概况。包括项目背景、主要内容及实施情况、资金投入和使用情况等。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项目背景</w:t>
        <w:br/>
        <w:t>本项目遵循财政部《项目支出绩效评价管理办法》（财预〔2020〕10号）和自治区财政厅《自治区财政支出绩效评价管理暂行办法》（新财预〔2018〕189号）等相关政策文件与规定，旨在评价农机购置补贴项目实施前期、过程及效果，评价财政预算资金使用的效率及效益。通过该项目的实施，建成后可带动14个乡镇受益，可持续带动增收20年以上，同时对当地生态环境的改善作用。</w:t>
        <w:br/>
        <w:t>2. 主要内容及实施情况</w:t>
        <w:br/>
        <w:t>本项目建设主要服务于当地农业生产的发展。以实施乡村振兴战略为总抓手，以推进农机供给侧结构性改革为主线，以推进农业机械化全程全面高质高效发展，促进农业供给侧结构性改革为基本要求。坚持绿色生态导向，切实增加节能环保、精准高效农业机械供给，为农业绿色发展提供有力支撑；坚持普惠共享，推进补贴范围内所有机具敞开补贴，加大对农业机械化薄弱地区支持力度，切实增强政策实惠的获得感；坚持推动科技创新，加快创新产品购置补贴支持步伐，促进农机工业转型升级；坚持贯彻落实“放管服”改革精神，推进政策实施更加符合基层生产实际，加大组织管理创新力度，提高实施操作信息化水平，严惩失信违规行为，确保政策规范廉洁高效实施，不断提升公众满意度和政策实现度。喀什地区享受中央财政补贴的机具种类范围为15大类38个小类123个品目，补贴范围内机具敞开补贴。</w:t>
        <w:br/>
        <w:t>3.项目实施主体</w:t>
        <w:br/>
        <w:t>英吉沙县农业农村机械化发展中心为事业单位，纳入2018年部门决算编制范围的有3个办公室：行政办公室、项目办公室、财务室。</w:t>
        <w:br/>
        <w:t>编制人数16人，其中：参公6人、事业编制10人。实有在职人数16人，其中：参公6人、事业在职10人（工勤2人）。离退休人员22人，其中：行政退休人员11人、事业退休11人。</w:t>
        <w:br/>
        <w:t>4. 资金投入和使用情况</w:t>
        <w:br/>
        <w:t>喀地财农【2021】43号共安排下达资金1223万元，喀地财农【2020】62号结余资金7.0676万元为项目资金，最终确定项目资金总数为1230.0676万元。</w:t>
        <w:br/>
        <w:t>截至2022年12月31日，实际支出1230.035万元，预算执行率100%。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（二）项目绩效目标。包括总体目标和阶段性目标。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项目绩效目标包括项目绩效总目标和阶段性目标。</w:t>
        <w:br/>
        <w:t>1.项目绩效总目标</w:t>
        <w:br/>
        <w:t>该项目投入资金1230.07万元，计划补贴机具1033台，其中农业动力机械506台，配套机具527台。发给754户农民，通过该项目实施，提升农作物综合机械化率。</w:t>
        <w:br/>
        <w:t>2.阶段性目标</w:t>
        <w:br/>
        <w:t>本项目设置一级指标3个，二级指标7个，三级指标10个，指标量化率81.82%。</w:t>
        <w:br/>
        <w:t>数量指标-补贴农业机械（台），年初目标值506台，</w:t>
        <w:br/>
        <w:t>数量指标-补贴配套机具（台），年初目标值527台，</w:t>
        <w:br/>
        <w:t>质量指标-设备验收合格率(%)，年初目标值100%，</w:t>
        <w:br/>
        <w:t>时效指标-资金支付及时率(%)，年初目标值100%，</w:t>
        <w:br/>
        <w:t>项目结束时间，年初目标值2022年12月30日，</w:t>
        <w:br/>
        <w:t>成本指标-每台动力机械补贴成本（万元），年初目标值2.04万元，每台配套机械补贴成本(万元），年初目标值0.37万元，</w:t>
        <w:br/>
        <w:t>社会效益指标-提升农作物综合机械化率（%），年初目标值效果显著，</w:t>
        <w:br/>
        <w:t>社会效益指标-受益农户数(户），年初目标值754户，</w:t>
        <w:br/>
        <w:t>可持续影响指标-设备使用年限，年初目标值6年，</w:t>
        <w:br/>
        <w:t>满意度指标-农民满意度，年初目标值95%，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二、绩效评价工作开展情况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（一）绩效评价目的、对象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  <w:lang w:eastAsia="zh-CN"/>
        </w:rPr>
        <w:t>、时间和</w:t>
      </w: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范围。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（一）绩效评价目的、对象和范围</w:t>
        <w:br/>
        <w:t>1. 绩效评价目的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旨在评价财政项目实施前期、过程及效果，评价财政预算资金使用的效率及效益。</w:t>
        <w:br/>
        <w:t>为全面了解该项目预算编制合理性、资金使用合规性、项目管理的规范性、项目目标的实现情况、服务对象的满意度等，通过本次部门绩效评价来总结经验和教训，促进项目成果转化和应用，为今后类似项目的长效管理，提供可行性参考建议。也为下一年预算编制与评审提供充分有效的依据，以达到改进预算管理、优化资源配置、提高预算资金使用效益的目的。</w:t>
        <w:br/>
        <w:t>2. 绩效评价对象</w:t>
        <w:br/>
        <w:t>本次绩效评价遵循财政部《项目支出绩效评价管理办法》（财预〔2020〕10号）和自治区财政厅《自治区财政支出绩效评价管理暂行办法》（新财预〔2018〕189号）等相关政策文件与规定，以项目支出为对象所对应的预算资金，以项目实施所带来的产出和效果为主要内容，以促进预算单位完成特定工作任务目标所组织开展的绩效评价。</w:t>
        <w:br/>
        <w:t>3. 绩效评价范围</w:t>
        <w:br/>
        <w:t>本次评价范围涵盖项目总体绩效目标、各项绩效指标完成情况以及预算执行情况。覆盖项目预算资金支出的所有内容进行评价。包括项目决策、项目实施和项目成果验收流程等。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（二）绩效评价原则、评价指标体系（附表说明）、评价方法、评价标准等。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1. 绩效评价原则</w:t>
        <w:br/>
        <w:t>本次绩效评价遵循的原则包括：</w:t>
        <w:br/>
        <w:t>（1）科学公正。绩效评价应当运用科学合理的方法，按照规范的程序，对项目绩效进行客观、公正的反映。</w:t>
        <w:br/>
        <w:t>（2）统筹兼顾。单位自评、部门评价和财政评价应职责明确，各有侧重，相互衔接。单位自评应由项目单位自主实施，即“谁支出、谁自评”。部门评价和财政评价应在单位自评的基础上开展，必要时可委托第三方机构实施。</w:t>
        <w:br/>
        <w:t>（3）激励约束。绩效评价结果应与预算安排、政策调整、改进管理实质性挂钩，体现奖优罚劣和激励相容导向，有效要安排、低效要压减、无效要问责。</w:t>
        <w:br/>
        <w:t>（4）公开透明。绩效评价结果应依法依规公开，并自觉接受社会监督。</w:t>
        <w:br/>
        <w:t>2. 绩效评价指标体系</w:t>
        <w:br/>
        <w:t xml:space="preserve">    本项目绩效评价体系为根据财预﹝2020﹞10号共性指标及个性化指标设置，主要分为共性指标和个性指标两大类。共性指标下设决策与过程3个一级指标，其中：项目决策下项目立项、绩效目标、资金投入3个二级指标；过程下设资金管理和组织实施2个二级指标。个性指标下设产出和效益2个一级指标，其中产出下设产出数量、产出质量、产出时效、产出成本4个2级指标，效益下设项目效益2个二级指标。项目绩效评价体系详见附件1。</w:t>
        <w:br/>
        <w:t>3. 绩效评价方法</w:t>
        <w:br/>
        <w:t>本次绩效评价方法的选用坚持简便有效的原则采用综合分析法。</w:t>
        <w:br/>
        <w:t>4. 绩效评价标准</w:t>
        <w:br/>
        <w:t>绩效评价标准通常包括计划标准、行业标准、历史标准等，用于对绩效指标完成情况进行比较。本次评价主要采用了计划标准。</w:t>
        <w:br/>
        <w:t>计划标准：指以预先制定的目标、计划、预算、定额等作为评价标准。</w:t>
        <w:br/>
        <w:t>行业标准：指参照国家公布的行业指标数据制定的评价标准。</w:t>
        <w:br/>
        <w:t>历史标准：指参照历史数据制定的评价标准，为体现绩效改进的原则，在可实现的条件下应当确定相对较高的评价标准。</w:t>
      </w:r>
    </w:p>
    <w:p>
      <w:pPr>
        <w:spacing w:line="570" w:lineRule="exact"/>
        <w:ind w:firstLine="627" w:firstLineChars="200"/>
        <w:rPr>
          <w:rStyle w:val="18"/>
          <w:rFonts w:ascii="楷体" w:hAnsi="楷体" w:eastAsia="楷体" w:cs="楷体"/>
          <w:bCs w:val="0"/>
          <w:spacing w:val="-4"/>
          <w:sz w:val="32"/>
          <w:szCs w:val="32"/>
        </w:rPr>
      </w:pPr>
      <w:r>
        <w:rPr>
          <w:rStyle w:val="18"/>
          <w:rFonts w:hint="eastAsia" w:ascii="楷体" w:hAnsi="楷体" w:eastAsia="楷体" w:cs="楷体"/>
          <w:bCs w:val="0"/>
          <w:spacing w:val="-4"/>
          <w:sz w:val="32"/>
          <w:szCs w:val="32"/>
        </w:rPr>
        <w:t>（三）绩效评价工作过程。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（三）绩效评价工作过程</w:t>
        <w:br/>
        <w:t>本次评价成立了评价工作组，成员如下：</w:t>
        <w:br/>
        <w:t>本次评价设计了评价方案、评价指标体系，通过资料分析、调研、访谈满意度调查等方式形成评价结论，在与项目单位沟通后确定评价意见，并出具评价报告。</w:t>
        <w:br/>
        <w:t>第一阶段：前期准备。认真学习相关要求与规定，成立绩效评价工作组，作为绩效评价工作具体实施机构。成员构成如下：</w:t>
        <w:br/>
        <w:t>吴福斌任评价组组长，职务为县农业农村机械化发展中心主任，绩效评价工作职责为负责全盘工作。</w:t>
        <w:br/>
        <w:t>伊米古孙任评价组副组长，绩效评价工作职责为对项目实施情况进行实地调查。</w:t>
        <w:br/>
        <w:t>阿布拉江·尼扎米丁、古丽娜、吐孙古·喀斯木、张艳任评价组成员，绩效评价工作职责为负责资料审核等工作。</w:t>
        <w:br/>
        <w:t>第二阶段：组织实施。经评价组通过实地调研、查阅资料等方式，采用综合分析法对项目的决策、管理、绩效进行的综合评价分析。</w:t>
        <w:br/>
        <w:t>第三阶段：分析评价。首先按照指标体系进行定量、定性分析。其次开展量化打分、综合评价工作，形成初步评价结论。最后归纳整体项目情况与存在问题，撰写部门绩效评价报告。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三、综合评价情况及评价结论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（一）综合评价情况</w:t>
        <w:br/>
        <w:t>经评价组通过实地调研、综合分析法、问卷调查法等方式，主要采用综合分析法对项目的决策、实施、产出、效益进行综合评价分析，最终评分100分。</w:t>
        <w:br/>
        <w:t>2022年农业机械购置补贴项目得分情况表</w:t>
        <w:br/>
        <w:t>一级指标	权重	得分率	实际得分</w:t>
        <w:br/>
        <w:t>项目决策	20	100%	20</w:t>
        <w:br/>
        <w:t>项目过程	20	100%	20</w:t>
        <w:br/>
        <w:t>项目产出	40	100%	40</w:t>
        <w:br/>
        <w:t>项目效益	20	100%	20</w:t>
        <w:br/>
        <w:t>合计	100	100%	100</w:t>
        <w:br/>
        <w:t>（二）综合评价结论</w:t>
        <w:br/>
        <w:t>运用项目组制定评价指标体系及财政部《项目支出绩效评价管理办法》（财预〔2020〕10号）文件评分标准进行评价，本次绩效评价结果主要采取评分和评级相结合的方式，具体分值和等级可根据不同评价的内容设定。总分一般设置为100分，其中项目决策20分、项目过程20分、项目产出40分、项目效益20分。评价结果分为优、良、中、差四个等级：优（90分（含）—100分）；良（80分（含）—90分）；中（60分（含）—80分）；差（0分—60分）。</w:t>
        <w:br/>
        <w:t>2022年农业机械购置补贴项目已完成对农户机械补贴，提升农作物综合机械化率。该项目最终评分100分，绩效评级为“优”。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 xml:space="preserve">四、绩效评价指标分析 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（一）项目决策情况。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（一）项目决策情况</w:t>
        <w:br/>
        <w:t>项目决策类指标包括项目立项、绩效目标和资金投入三方面的内容，由6个三级指标构成，权重分为 20 分，实际得分20分，得分率为100%。</w:t>
        <w:br/>
        <w:t>项目决策指标得分情况</w:t>
        <w:br/>
        <w:t>三级指标	权重	得分率	实际得分</w:t>
        <w:br/>
        <w:t>立项依据充分性	3	100%	3</w:t>
        <w:br/>
        <w:t>立项程序规范性	2	100%	2</w:t>
        <w:br/>
        <w:t>绩效目标合理性	3	100%	3</w:t>
        <w:br/>
        <w:t>绩效指标明确性	2	100%	2</w:t>
        <w:br/>
        <w:t>预算编制科学性	5	100%	5</w:t>
        <w:br/>
        <w:t>资金分配合理性	5	100%	5</w:t>
        <w:br/>
        <w:t>合计	20	100%	20</w:t>
        <w:br/>
        <w:t>（1）立项依据充分性：结合英吉沙县农业农村机械化发展中心职责，并组织实施。围绕英吉沙县2022年度工作重点和工作计划制定经费预算，根据评分标准，该指标不扣分，得3分。</w:t>
        <w:br/>
        <w:t>（2）立项程序规范性：根据决策依据编制工作计划和经费预算，经过与部门县政府分管领导进行沟通、筛选确定经费预算计划，上党委会研究确定最终预算方案，根据评分标准，该指标不扣分，得2分。</w:t>
        <w:br/>
        <w:t>（3）绩效目标合理性：制定了实施方案，明确了总体思路及目标、并对任务进行了详细分解，对目标进行了细化，根据评分标准，该指标不扣分，得3分。</w:t>
        <w:br/>
        <w:t>（4）绩效指标明确性： 将项目绩效目标细化分解为具体的绩效指标，根据评分标准，该指标不扣分，得2分。</w:t>
        <w:br/>
        <w:t>（5）预算编制科学性： 预算编制经过科学论证，内容与项目内容匹配，项目投资额与工作任务相匹配，根据评分标准，该指标不扣分，得5分。</w:t>
        <w:br/>
        <w:t>（6）资金分配合理性：资金分配与实际相适应，根据评分标准，该指标不扣分，得5分。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（二）项目过程情况。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（二）项目过程情况</w:t>
        <w:br/>
        <w:t>项目过程类指标包括资金管理和组织实施两方面的内容，由 5个三级指标构成，权重分为20分，实际得分20 分，得分率为100%。</w:t>
        <w:br/>
        <w:t>项目过程指标得分情况</w:t>
        <w:br/>
        <w:t>三级指标	权重	得分率	实际得分</w:t>
        <w:br/>
        <w:t>资金到位率	5	100%	5</w:t>
        <w:br/>
        <w:t>预算执行率	5	100%	5</w:t>
        <w:br/>
        <w:t>资金使用合规性	5	100%	5</w:t>
        <w:br/>
        <w:t>管理制度健全性	2	100%	2</w:t>
        <w:br/>
        <w:t>制度执行	3	100%	3</w:t>
        <w:br/>
        <w:t>合计	20	100%	20</w:t>
        <w:br/>
        <w:t>（1）资金到位率：财政资金足额拨付到位，牵头单位能够及时足额按照合同约定将专项资金拨付给联合体单位，根据评分标准，该指标不扣分，得5分。   </w:t>
        <w:br/>
        <w:t>（2）预算执行率：预算编制较为详细，项目资金支出总体能够按照预算执行，根据评分标准，该指标不扣分，得5分。</w:t>
        <w:br/>
        <w:t>（3）资金使用合规性：制定了相关的制度和管理规定对经费使用进行规范管理，财务制度健全、执行严格，根据评分标准，该指标不扣分，得5分。</w:t>
        <w:br/>
        <w:t>（4）管理制度健全性：制定了农业农村机械化发展中心相关管理办法，对财政专项资金进行严格管理，基本做到了专款专用，根据评分标准，该指标不扣分，得2分。</w:t>
        <w:br/>
        <w:t>（5）制度执行有效性：由部门提出经费预算支出可行性方案，经过与县政府分管领导沟通后，报党支部会议研究执行，财务对资金的使用合法合规性进行监督，年底对资金使用效果进行自评，根据评分标准，该指标不扣分，得3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（三）项目产出情况。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（三）项目产出情况</w:t>
        <w:br/>
        <w:t>项目产出类指标包括产出数量、产出质量、产出时效、产出成本四方面的内容，由4个三级指标构成，权重分为40分，实际得分40分，得分率为100%。</w:t>
        <w:br/>
        <w:t>项目产出指标得分情况</w:t>
        <w:br/>
        <w:t>三级指标	权重	得分率	实际得分</w:t>
        <w:br/>
        <w:t>产出数量	10	100%	10</w:t>
        <w:br/>
        <w:t>产出质量	10	100%	10</w:t>
        <w:br/>
        <w:t>产出时效	10	100%	10</w:t>
        <w:br/>
        <w:t>成本情况	10	100%	10</w:t>
        <w:br/>
        <w:t>合计	40	100%	40</w:t>
        <w:br/>
        <w:t>（1）对于“产出数量”</w:t>
        <w:br/>
        <w:t>补贴农业机械506台，与预期目标一致，根据评分标准，该指标不扣分，得5分。</w:t>
        <w:br/>
        <w:t>补贴配套机具527台，与预期目标一致，根据评分标准，该指标不扣分，得5分。</w:t>
        <w:br/>
        <w:t>合计得10分。</w:t>
        <w:br/>
        <w:t>（2）对于“产出质量”：</w:t>
        <w:br/>
        <w:t>设备验收合格率100%，与预期目标一致，根据评分标准，该指标不扣分，得10分。</w:t>
        <w:br/>
        <w:t>合计得10分。</w:t>
        <w:br/>
        <w:t>（3）对于“产出时效”：</w:t>
        <w:br/>
        <w:t>项目结束时间2022年12月，与预期目标指标一致，根据评分标准，该指标不扣分，得5分。</w:t>
        <w:br/>
        <w:t>资金支付及时率100%，与预期目标一致，根据评分标准，该指标不扣分，得5分。</w:t>
        <w:br/>
        <w:t>合计得10分。</w:t>
        <w:br/>
        <w:t>（4）对于“产出成本”：</w:t>
        <w:br/>
        <w:t>每台动力机械补贴成本20437.96元/台，与预期目标一致，根据评分标准，该指标不扣分，得5分。</w:t>
        <w:br/>
        <w:t>每台配套机械补贴成本3717.39元/台，与预期目标一致，根据评分标准，该指标不扣分，得5分。</w:t>
        <w:br/>
        <w:t>合计得10分。</w:t>
      </w:r>
    </w:p>
    <w:p>
      <w:pPr>
        <w:spacing w:line="570" w:lineRule="exact"/>
        <w:ind w:firstLine="627" w:firstLineChars="200"/>
        <w:rPr>
          <w:rFonts w:ascii="楷体" w:hAnsi="楷体" w:eastAsia="楷体" w:cs="楷体"/>
          <w:b/>
          <w:spacing w:val="-4"/>
          <w:sz w:val="32"/>
          <w:szCs w:val="32"/>
        </w:rPr>
      </w:pPr>
      <w:r>
        <w:rPr>
          <w:rFonts w:hint="eastAsia" w:ascii="楷体" w:hAnsi="楷体" w:eastAsia="楷体" w:cs="楷体"/>
          <w:b/>
          <w:spacing w:val="-4"/>
          <w:sz w:val="32"/>
          <w:szCs w:val="32"/>
        </w:rPr>
        <w:t>（四）项目效益情况。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项目效益类指标包括项目效益1个方面的内容，由2个三级指标构成，权重分为20分，实际得分20分，得分率为100%。</w:t>
        <w:br/>
        <w:t>项目绩效指标得分情况</w:t>
        <w:br/>
        <w:t>三级指标	权重	得分率	实际得分</w:t>
        <w:br/>
        <w:t>实施效益	10	100%	10</w:t>
        <w:br/>
        <w:t>			</w:t>
        <w:br/>
        <w:t>满意度	10	100%	10</w:t>
        <w:br/>
        <w:t>合计	20	100%	20</w:t>
        <w:br/>
        <w:t>1.实施效益指标：</w:t>
        <w:br/>
        <w:t>（1）对于“社会效益指标”：</w:t>
        <w:br/>
        <w:t>受益农户数754户，与预期指标一致，根据评分标准，该指标不扣分，得5分。</w:t>
        <w:br/>
        <w:t>（2）对于“可持续影响指标”：</w:t>
        <w:br/>
        <w:t>设备使用年限6年，与预期指标一致，根据评分标准，该指标不扣分，得5分。</w:t>
        <w:br/>
        <w:t>实施效益指标合计得10分。</w:t>
        <w:br/>
        <w:t>2.满意度指标:</w:t>
        <w:br/>
        <w:t>对于“满意度指标：受益农民满意度95%，与预期目标一致，根据评分标准，该指标不扣分,得10分。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五、预算执行进度与绩效指标偏差</w:t>
      </w:r>
    </w:p>
    <w:p>
      <w:pPr>
        <w:spacing w:line="540" w:lineRule="exact"/>
        <w:ind w:firstLine="567"/>
        <w:rPr>
          <w:rFonts w:ascii="仿宋" w:hAnsi="仿宋" w:eastAsia="仿宋" w:cs="仿宋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2022年农业机械购置补贴项目项目预算1230.07万元，到位1230.07万元，实际支出1230.07万元，预算执行率为100%，项目绩效指标总体完成率为100%，无偏差。</w:t>
      </w:r>
    </w:p>
    <w:p>
      <w:pPr>
        <w:spacing w:line="570" w:lineRule="exact"/>
        <w:ind w:firstLine="624" w:firstLineChars="200"/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六、主要经验及做法、存在的问题及原因分析</w:t>
      </w: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  <w:lang w:eastAsia="zh-CN"/>
        </w:rPr>
        <w:t>、下一步改进措施</w:t>
      </w:r>
      <w:bookmarkStart w:id="0" w:name="_GoBack"/>
      <w:bookmarkEnd w:id="0"/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（一）主要经验及做法一是本项目能够严格按照《2022年农业机械购置补贴项目实施方案》执行，项目执行情况较好。二是加强组织领导，本项目绩效评价工作，有县政府主要领导亲自挂帅，分管县领导具体负责，从项目到资金，均能后很好的执行。三是加强沟通协调，我单位及时向县领导汇报项目建设进度，加强与施工单位的沟通，确保项目按期完工。</w:t>
        <w:br/>
        <w:t>（二）存在问题及原因分析</w:t>
        <w:br/>
        <w:t>1、对预算绩效管理的重要性认识不足。我们在对预算绩效管理的认识上存在一定的误区，并且认识和了解都不够深入，预算绩效管理体制没有完善的建立起来。</w:t>
        <w:br/>
        <w:t>2.对预算绩效管理的经验欠缺，实际操作难，工作人员频繁更换，工作人员业务不精通、经验有限，对重点工作把我不到位，导致绩工作拖沓。</w:t>
        <w:br/>
        <w:t>3.预算绩效管理队伍薄弱，虽然设置了绩效股，但人员少，还要承担着其他股室的业务工作，任务量大，工作繁忙，无法做到对预算绩效工作的全面管理。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七、有关建议</w:t>
      </w:r>
    </w:p>
    <w:p>
      <w:pPr>
        <w:spacing w:line="540" w:lineRule="exact"/>
        <w:ind w:firstLine="567"/>
        <w:rPr>
          <w:rStyle w:val="18"/>
          <w:rFonts w:ascii="仿宋" w:hAnsi="仿宋" w:eastAsia="仿宋" w:cs="仿宋"/>
          <w:b w:val="0"/>
          <w:bCs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1、任何新兴事物和制度都有被人们所接受的漫长过程，过去“重分配、轻管理，重支出、轻绩效”这种错误思想观念应当改正。</w:t>
        <w:br/>
        <w:t>2、预算绩效管理的知识更新的很快，需要工作人员不断学习。进入到新时期，全面预算管理对工作人员的专业素质要求很高，并且需要实时接受新知识，工作人员的学历能力显得尤为重要。随着预算绩效管理工作量的加大，工作人员的综合素质必须提高，加强队伍建设的同时，增强财政部门作为绩效管理的重要作用。</w:t>
      </w:r>
    </w:p>
    <w:p>
      <w:pPr>
        <w:spacing w:line="570" w:lineRule="exact"/>
        <w:ind w:firstLine="624" w:firstLineChars="200"/>
        <w:rPr>
          <w:rStyle w:val="18"/>
          <w:rFonts w:ascii="黑体" w:hAnsi="黑体" w:eastAsia="黑体" w:cs="黑体"/>
          <w:b w:val="0"/>
          <w:spacing w:val="-4"/>
          <w:sz w:val="32"/>
          <w:szCs w:val="32"/>
        </w:rPr>
      </w:pPr>
      <w:r>
        <w:rPr>
          <w:rStyle w:val="18"/>
          <w:rFonts w:hint="eastAsia" w:ascii="黑体" w:hAnsi="黑体" w:eastAsia="黑体" w:cs="黑体"/>
          <w:b w:val="0"/>
          <w:spacing w:val="-4"/>
          <w:sz w:val="32"/>
          <w:szCs w:val="32"/>
        </w:rPr>
        <w:t>八、其他需要说明的问题</w:t>
      </w:r>
    </w:p>
    <w:p>
      <w:pPr>
        <w:spacing w:line="540" w:lineRule="exact"/>
        <w:ind w:firstLine="567"/>
        <w:rPr>
          <w:rStyle w:val="18"/>
          <w:rFonts w:ascii="仿宋" w:hAnsi="仿宋" w:eastAsia="仿宋"/>
          <w:b w:val="0"/>
          <w:spacing w:val="-4"/>
          <w:sz w:val="32"/>
          <w:szCs w:val="32"/>
        </w:rPr>
      </w:pPr>
      <w:r>
        <w:rPr>
          <w:rStyle w:val="18"/>
          <w:rFonts w:hint="eastAsia" w:ascii="仿宋" w:hAnsi="仿宋" w:eastAsia="仿宋" w:cs="仿宋"/>
          <w:b w:val="0"/>
          <w:bCs w:val="0"/>
          <w:spacing w:val="-4"/>
          <w:sz w:val="32"/>
          <w:szCs w:val="32"/>
        </w:rPr>
        <w:t>我单位对上述项目支出绩效评价报告内反映内容的真实性、完整性负责，接受上级部门及社会公众监督。</w:t>
      </w:r>
    </w:p>
    <w:sectPr>
      <w:footerReference r:id="rId3" w:type="default"/>
      <w:pgSz w:w="11906" w:h="16838"/>
      <w:pgMar w:top="1440" w:right="1558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19F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方正小标宋_GBK">
    <w:altName w:val="微软雅黑"/>
    <w:panose1 w:val="00000000000000000000"/>
    <w:charset w:val="86"/>
    <w:family w:val="script"/>
    <w:pitch w:val="default"/>
    <w:sig w:usb0="00000000" w:usb1="00000000" w:usb2="00000000" w:usb3="00000000" w:csb0="00040000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仿宋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方正楷体_GBK">
    <w:altName w:val="微软雅黑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422003363"/>
    </w:sdtPr>
    <w:sdtContent>
      <w:p>
        <w:pPr>
          <w:pStyle w:val="12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1</w:t>
        </w:r>
        <w:r>
          <w:fldChar w:fldCharType="end"/>
        </w:r>
      </w:p>
    </w:sdtContent>
  </w:sdt>
  <w:p>
    <w:pPr>
      <w:pStyle w:val="1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A6457"/>
    <w:rsid w:val="000110C4"/>
    <w:rsid w:val="00037D50"/>
    <w:rsid w:val="0005416C"/>
    <w:rsid w:val="00056465"/>
    <w:rsid w:val="000E0F73"/>
    <w:rsid w:val="001028C5"/>
    <w:rsid w:val="00102DFF"/>
    <w:rsid w:val="00121AE4"/>
    <w:rsid w:val="0014601B"/>
    <w:rsid w:val="00146AAD"/>
    <w:rsid w:val="00150F05"/>
    <w:rsid w:val="00187874"/>
    <w:rsid w:val="001B3A40"/>
    <w:rsid w:val="001F78EB"/>
    <w:rsid w:val="00273CCD"/>
    <w:rsid w:val="00291BC0"/>
    <w:rsid w:val="002A6E1A"/>
    <w:rsid w:val="002E53FC"/>
    <w:rsid w:val="00311DBE"/>
    <w:rsid w:val="00345DD7"/>
    <w:rsid w:val="00351EFF"/>
    <w:rsid w:val="003B0577"/>
    <w:rsid w:val="003B4B1E"/>
    <w:rsid w:val="003D114D"/>
    <w:rsid w:val="003E7E58"/>
    <w:rsid w:val="003F5180"/>
    <w:rsid w:val="00414C3A"/>
    <w:rsid w:val="004366A8"/>
    <w:rsid w:val="004A05EE"/>
    <w:rsid w:val="004C38BC"/>
    <w:rsid w:val="004F1F3C"/>
    <w:rsid w:val="00502BA7"/>
    <w:rsid w:val="005136F0"/>
    <w:rsid w:val="005162F1"/>
    <w:rsid w:val="00535153"/>
    <w:rsid w:val="00554F82"/>
    <w:rsid w:val="0056390D"/>
    <w:rsid w:val="005719B0"/>
    <w:rsid w:val="005A4F2E"/>
    <w:rsid w:val="005A5018"/>
    <w:rsid w:val="005C51DF"/>
    <w:rsid w:val="005D10D6"/>
    <w:rsid w:val="005E7C5E"/>
    <w:rsid w:val="006A1CC4"/>
    <w:rsid w:val="0075584F"/>
    <w:rsid w:val="0076216D"/>
    <w:rsid w:val="007A3C1F"/>
    <w:rsid w:val="007C0EA3"/>
    <w:rsid w:val="00810970"/>
    <w:rsid w:val="00855E3A"/>
    <w:rsid w:val="008C6C26"/>
    <w:rsid w:val="008F4CA9"/>
    <w:rsid w:val="0091457F"/>
    <w:rsid w:val="00922CB9"/>
    <w:rsid w:val="00925D36"/>
    <w:rsid w:val="00944DD1"/>
    <w:rsid w:val="00954232"/>
    <w:rsid w:val="009757D2"/>
    <w:rsid w:val="009B5C22"/>
    <w:rsid w:val="009E5CD9"/>
    <w:rsid w:val="009F4373"/>
    <w:rsid w:val="00A256D5"/>
    <w:rsid w:val="00A26421"/>
    <w:rsid w:val="00A34588"/>
    <w:rsid w:val="00A4017F"/>
    <w:rsid w:val="00A413B8"/>
    <w:rsid w:val="00A4293B"/>
    <w:rsid w:val="00A67D50"/>
    <w:rsid w:val="00A8691A"/>
    <w:rsid w:val="00A972DF"/>
    <w:rsid w:val="00AC1946"/>
    <w:rsid w:val="00AC3A96"/>
    <w:rsid w:val="00AD5E52"/>
    <w:rsid w:val="00AF683C"/>
    <w:rsid w:val="00B2343E"/>
    <w:rsid w:val="00B40063"/>
    <w:rsid w:val="00B41F61"/>
    <w:rsid w:val="00B425C7"/>
    <w:rsid w:val="00B53D26"/>
    <w:rsid w:val="00B74D04"/>
    <w:rsid w:val="00BA187C"/>
    <w:rsid w:val="00BA46E6"/>
    <w:rsid w:val="00BB5015"/>
    <w:rsid w:val="00C34DD1"/>
    <w:rsid w:val="00C56C72"/>
    <w:rsid w:val="00C62CB9"/>
    <w:rsid w:val="00CA5AD1"/>
    <w:rsid w:val="00CA6457"/>
    <w:rsid w:val="00CA6DC2"/>
    <w:rsid w:val="00CD37A4"/>
    <w:rsid w:val="00CE2FD9"/>
    <w:rsid w:val="00D032EA"/>
    <w:rsid w:val="00D17F2E"/>
    <w:rsid w:val="00D30354"/>
    <w:rsid w:val="00D40DCC"/>
    <w:rsid w:val="00D52B7C"/>
    <w:rsid w:val="00D80C1E"/>
    <w:rsid w:val="00D967F5"/>
    <w:rsid w:val="00DA4559"/>
    <w:rsid w:val="00DB1661"/>
    <w:rsid w:val="00DD3412"/>
    <w:rsid w:val="00DF42A0"/>
    <w:rsid w:val="00E30E91"/>
    <w:rsid w:val="00E655F7"/>
    <w:rsid w:val="00E7612A"/>
    <w:rsid w:val="00E769FE"/>
    <w:rsid w:val="00E774CE"/>
    <w:rsid w:val="00E96D03"/>
    <w:rsid w:val="00EA2CBE"/>
    <w:rsid w:val="00EB10A0"/>
    <w:rsid w:val="00F32FEE"/>
    <w:rsid w:val="00FB10BB"/>
    <w:rsid w:val="00FF3B44"/>
    <w:rsid w:val="2AE11386"/>
    <w:rsid w:val="2D4C6AD2"/>
    <w:rsid w:val="2D5A6638"/>
    <w:rsid w:val="340D5924"/>
    <w:rsid w:val="43B04001"/>
    <w:rsid w:val="4609551D"/>
    <w:rsid w:val="4D2606A1"/>
    <w:rsid w:val="4DD42C22"/>
    <w:rsid w:val="503863D1"/>
    <w:rsid w:val="50796DE0"/>
    <w:rsid w:val="5DA70C36"/>
    <w:rsid w:val="716B6B6A"/>
    <w:rsid w:val="7A780714"/>
    <w:rsid w:val="7C7B65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semiHidden="0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link w:val="20"/>
    <w:qFormat/>
    <w:uiPriority w:val="9"/>
    <w:pPr>
      <w:keepNext/>
      <w:widowControl/>
      <w:spacing w:before="240" w:after="60"/>
      <w:jc w:val="left"/>
      <w:outlineLvl w:val="0"/>
    </w:pPr>
    <w:rPr>
      <w:rFonts w:asciiTheme="majorHAnsi" w:hAnsiTheme="majorHAnsi" w:eastAsiaTheme="majorEastAsia"/>
      <w:b/>
      <w:bCs/>
      <w:kern w:val="32"/>
      <w:sz w:val="32"/>
      <w:szCs w:val="32"/>
    </w:rPr>
  </w:style>
  <w:style w:type="paragraph" w:styleId="3">
    <w:name w:val="heading 2"/>
    <w:basedOn w:val="1"/>
    <w:next w:val="1"/>
    <w:link w:val="21"/>
    <w:semiHidden/>
    <w:unhideWhenUsed/>
    <w:qFormat/>
    <w:uiPriority w:val="9"/>
    <w:pPr>
      <w:keepNext/>
      <w:widowControl/>
      <w:spacing w:before="240" w:after="60"/>
      <w:jc w:val="left"/>
      <w:outlineLvl w:val="1"/>
    </w:pPr>
    <w:rPr>
      <w:rFonts w:asciiTheme="majorHAnsi" w:hAnsiTheme="majorHAnsi" w:eastAsiaTheme="majorEastAsia"/>
      <w:b/>
      <w:bCs/>
      <w:i/>
      <w:iCs/>
      <w:kern w:val="0"/>
      <w:sz w:val="28"/>
      <w:szCs w:val="28"/>
    </w:rPr>
  </w:style>
  <w:style w:type="paragraph" w:styleId="4">
    <w:name w:val="heading 3"/>
    <w:basedOn w:val="1"/>
    <w:next w:val="1"/>
    <w:link w:val="22"/>
    <w:semiHidden/>
    <w:unhideWhenUsed/>
    <w:qFormat/>
    <w:uiPriority w:val="9"/>
    <w:pPr>
      <w:keepNext/>
      <w:widowControl/>
      <w:spacing w:before="240" w:after="60"/>
      <w:jc w:val="left"/>
      <w:outlineLvl w:val="2"/>
    </w:pPr>
    <w:rPr>
      <w:rFonts w:asciiTheme="majorHAnsi" w:hAnsiTheme="majorHAnsi" w:eastAsiaTheme="majorEastAsia"/>
      <w:b/>
      <w:bCs/>
      <w:kern w:val="0"/>
      <w:sz w:val="26"/>
      <w:szCs w:val="26"/>
    </w:rPr>
  </w:style>
  <w:style w:type="paragraph" w:styleId="5">
    <w:name w:val="heading 4"/>
    <w:basedOn w:val="1"/>
    <w:next w:val="1"/>
    <w:link w:val="23"/>
    <w:unhideWhenUsed/>
    <w:qFormat/>
    <w:uiPriority w:val="9"/>
    <w:pPr>
      <w:keepNext/>
      <w:widowControl/>
      <w:spacing w:before="240" w:after="60"/>
      <w:jc w:val="left"/>
      <w:outlineLvl w:val="3"/>
    </w:pPr>
    <w:rPr>
      <w:rFonts w:asciiTheme="minorHAnsi" w:hAnsiTheme="minorHAnsi" w:eastAsiaTheme="minorEastAsia"/>
      <w:b/>
      <w:bCs/>
      <w:kern w:val="0"/>
      <w:sz w:val="28"/>
      <w:szCs w:val="28"/>
    </w:rPr>
  </w:style>
  <w:style w:type="paragraph" w:styleId="6">
    <w:name w:val="heading 5"/>
    <w:basedOn w:val="1"/>
    <w:next w:val="1"/>
    <w:link w:val="24"/>
    <w:semiHidden/>
    <w:unhideWhenUsed/>
    <w:qFormat/>
    <w:uiPriority w:val="9"/>
    <w:pPr>
      <w:widowControl/>
      <w:spacing w:before="240" w:after="60"/>
      <w:jc w:val="left"/>
      <w:outlineLvl w:val="4"/>
    </w:pPr>
    <w:rPr>
      <w:rFonts w:asciiTheme="minorHAnsi" w:hAnsiTheme="minorHAnsi" w:eastAsiaTheme="minorEastAsia"/>
      <w:b/>
      <w:bCs/>
      <w:i/>
      <w:iCs/>
      <w:kern w:val="0"/>
      <w:sz w:val="26"/>
      <w:szCs w:val="26"/>
    </w:rPr>
  </w:style>
  <w:style w:type="paragraph" w:styleId="7">
    <w:name w:val="heading 6"/>
    <w:basedOn w:val="1"/>
    <w:next w:val="1"/>
    <w:link w:val="25"/>
    <w:semiHidden/>
    <w:unhideWhenUsed/>
    <w:qFormat/>
    <w:uiPriority w:val="9"/>
    <w:pPr>
      <w:widowControl/>
      <w:spacing w:before="240" w:after="60"/>
      <w:jc w:val="left"/>
      <w:outlineLvl w:val="5"/>
    </w:pPr>
    <w:rPr>
      <w:rFonts w:asciiTheme="minorHAnsi" w:hAnsiTheme="minorHAnsi" w:eastAsiaTheme="minorEastAsia"/>
      <w:b/>
      <w:bCs/>
      <w:kern w:val="0"/>
      <w:sz w:val="22"/>
      <w:szCs w:val="22"/>
    </w:rPr>
  </w:style>
  <w:style w:type="paragraph" w:styleId="8">
    <w:name w:val="heading 7"/>
    <w:basedOn w:val="1"/>
    <w:next w:val="1"/>
    <w:link w:val="26"/>
    <w:semiHidden/>
    <w:unhideWhenUsed/>
    <w:qFormat/>
    <w:uiPriority w:val="9"/>
    <w:pPr>
      <w:widowControl/>
      <w:spacing w:before="240" w:after="60"/>
      <w:jc w:val="left"/>
      <w:outlineLvl w:val="6"/>
    </w:pPr>
    <w:rPr>
      <w:rFonts w:asciiTheme="minorHAnsi" w:hAnsiTheme="minorHAnsi" w:eastAsiaTheme="minorEastAsia"/>
      <w:kern w:val="0"/>
      <w:sz w:val="24"/>
    </w:rPr>
  </w:style>
  <w:style w:type="paragraph" w:styleId="9">
    <w:name w:val="heading 8"/>
    <w:basedOn w:val="1"/>
    <w:next w:val="1"/>
    <w:link w:val="27"/>
    <w:semiHidden/>
    <w:unhideWhenUsed/>
    <w:qFormat/>
    <w:uiPriority w:val="9"/>
    <w:pPr>
      <w:widowControl/>
      <w:spacing w:before="240" w:after="60"/>
      <w:jc w:val="left"/>
      <w:outlineLvl w:val="7"/>
    </w:pPr>
    <w:rPr>
      <w:rFonts w:asciiTheme="minorHAnsi" w:hAnsiTheme="minorHAnsi" w:eastAsiaTheme="minorEastAsia"/>
      <w:i/>
      <w:iCs/>
      <w:kern w:val="0"/>
      <w:sz w:val="24"/>
    </w:rPr>
  </w:style>
  <w:style w:type="paragraph" w:styleId="10">
    <w:name w:val="heading 9"/>
    <w:basedOn w:val="1"/>
    <w:next w:val="1"/>
    <w:link w:val="28"/>
    <w:semiHidden/>
    <w:unhideWhenUsed/>
    <w:qFormat/>
    <w:uiPriority w:val="9"/>
    <w:pPr>
      <w:widowControl/>
      <w:spacing w:before="240" w:after="60"/>
      <w:jc w:val="left"/>
      <w:outlineLvl w:val="8"/>
    </w:pPr>
    <w:rPr>
      <w:rFonts w:asciiTheme="majorHAnsi" w:hAnsiTheme="majorHAnsi" w:eastAsiaTheme="majorEastAsia"/>
      <w:kern w:val="0"/>
      <w:sz w:val="22"/>
      <w:szCs w:val="22"/>
    </w:rPr>
  </w:style>
  <w:style w:type="character" w:default="1" w:styleId="17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Balloon Text"/>
    <w:basedOn w:val="1"/>
    <w:link w:val="45"/>
    <w:semiHidden/>
    <w:unhideWhenUsed/>
    <w:qFormat/>
    <w:uiPriority w:val="99"/>
    <w:rPr>
      <w:sz w:val="18"/>
      <w:szCs w:val="18"/>
    </w:rPr>
  </w:style>
  <w:style w:type="paragraph" w:styleId="12">
    <w:name w:val="footer"/>
    <w:basedOn w:val="1"/>
    <w:link w:val="4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="Calibri" w:hAnsi="Calibri"/>
      <w:sz w:val="18"/>
      <w:szCs w:val="18"/>
    </w:rPr>
  </w:style>
  <w:style w:type="paragraph" w:styleId="13">
    <w:name w:val="header"/>
    <w:basedOn w:val="1"/>
    <w:link w:val="4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Calibri" w:hAnsi="Calibri"/>
      <w:sz w:val="18"/>
      <w:szCs w:val="18"/>
    </w:rPr>
  </w:style>
  <w:style w:type="paragraph" w:styleId="14">
    <w:name w:val="Subtitle"/>
    <w:basedOn w:val="1"/>
    <w:next w:val="1"/>
    <w:link w:val="30"/>
    <w:qFormat/>
    <w:uiPriority w:val="11"/>
    <w:pPr>
      <w:widowControl/>
      <w:spacing w:after="60"/>
      <w:jc w:val="center"/>
      <w:outlineLvl w:val="1"/>
    </w:pPr>
    <w:rPr>
      <w:rFonts w:asciiTheme="majorHAnsi" w:hAnsiTheme="majorHAnsi" w:eastAsiaTheme="majorEastAsia"/>
      <w:kern w:val="0"/>
      <w:sz w:val="24"/>
    </w:rPr>
  </w:style>
  <w:style w:type="paragraph" w:styleId="15">
    <w:name w:val="Title"/>
    <w:basedOn w:val="1"/>
    <w:next w:val="1"/>
    <w:link w:val="29"/>
    <w:qFormat/>
    <w:uiPriority w:val="10"/>
    <w:pPr>
      <w:widowControl/>
      <w:spacing w:before="240" w:after="60"/>
      <w:jc w:val="center"/>
      <w:outlineLvl w:val="0"/>
    </w:pPr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styleId="18">
    <w:name w:val="Strong"/>
    <w:basedOn w:val="17"/>
    <w:qFormat/>
    <w:uiPriority w:val="0"/>
    <w:rPr>
      <w:b/>
      <w:bCs/>
    </w:rPr>
  </w:style>
  <w:style w:type="character" w:styleId="19">
    <w:name w:val="Emphasis"/>
    <w:basedOn w:val="17"/>
    <w:qFormat/>
    <w:uiPriority w:val="20"/>
    <w:rPr>
      <w:rFonts w:asciiTheme="minorHAnsi" w:hAnsiTheme="minorHAnsi"/>
      <w:b/>
      <w:i/>
      <w:iCs/>
    </w:rPr>
  </w:style>
  <w:style w:type="character" w:customStyle="1" w:styleId="20">
    <w:name w:val="标题 1 字符"/>
    <w:basedOn w:val="17"/>
    <w:link w:val="2"/>
    <w:qFormat/>
    <w:uiPriority w:val="9"/>
    <w:rPr>
      <w:rFonts w:asciiTheme="majorHAnsi" w:hAnsiTheme="majorHAnsi" w:eastAsiaTheme="majorEastAsia"/>
      <w:b/>
      <w:bCs/>
      <w:kern w:val="32"/>
      <w:sz w:val="32"/>
      <w:szCs w:val="32"/>
    </w:rPr>
  </w:style>
  <w:style w:type="character" w:customStyle="1" w:styleId="21">
    <w:name w:val="标题 2 字符"/>
    <w:basedOn w:val="17"/>
    <w:link w:val="3"/>
    <w:semiHidden/>
    <w:qFormat/>
    <w:uiPriority w:val="9"/>
    <w:rPr>
      <w:rFonts w:asciiTheme="majorHAnsi" w:hAnsiTheme="majorHAnsi" w:eastAsiaTheme="majorEastAsia"/>
      <w:b/>
      <w:bCs/>
      <w:i/>
      <w:iCs/>
      <w:sz w:val="28"/>
      <w:szCs w:val="28"/>
    </w:rPr>
  </w:style>
  <w:style w:type="character" w:customStyle="1" w:styleId="22">
    <w:name w:val="标题 3 字符"/>
    <w:basedOn w:val="17"/>
    <w:link w:val="4"/>
    <w:semiHidden/>
    <w:qFormat/>
    <w:uiPriority w:val="9"/>
    <w:rPr>
      <w:rFonts w:asciiTheme="majorHAnsi" w:hAnsiTheme="majorHAnsi" w:eastAsiaTheme="majorEastAsia"/>
      <w:b/>
      <w:bCs/>
      <w:sz w:val="26"/>
      <w:szCs w:val="26"/>
    </w:rPr>
  </w:style>
  <w:style w:type="character" w:customStyle="1" w:styleId="23">
    <w:name w:val="标题 4 字符"/>
    <w:basedOn w:val="17"/>
    <w:link w:val="5"/>
    <w:qFormat/>
    <w:uiPriority w:val="9"/>
    <w:rPr>
      <w:b/>
      <w:bCs/>
      <w:sz w:val="28"/>
      <w:szCs w:val="28"/>
    </w:rPr>
  </w:style>
  <w:style w:type="character" w:customStyle="1" w:styleId="24">
    <w:name w:val="标题 5 字符"/>
    <w:basedOn w:val="17"/>
    <w:link w:val="6"/>
    <w:semiHidden/>
    <w:qFormat/>
    <w:uiPriority w:val="9"/>
    <w:rPr>
      <w:b/>
      <w:bCs/>
      <w:i/>
      <w:iCs/>
      <w:sz w:val="26"/>
      <w:szCs w:val="26"/>
    </w:rPr>
  </w:style>
  <w:style w:type="character" w:customStyle="1" w:styleId="25">
    <w:name w:val="标题 6 字符"/>
    <w:basedOn w:val="17"/>
    <w:link w:val="7"/>
    <w:semiHidden/>
    <w:qFormat/>
    <w:uiPriority w:val="9"/>
    <w:rPr>
      <w:b/>
      <w:bCs/>
    </w:rPr>
  </w:style>
  <w:style w:type="character" w:customStyle="1" w:styleId="26">
    <w:name w:val="标题 7 字符"/>
    <w:basedOn w:val="17"/>
    <w:link w:val="8"/>
    <w:semiHidden/>
    <w:qFormat/>
    <w:uiPriority w:val="9"/>
    <w:rPr>
      <w:sz w:val="24"/>
      <w:szCs w:val="24"/>
    </w:rPr>
  </w:style>
  <w:style w:type="character" w:customStyle="1" w:styleId="27">
    <w:name w:val="标题 8 字符"/>
    <w:basedOn w:val="17"/>
    <w:link w:val="9"/>
    <w:semiHidden/>
    <w:qFormat/>
    <w:uiPriority w:val="9"/>
    <w:rPr>
      <w:i/>
      <w:iCs/>
      <w:sz w:val="24"/>
      <w:szCs w:val="24"/>
    </w:rPr>
  </w:style>
  <w:style w:type="character" w:customStyle="1" w:styleId="28">
    <w:name w:val="标题 9 字符"/>
    <w:basedOn w:val="17"/>
    <w:link w:val="10"/>
    <w:semiHidden/>
    <w:qFormat/>
    <w:uiPriority w:val="9"/>
    <w:rPr>
      <w:rFonts w:asciiTheme="majorHAnsi" w:hAnsiTheme="majorHAnsi" w:eastAsiaTheme="majorEastAsia"/>
    </w:rPr>
  </w:style>
  <w:style w:type="character" w:customStyle="1" w:styleId="29">
    <w:name w:val="标题 字符"/>
    <w:basedOn w:val="17"/>
    <w:link w:val="15"/>
    <w:qFormat/>
    <w:uiPriority w:val="10"/>
    <w:rPr>
      <w:rFonts w:asciiTheme="majorHAnsi" w:hAnsiTheme="majorHAnsi" w:eastAsiaTheme="majorEastAsia"/>
      <w:b/>
      <w:bCs/>
      <w:kern w:val="28"/>
      <w:sz w:val="32"/>
      <w:szCs w:val="32"/>
    </w:rPr>
  </w:style>
  <w:style w:type="character" w:customStyle="1" w:styleId="30">
    <w:name w:val="副标题 字符"/>
    <w:basedOn w:val="17"/>
    <w:link w:val="14"/>
    <w:qFormat/>
    <w:uiPriority w:val="11"/>
    <w:rPr>
      <w:rFonts w:asciiTheme="majorHAnsi" w:hAnsiTheme="majorHAnsi" w:eastAsiaTheme="majorEastAsia"/>
      <w:sz w:val="24"/>
      <w:szCs w:val="24"/>
    </w:rPr>
  </w:style>
  <w:style w:type="paragraph" w:styleId="31">
    <w:name w:val="No Spacing"/>
    <w:basedOn w:val="1"/>
    <w:qFormat/>
    <w:uiPriority w:val="1"/>
    <w:pPr>
      <w:widowControl/>
      <w:jc w:val="left"/>
    </w:pPr>
    <w:rPr>
      <w:rFonts w:asciiTheme="minorHAnsi" w:hAnsiTheme="minorHAnsi" w:eastAsiaTheme="minorEastAsia"/>
      <w:kern w:val="0"/>
      <w:sz w:val="24"/>
      <w:szCs w:val="32"/>
      <w:lang w:eastAsia="en-US" w:bidi="en-US"/>
    </w:rPr>
  </w:style>
  <w:style w:type="paragraph" w:styleId="32">
    <w:name w:val="List Paragraph"/>
    <w:basedOn w:val="1"/>
    <w:qFormat/>
    <w:uiPriority w:val="34"/>
    <w:pPr>
      <w:widowControl/>
      <w:ind w:left="720"/>
      <w:contextualSpacing/>
      <w:jc w:val="left"/>
    </w:pPr>
    <w:rPr>
      <w:rFonts w:asciiTheme="minorHAnsi" w:hAnsiTheme="minorHAnsi" w:eastAsiaTheme="minorEastAsia"/>
      <w:kern w:val="0"/>
      <w:sz w:val="24"/>
      <w:lang w:eastAsia="en-US" w:bidi="en-US"/>
    </w:rPr>
  </w:style>
  <w:style w:type="paragraph" w:styleId="33">
    <w:name w:val="Quote"/>
    <w:basedOn w:val="1"/>
    <w:next w:val="1"/>
    <w:link w:val="34"/>
    <w:qFormat/>
    <w:uiPriority w:val="29"/>
    <w:pPr>
      <w:widowControl/>
      <w:jc w:val="left"/>
    </w:pPr>
    <w:rPr>
      <w:rFonts w:asciiTheme="minorHAnsi" w:hAnsiTheme="minorHAnsi" w:eastAsiaTheme="minorEastAsia"/>
      <w:i/>
      <w:kern w:val="0"/>
      <w:sz w:val="24"/>
    </w:rPr>
  </w:style>
  <w:style w:type="character" w:customStyle="1" w:styleId="34">
    <w:name w:val="引用 字符"/>
    <w:basedOn w:val="17"/>
    <w:link w:val="33"/>
    <w:qFormat/>
    <w:uiPriority w:val="29"/>
    <w:rPr>
      <w:i/>
      <w:sz w:val="24"/>
      <w:szCs w:val="24"/>
    </w:rPr>
  </w:style>
  <w:style w:type="paragraph" w:styleId="35">
    <w:name w:val="Intense Quote"/>
    <w:basedOn w:val="1"/>
    <w:next w:val="1"/>
    <w:link w:val="36"/>
    <w:qFormat/>
    <w:uiPriority w:val="30"/>
    <w:pPr>
      <w:widowControl/>
      <w:ind w:left="720" w:right="720"/>
      <w:jc w:val="left"/>
    </w:pPr>
    <w:rPr>
      <w:rFonts w:asciiTheme="minorHAnsi" w:hAnsiTheme="minorHAnsi" w:eastAsiaTheme="minorEastAsia"/>
      <w:b/>
      <w:i/>
      <w:kern w:val="0"/>
      <w:sz w:val="24"/>
      <w:szCs w:val="22"/>
    </w:rPr>
  </w:style>
  <w:style w:type="character" w:customStyle="1" w:styleId="36">
    <w:name w:val="明显引用 字符"/>
    <w:basedOn w:val="17"/>
    <w:link w:val="35"/>
    <w:qFormat/>
    <w:uiPriority w:val="30"/>
    <w:rPr>
      <w:b/>
      <w:i/>
      <w:sz w:val="24"/>
    </w:rPr>
  </w:style>
  <w:style w:type="character" w:customStyle="1" w:styleId="37">
    <w:name w:val="不明显强调1"/>
    <w:qFormat/>
    <w:uiPriority w:val="19"/>
    <w:rPr>
      <w:i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8">
    <w:name w:val="明显强调1"/>
    <w:basedOn w:val="17"/>
    <w:qFormat/>
    <w:uiPriority w:val="21"/>
    <w:rPr>
      <w:b/>
      <w:i/>
      <w:sz w:val="24"/>
      <w:szCs w:val="24"/>
      <w:u w:val="single"/>
    </w:rPr>
  </w:style>
  <w:style w:type="character" w:customStyle="1" w:styleId="39">
    <w:name w:val="不明显参考1"/>
    <w:basedOn w:val="17"/>
    <w:qFormat/>
    <w:uiPriority w:val="31"/>
    <w:rPr>
      <w:sz w:val="24"/>
      <w:szCs w:val="24"/>
      <w:u w:val="single"/>
    </w:rPr>
  </w:style>
  <w:style w:type="character" w:customStyle="1" w:styleId="40">
    <w:name w:val="明显参考1"/>
    <w:basedOn w:val="17"/>
    <w:qFormat/>
    <w:uiPriority w:val="32"/>
    <w:rPr>
      <w:b/>
      <w:sz w:val="24"/>
      <w:u w:val="single"/>
    </w:rPr>
  </w:style>
  <w:style w:type="character" w:customStyle="1" w:styleId="41">
    <w:name w:val="书籍标题1"/>
    <w:basedOn w:val="17"/>
    <w:qFormat/>
    <w:uiPriority w:val="33"/>
    <w:rPr>
      <w:rFonts w:asciiTheme="majorHAnsi" w:hAnsiTheme="majorHAnsi" w:eastAsiaTheme="majorEastAsia"/>
      <w:b/>
      <w:i/>
      <w:sz w:val="24"/>
      <w:szCs w:val="24"/>
    </w:rPr>
  </w:style>
  <w:style w:type="paragraph" w:customStyle="1" w:styleId="42">
    <w:name w:val="TOC 标题1"/>
    <w:basedOn w:val="2"/>
    <w:next w:val="1"/>
    <w:semiHidden/>
    <w:unhideWhenUsed/>
    <w:qFormat/>
    <w:uiPriority w:val="39"/>
    <w:pPr>
      <w:outlineLvl w:val="9"/>
    </w:pPr>
    <w:rPr>
      <w:lang w:eastAsia="en-US" w:bidi="en-US"/>
    </w:rPr>
  </w:style>
  <w:style w:type="character" w:customStyle="1" w:styleId="43">
    <w:name w:val="页眉 字符"/>
    <w:basedOn w:val="17"/>
    <w:link w:val="13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4">
    <w:name w:val="页脚 字符"/>
    <w:basedOn w:val="17"/>
    <w:link w:val="12"/>
    <w:qFormat/>
    <w:uiPriority w:val="99"/>
    <w:rPr>
      <w:rFonts w:ascii="Calibri" w:hAnsi="Calibri" w:eastAsia="宋体"/>
      <w:kern w:val="2"/>
      <w:sz w:val="18"/>
      <w:szCs w:val="18"/>
    </w:rPr>
  </w:style>
  <w:style w:type="character" w:customStyle="1" w:styleId="45">
    <w:name w:val="批注框文本 字符"/>
    <w:basedOn w:val="17"/>
    <w:link w:val="11"/>
    <w:semiHidden/>
    <w:qFormat/>
    <w:uiPriority w:val="99"/>
    <w:rPr>
      <w:rFonts w:ascii="Times New Roman" w:hAnsi="Times New Roman" w:eastAsia="宋体"/>
      <w:kern w:val="2"/>
      <w:sz w:val="18"/>
      <w:szCs w:val="18"/>
    </w:rPr>
  </w:style>
</w:styles>
</file>

<file path=word/_rels/document.xml.rels><?xml version="1.0" encoding="UTF-8" standalone="no"?>
<Relationships xmlns="http://schemas.openxmlformats.org/package/2006/relationships">
<Relationship Id="rId1" Target="styles.xml" Type="http://schemas.openxmlformats.org/officeDocument/2006/relationships/styles"/>
<Relationship Id="rId2" Target="settings.xml" Type="http://schemas.openxmlformats.org/officeDocument/2006/relationships/settings"/>
<Relationship Id="rId3" Target="footer1.xml" Type="http://schemas.openxmlformats.org/officeDocument/2006/relationships/footer"/>
<Relationship Id="rId4" Target="theme/theme1.xml" Type="http://schemas.openxmlformats.org/officeDocument/2006/relationships/theme"/>
<Relationship Id="rId5" Target="../customXml/item1.xml" Type="http://schemas.openxmlformats.org/officeDocument/2006/relationships/customXml"/>
<Relationship Id="rId6" Target="fontTable.xml" Type="http://schemas.openxmlformats.org/officeDocument/2006/relationships/fontTable"/>
</Relationships>
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no"?>
<Relationships xmlns="http://schemas.openxmlformats.org/package/2006/relationships">
<Relationship Id="rId1" Target="itemProps1.xml" Type="http://schemas.openxmlformats.org/officeDocument/2006/relationships/customXmlProps"/>
</Relationships>
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110</Words>
  <Characters>633</Characters>
  <Lines>5</Lines>
  <Paragraphs>1</Paragraphs>
  <TotalTime>1</TotalTime>
  <ScaleCrop>false</ScaleCrop>
  <LinksUpToDate>false</LinksUpToDate>
  <CharactersWithSpaces>742</CharactersWithSpaces>
  <Application>WPS Office_11.1.0.10132_F1E327BC-269C-435d-A152-05C5408002CA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2022-01-14T05:11:00Z</dcterms:created>
  <dc:creator>赵 恺（预算处）</dc:creator>
  <cp:lastModifiedBy>admin</cp:lastModifiedBy>
  <cp:lastPrinted>2018-12-31T10:56:00Z</cp:lastPrinted>
  <dcterms:modified xsi:type="dcterms:W3CDTF">2023-08-14T08:17:32Z</dcterms:modified>
  <cp:revision>19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2052-11.1.0.10132</vt:lpwstr>
  </property>
</Properties>
</file>