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3EC1B7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英吉沙县农村合作经济发展中心</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551F2EC">
      <w:r>
        <w:br w:type="page"/>
      </w:r>
    </w:p>
    <w:p w14:paraId="011E9D77">
      <w:pPr>
        <w:spacing w:line="640" w:lineRule="exact"/>
        <w:jc w:val="center"/>
        <w:outlineLvl w:val="1"/>
      </w:pPr>
      <w:r>
        <w:rPr>
          <w:rFonts w:ascii="黑体" w:hAnsi="黑体" w:eastAsia="黑体"/>
          <w:sz w:val="32"/>
        </w:rPr>
        <w:t>第一部分 单位概况</w:t>
      </w:r>
    </w:p>
    <w:p w14:paraId="4309AF90">
      <w:pPr>
        <w:spacing w:line="640" w:lineRule="exact"/>
        <w:ind w:firstLine="640"/>
        <w:jc w:val="both"/>
        <w:outlineLvl w:val="2"/>
      </w:pPr>
      <w:r>
        <w:rPr>
          <w:rFonts w:ascii="黑体" w:hAnsi="黑体" w:eastAsia="黑体"/>
          <w:sz w:val="32"/>
        </w:rPr>
        <w:t>一、主要职能</w:t>
      </w:r>
    </w:p>
    <w:p w14:paraId="0ACFA9D9">
      <w:pPr>
        <w:spacing w:line="580" w:lineRule="exact"/>
        <w:ind w:firstLine="640"/>
        <w:jc w:val="both"/>
      </w:pPr>
      <w:r>
        <w:rPr>
          <w:rFonts w:ascii="仿宋_GB2312" w:hAnsi="仿宋_GB2312" w:eastAsia="仿宋_GB2312"/>
          <w:sz w:val="32"/>
        </w:rPr>
        <w:t>（一）贯彻执行国家、自治区有关法律法规和方针政策。</w:t>
      </w:r>
    </w:p>
    <w:p w14:paraId="10AA7CF9">
      <w:pPr>
        <w:spacing w:line="580" w:lineRule="exact"/>
        <w:ind w:firstLine="640"/>
        <w:jc w:val="both"/>
      </w:pPr>
      <w:r>
        <w:rPr>
          <w:rFonts w:ascii="仿宋_GB2312" w:hAnsi="仿宋_GB2312" w:eastAsia="仿宋_GB2312"/>
          <w:sz w:val="32"/>
        </w:rPr>
        <w:t>（二）承担农民专业合作社、家庭农场、大户规范建立、运作及人才培育。</w:t>
      </w:r>
    </w:p>
    <w:p w14:paraId="7B775D0E">
      <w:pPr>
        <w:spacing w:line="580" w:lineRule="exact"/>
        <w:ind w:firstLine="640"/>
        <w:jc w:val="both"/>
      </w:pPr>
      <w:r>
        <w:rPr>
          <w:rFonts w:ascii="仿宋_GB2312" w:hAnsi="仿宋_GB2312" w:eastAsia="仿宋_GB2312"/>
          <w:sz w:val="32"/>
        </w:rPr>
        <w:t>（三）开展农业社会化服务体系建设，指导农业生产性服务组织规范发展。</w:t>
      </w:r>
    </w:p>
    <w:p w14:paraId="03E18D23">
      <w:pPr>
        <w:spacing w:line="580" w:lineRule="exact"/>
        <w:ind w:firstLine="640"/>
        <w:jc w:val="both"/>
      </w:pPr>
      <w:r>
        <w:rPr>
          <w:rFonts w:ascii="仿宋_GB2312" w:hAnsi="仿宋_GB2312" w:eastAsia="仿宋_GB2312"/>
          <w:sz w:val="32"/>
        </w:rPr>
        <w:t>（四）提出培育新型农业经营主体、健全新型农业经营体系的指导措施。</w:t>
      </w:r>
    </w:p>
    <w:p w14:paraId="7D207CA5">
      <w:pPr>
        <w:spacing w:line="580" w:lineRule="exact"/>
        <w:ind w:firstLine="640"/>
        <w:jc w:val="both"/>
      </w:pPr>
      <w:r>
        <w:rPr>
          <w:rFonts w:ascii="仿宋_GB2312" w:hAnsi="仿宋_GB2312" w:eastAsia="仿宋_GB2312"/>
          <w:sz w:val="32"/>
        </w:rPr>
        <w:t>（五）承担全县农村土地经营权流转指导服务工作。</w:t>
      </w:r>
    </w:p>
    <w:p w14:paraId="46193A1D">
      <w:pPr>
        <w:spacing w:line="580" w:lineRule="exact"/>
        <w:ind w:firstLine="640"/>
        <w:jc w:val="both"/>
      </w:pPr>
      <w:r>
        <w:rPr>
          <w:rFonts w:ascii="仿宋_GB2312" w:hAnsi="仿宋_GB2312" w:eastAsia="仿宋_GB2312"/>
          <w:sz w:val="32"/>
        </w:rPr>
        <w:t>（六）承担农民承包地改革指导服务、农村集体产权制度改革指导服务和信访工作。</w:t>
      </w:r>
    </w:p>
    <w:p w14:paraId="66FAC5BB">
      <w:pPr>
        <w:spacing w:line="580" w:lineRule="exact"/>
        <w:ind w:firstLine="640"/>
        <w:jc w:val="both"/>
      </w:pPr>
      <w:r>
        <w:rPr>
          <w:rFonts w:ascii="仿宋_GB2312" w:hAnsi="仿宋_GB2312" w:eastAsia="仿宋_GB2312"/>
          <w:sz w:val="32"/>
        </w:rPr>
        <w:t>（七）承担农村集体经济组织登记赋码和规范化建设。</w:t>
      </w:r>
    </w:p>
    <w:p w14:paraId="4A98B5FD">
      <w:pPr>
        <w:spacing w:line="580" w:lineRule="exact"/>
        <w:ind w:firstLine="640"/>
        <w:jc w:val="both"/>
      </w:pPr>
      <w:r>
        <w:rPr>
          <w:rFonts w:ascii="仿宋_GB2312" w:hAnsi="仿宋_GB2312" w:eastAsia="仿宋_GB2312"/>
          <w:sz w:val="32"/>
        </w:rPr>
        <w:t>（八）承担农村宅基地分配、使用、流转、纠纷</w:t>
      </w:r>
      <w:r>
        <w:rPr>
          <w:rFonts w:hint="eastAsia" w:ascii="仿宋_GB2312" w:hAnsi="仿宋_GB2312" w:eastAsia="仿宋_GB2312"/>
          <w:sz w:val="32"/>
          <w:lang w:eastAsia="zh-CN"/>
        </w:rPr>
        <w:t>调解</w:t>
      </w:r>
      <w:r>
        <w:rPr>
          <w:rFonts w:ascii="仿宋_GB2312" w:hAnsi="仿宋_GB2312" w:eastAsia="仿宋_GB2312"/>
          <w:sz w:val="32"/>
        </w:rPr>
        <w:t>和合理布局、用地标准工作。</w:t>
      </w:r>
    </w:p>
    <w:p w14:paraId="591717F4">
      <w:pPr>
        <w:spacing w:line="580" w:lineRule="exact"/>
        <w:ind w:firstLine="640"/>
        <w:jc w:val="both"/>
      </w:pPr>
      <w:r>
        <w:rPr>
          <w:rFonts w:ascii="仿宋_GB2312" w:hAnsi="仿宋_GB2312" w:eastAsia="仿宋_GB2312"/>
          <w:sz w:val="32"/>
        </w:rPr>
        <w:t>（九）承担闲置宅基地和闲置农房合理利用工作。</w:t>
      </w:r>
    </w:p>
    <w:p w14:paraId="113BB337">
      <w:pPr>
        <w:spacing w:line="580" w:lineRule="exact"/>
        <w:ind w:firstLine="640"/>
        <w:jc w:val="both"/>
      </w:pPr>
      <w:r>
        <w:rPr>
          <w:rFonts w:ascii="仿宋_GB2312" w:hAnsi="仿宋_GB2312" w:eastAsia="仿宋_GB2312"/>
          <w:sz w:val="32"/>
        </w:rPr>
        <w:t>（十）指导农村集体资产和财务管理。</w:t>
      </w:r>
    </w:p>
    <w:p w14:paraId="7DF4EDF2">
      <w:pPr>
        <w:spacing w:line="580" w:lineRule="exact"/>
        <w:ind w:firstLine="640"/>
        <w:jc w:val="both"/>
      </w:pPr>
      <w:r>
        <w:rPr>
          <w:rFonts w:ascii="仿宋_GB2312" w:hAnsi="仿宋_GB2312" w:eastAsia="仿宋_GB2312"/>
          <w:sz w:val="32"/>
        </w:rPr>
        <w:t>（十一）指导农村集体财务会计业务和经济审计工作。</w:t>
      </w:r>
    </w:p>
    <w:p w14:paraId="7B93A0FC">
      <w:pPr>
        <w:spacing w:line="580" w:lineRule="exact"/>
        <w:ind w:firstLine="640"/>
        <w:jc w:val="both"/>
      </w:pPr>
      <w:r>
        <w:rPr>
          <w:rFonts w:ascii="仿宋_GB2312" w:hAnsi="仿宋_GB2312" w:eastAsia="仿宋_GB2312"/>
          <w:sz w:val="32"/>
        </w:rPr>
        <w:t>（十二）承担农村经营管理信息化平台建设、运行和维护工作。</w:t>
      </w:r>
    </w:p>
    <w:p w14:paraId="1A69BF41">
      <w:pPr>
        <w:spacing w:line="580" w:lineRule="exact"/>
        <w:ind w:firstLine="640"/>
        <w:jc w:val="both"/>
      </w:pPr>
      <w:r>
        <w:rPr>
          <w:rFonts w:ascii="仿宋_GB2312" w:hAnsi="仿宋_GB2312" w:eastAsia="仿宋_GB2312"/>
          <w:sz w:val="32"/>
        </w:rPr>
        <w:t>（十三）收集、整理农村经营管理统计数据。</w:t>
      </w:r>
    </w:p>
    <w:p w14:paraId="7E50623A">
      <w:pPr>
        <w:spacing w:line="580" w:lineRule="exact"/>
        <w:ind w:firstLine="640"/>
        <w:jc w:val="both"/>
      </w:pPr>
      <w:r>
        <w:rPr>
          <w:rFonts w:ascii="仿宋_GB2312" w:hAnsi="仿宋_GB2312" w:eastAsia="仿宋_GB2312"/>
          <w:sz w:val="32"/>
        </w:rPr>
        <w:t>（十四）承担全县农村经济收益分配统计汇总工作。</w:t>
      </w:r>
    </w:p>
    <w:p w14:paraId="0C3D5D12">
      <w:pPr>
        <w:spacing w:line="580" w:lineRule="exact"/>
        <w:ind w:firstLine="640"/>
        <w:jc w:val="both"/>
      </w:pPr>
      <w:r>
        <w:rPr>
          <w:rFonts w:ascii="仿宋_GB2312" w:hAnsi="仿宋_GB2312" w:eastAsia="仿宋_GB2312"/>
          <w:sz w:val="32"/>
        </w:rPr>
        <w:t>（十五）承担农村合作经济发展相关业务培训工作。</w:t>
      </w:r>
    </w:p>
    <w:p w14:paraId="038C00B4">
      <w:pPr>
        <w:spacing w:line="580" w:lineRule="exact"/>
        <w:ind w:firstLine="640"/>
        <w:jc w:val="both"/>
      </w:pPr>
      <w:r>
        <w:rPr>
          <w:rFonts w:ascii="仿宋_GB2312" w:hAnsi="仿宋_GB2312" w:eastAsia="仿宋_GB2312"/>
          <w:sz w:val="32"/>
        </w:rPr>
        <w:t>（十六）完成县农业农村局交办的其他任务。</w:t>
      </w:r>
    </w:p>
    <w:p w14:paraId="722A9A6B">
      <w:pPr>
        <w:spacing w:line="580" w:lineRule="exact"/>
        <w:ind w:firstLine="640"/>
        <w:jc w:val="both"/>
      </w:pPr>
      <w:r>
        <w:rPr>
          <w:rFonts w:ascii="仿宋_GB2312" w:hAnsi="仿宋_GB2312" w:eastAsia="仿宋_GB2312"/>
          <w:sz w:val="32"/>
        </w:rPr>
        <w:t>（十七）承办县委、县人民政府交办的其他事项。</w:t>
      </w:r>
    </w:p>
    <w:p w14:paraId="3F131FF6">
      <w:pPr>
        <w:spacing w:line="640" w:lineRule="exact"/>
        <w:ind w:firstLine="640"/>
        <w:jc w:val="both"/>
        <w:outlineLvl w:val="2"/>
      </w:pPr>
      <w:r>
        <w:rPr>
          <w:rFonts w:ascii="黑体" w:hAnsi="黑体" w:eastAsia="黑体"/>
          <w:sz w:val="32"/>
        </w:rPr>
        <w:t>二、机构设置及人员情况</w:t>
      </w:r>
    </w:p>
    <w:p w14:paraId="6DC4E32B">
      <w:pPr>
        <w:spacing w:line="580" w:lineRule="exact"/>
        <w:ind w:firstLine="640"/>
        <w:jc w:val="both"/>
      </w:pPr>
      <w:r>
        <w:rPr>
          <w:rFonts w:ascii="仿宋_GB2312" w:hAnsi="仿宋_GB2312" w:eastAsia="仿宋_GB2312"/>
          <w:sz w:val="32"/>
        </w:rPr>
        <w:t>英吉沙县农村合作经济发展中心2024年度，实有人数19人，其中：在职人员11人，减少1人；离休人员0人，增加0人；退休人员8人,增加0人。</w:t>
      </w:r>
    </w:p>
    <w:p w14:paraId="1F2BC4FC">
      <w:pPr>
        <w:spacing w:line="580" w:lineRule="exact"/>
        <w:ind w:firstLine="640"/>
        <w:jc w:val="both"/>
      </w:pPr>
      <w:r>
        <w:rPr>
          <w:rFonts w:ascii="仿宋_GB2312" w:hAnsi="仿宋_GB2312" w:eastAsia="仿宋_GB2312"/>
          <w:sz w:val="32"/>
        </w:rPr>
        <w:t>英吉沙县农村合作经济发展中心无下属预算单位，下设4个科室，分别是：办公室、审计室、财务室、统计室。</w:t>
      </w:r>
    </w:p>
    <w:p w14:paraId="52DD73C8">
      <w:r>
        <w:br w:type="page"/>
      </w:r>
    </w:p>
    <w:p w14:paraId="44B7FF62">
      <w:pPr>
        <w:spacing w:line="240" w:lineRule="auto"/>
        <w:jc w:val="center"/>
        <w:outlineLvl w:val="1"/>
      </w:pPr>
      <w:r>
        <w:rPr>
          <w:rFonts w:ascii="黑体" w:hAnsi="黑体" w:eastAsia="黑体"/>
          <w:sz w:val="32"/>
        </w:rPr>
        <w:t>第二部分 部门决算情况说明</w:t>
      </w:r>
    </w:p>
    <w:p w14:paraId="6187DE5E">
      <w:pPr>
        <w:spacing w:line="640" w:lineRule="exact"/>
        <w:ind w:firstLine="640"/>
        <w:jc w:val="both"/>
        <w:outlineLvl w:val="2"/>
      </w:pPr>
      <w:r>
        <w:rPr>
          <w:rFonts w:ascii="黑体" w:hAnsi="黑体" w:eastAsia="黑体"/>
          <w:sz w:val="32"/>
        </w:rPr>
        <w:t>一、收入支出决算总体情况说明</w:t>
      </w:r>
    </w:p>
    <w:p w14:paraId="04BE23DB">
      <w:pPr>
        <w:spacing w:line="580" w:lineRule="exact"/>
        <w:ind w:firstLine="640"/>
        <w:jc w:val="both"/>
      </w:pPr>
      <w:r>
        <w:rPr>
          <w:rFonts w:ascii="仿宋_GB2312" w:hAnsi="仿宋_GB2312" w:eastAsia="仿宋_GB2312"/>
          <w:b/>
          <w:sz w:val="32"/>
        </w:rPr>
        <w:t>2024年度收入总计569.85万元，</w:t>
      </w:r>
      <w:r>
        <w:rPr>
          <w:rFonts w:ascii="仿宋_GB2312" w:hAnsi="仿宋_GB2312" w:eastAsia="仿宋_GB2312"/>
          <w:b w:val="0"/>
          <w:sz w:val="32"/>
        </w:rPr>
        <w:t>其中：本年收入合计569.85万元，使用非财政拨款结余（含专用结余）0.00万元，年初结转和结余0.00万元。</w:t>
      </w:r>
    </w:p>
    <w:p w14:paraId="03E44946">
      <w:pPr>
        <w:spacing w:line="580" w:lineRule="exact"/>
        <w:ind w:firstLine="640"/>
        <w:jc w:val="both"/>
      </w:pPr>
      <w:r>
        <w:rPr>
          <w:rFonts w:ascii="仿宋_GB2312" w:hAnsi="仿宋_GB2312" w:eastAsia="仿宋_GB2312"/>
          <w:b/>
          <w:sz w:val="32"/>
        </w:rPr>
        <w:t>2024年度支出总计569.85万元，</w:t>
      </w:r>
      <w:r>
        <w:rPr>
          <w:rFonts w:ascii="仿宋_GB2312" w:hAnsi="仿宋_GB2312" w:eastAsia="仿宋_GB2312"/>
          <w:b w:val="0"/>
          <w:sz w:val="32"/>
        </w:rPr>
        <w:t>其中：本年支出合计569.85万元，结余分配0.00万元，年末结转和结余0.00万元。</w:t>
      </w:r>
    </w:p>
    <w:p w14:paraId="63B4F665">
      <w:pPr>
        <w:spacing w:line="580" w:lineRule="exact"/>
        <w:ind w:firstLine="640"/>
        <w:jc w:val="both"/>
      </w:pPr>
      <w:r>
        <w:rPr>
          <w:rFonts w:ascii="仿宋_GB2312" w:hAnsi="仿宋_GB2312" w:eastAsia="仿宋_GB2312"/>
          <w:b w:val="0"/>
          <w:sz w:val="32"/>
        </w:rPr>
        <w:t>收入支出总体与上年相比，增加304.68万元，增长114.90%，主要原因是：本年度增加2023年英吉沙县农业生产社会化服务、英吉沙县2024年农业生产社会化服务等项目经费，导致相关经费增加。</w:t>
      </w:r>
    </w:p>
    <w:p w14:paraId="46046E14">
      <w:pPr>
        <w:spacing w:line="640" w:lineRule="exact"/>
        <w:ind w:firstLine="640"/>
        <w:jc w:val="both"/>
        <w:outlineLvl w:val="2"/>
      </w:pPr>
      <w:r>
        <w:rPr>
          <w:rFonts w:ascii="黑体" w:hAnsi="黑体" w:eastAsia="黑体"/>
          <w:sz w:val="32"/>
        </w:rPr>
        <w:t>二、收入决算情况说明</w:t>
      </w:r>
    </w:p>
    <w:p w14:paraId="52A0194B">
      <w:pPr>
        <w:spacing w:line="580" w:lineRule="exact"/>
        <w:ind w:firstLine="640"/>
        <w:jc w:val="both"/>
      </w:pPr>
      <w:r>
        <w:rPr>
          <w:rFonts w:ascii="仿宋_GB2312" w:hAnsi="仿宋_GB2312" w:eastAsia="仿宋_GB2312"/>
          <w:b/>
          <w:sz w:val="32"/>
        </w:rPr>
        <w:t>本年收入569.85万元，</w:t>
      </w:r>
      <w:r>
        <w:rPr>
          <w:rFonts w:ascii="仿宋_GB2312" w:hAnsi="仿宋_GB2312" w:eastAsia="仿宋_GB2312"/>
          <w:b w:val="0"/>
          <w:sz w:val="32"/>
        </w:rPr>
        <w:t>其中：财政拨款收入569.85万元，占100.00%；上级补助收入0.00万元，占0.00%；事业收入0.00万元，占0.00%；经营收入0.00万元，占0.00%；附属单位上缴收入0.00万元，占0.00%；其他收入0.00万元，占0.00%。</w:t>
      </w:r>
    </w:p>
    <w:p w14:paraId="6843390D">
      <w:pPr>
        <w:spacing w:line="640" w:lineRule="exact"/>
        <w:ind w:firstLine="640"/>
        <w:jc w:val="both"/>
        <w:outlineLvl w:val="2"/>
      </w:pPr>
      <w:r>
        <w:rPr>
          <w:rFonts w:ascii="黑体" w:hAnsi="黑体" w:eastAsia="黑体"/>
          <w:sz w:val="32"/>
        </w:rPr>
        <w:t>三、支出决算情况说明</w:t>
      </w:r>
    </w:p>
    <w:p w14:paraId="612C71A1">
      <w:pPr>
        <w:spacing w:line="580" w:lineRule="exact"/>
        <w:ind w:firstLine="640"/>
        <w:jc w:val="both"/>
      </w:pPr>
      <w:r>
        <w:rPr>
          <w:rFonts w:ascii="仿宋_GB2312" w:hAnsi="仿宋_GB2312" w:eastAsia="仿宋_GB2312"/>
          <w:b/>
          <w:sz w:val="32"/>
        </w:rPr>
        <w:t>本年支出569.85万元，</w:t>
      </w:r>
      <w:r>
        <w:rPr>
          <w:rFonts w:ascii="仿宋_GB2312" w:hAnsi="仿宋_GB2312" w:eastAsia="仿宋_GB2312"/>
          <w:b w:val="0"/>
          <w:sz w:val="32"/>
        </w:rPr>
        <w:t>其中：基本支出192.85万元，占33.84%；项目支出377.00万元，占66.16%；上缴上级支出0.00万元，占0.00%；经营支出0.00万元，占0.00%；对附属单位补助支出0.00万元，占0.00%。</w:t>
      </w:r>
    </w:p>
    <w:p w14:paraId="29F9239B">
      <w:pPr>
        <w:spacing w:line="640" w:lineRule="exact"/>
        <w:ind w:firstLine="640"/>
        <w:jc w:val="both"/>
        <w:outlineLvl w:val="2"/>
      </w:pPr>
      <w:r>
        <w:rPr>
          <w:rFonts w:ascii="黑体" w:hAnsi="黑体" w:eastAsia="黑体"/>
          <w:sz w:val="32"/>
        </w:rPr>
        <w:t>四、财政拨款收入支出决算总体情况说明</w:t>
      </w:r>
    </w:p>
    <w:p w14:paraId="7BEEA4EA">
      <w:pPr>
        <w:spacing w:line="580" w:lineRule="exact"/>
        <w:ind w:firstLine="640"/>
        <w:jc w:val="both"/>
      </w:pPr>
      <w:r>
        <w:rPr>
          <w:rFonts w:ascii="仿宋_GB2312" w:hAnsi="仿宋_GB2312" w:eastAsia="仿宋_GB2312"/>
          <w:b/>
          <w:sz w:val="32"/>
        </w:rPr>
        <w:t>2024年度财政拨款收入总计569.85万元，</w:t>
      </w:r>
      <w:r>
        <w:rPr>
          <w:rFonts w:ascii="仿宋_GB2312" w:hAnsi="仿宋_GB2312" w:eastAsia="仿宋_GB2312"/>
          <w:b w:val="0"/>
          <w:sz w:val="32"/>
        </w:rPr>
        <w:t>其中：年初财政拨款结转和结余0.00万元，本年财政拨款收入569.85万元。</w:t>
      </w:r>
      <w:r>
        <w:rPr>
          <w:rFonts w:ascii="仿宋_GB2312" w:hAnsi="仿宋_GB2312" w:eastAsia="仿宋_GB2312"/>
          <w:b/>
          <w:sz w:val="32"/>
        </w:rPr>
        <w:t>财政拨款支出总计569.85万元，</w:t>
      </w:r>
      <w:r>
        <w:rPr>
          <w:rFonts w:ascii="仿宋_GB2312" w:hAnsi="仿宋_GB2312" w:eastAsia="仿宋_GB2312"/>
          <w:b w:val="0"/>
          <w:sz w:val="32"/>
        </w:rPr>
        <w:t>其中：年末财政拨款结转和结余0.00万元，本年财政拨款支出569.85万元。</w:t>
      </w:r>
    </w:p>
    <w:p w14:paraId="44FE872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增加304.68万元，增长114.90%，主要原因是：本年度增加2023年英吉沙县农业生产社会化服务、英吉沙县2024年农业生产社会化服务等项目经费，导致相关经费增加。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年初预算数207.14万元，决算数569.85万元，预决算差异率175.10%，主要原因是：年中追加2023年英吉沙县农业生产社会化服务项目、英吉沙县2024年农业生产社会化服务项目等，导致预决算差异。</w:t>
      </w:r>
    </w:p>
    <w:p w14:paraId="06E4E51F">
      <w:pPr>
        <w:spacing w:line="640" w:lineRule="exact"/>
        <w:ind w:firstLine="640"/>
        <w:jc w:val="both"/>
        <w:outlineLvl w:val="2"/>
      </w:pPr>
      <w:r>
        <w:rPr>
          <w:rFonts w:ascii="黑体" w:hAnsi="黑体" w:eastAsia="黑体"/>
          <w:sz w:val="32"/>
        </w:rPr>
        <w:t>五、一般公共预算财政拨款支出决算情况说明</w:t>
      </w:r>
    </w:p>
    <w:p w14:paraId="2141B64F">
      <w:pPr>
        <w:spacing w:line="640" w:lineRule="exact"/>
        <w:ind w:firstLine="640"/>
        <w:jc w:val="both"/>
        <w:outlineLvl w:val="3"/>
      </w:pPr>
      <w:r>
        <w:rPr>
          <w:rFonts w:ascii="楷体_GB2312" w:hAnsi="楷体_GB2312" w:eastAsia="楷体_GB2312"/>
          <w:b/>
          <w:sz w:val="32"/>
        </w:rPr>
        <w:t>（一）一般公共预算财政拨款支出决算总体情况</w:t>
      </w:r>
    </w:p>
    <w:p w14:paraId="256F14DB">
      <w:pPr>
        <w:spacing w:line="580" w:lineRule="exact"/>
        <w:ind w:firstLine="640"/>
        <w:jc w:val="both"/>
      </w:pPr>
      <w:r>
        <w:rPr>
          <w:rFonts w:ascii="仿宋_GB2312" w:hAnsi="仿宋_GB2312" w:eastAsia="仿宋_GB2312"/>
          <w:b/>
          <w:sz w:val="32"/>
        </w:rPr>
        <w:t>2024年度一般公共预算财政拨款支出569.85万元，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增加304.68万元，增长114.90%，主要原因是：本年度增加2023年英吉沙县农业生产社会化服务、英吉沙县2024年农业生产社会化服务等项目经费，导致相关经费增加。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年初预算数207.14万元，决算数569.85万元，预决算差异率175.10%，主要原因是：年中追加2023年英吉沙县农业生产社会化服务项目、英吉沙县2024年农业生产社会化服务项目等，导致预决算差异。</w:t>
      </w:r>
    </w:p>
    <w:p w14:paraId="1E3CB5B9">
      <w:pPr>
        <w:spacing w:line="640" w:lineRule="exact"/>
        <w:ind w:firstLine="640"/>
        <w:jc w:val="both"/>
        <w:outlineLvl w:val="3"/>
      </w:pPr>
      <w:r>
        <w:rPr>
          <w:rFonts w:ascii="楷体_GB2312" w:hAnsi="楷体_GB2312" w:eastAsia="楷体_GB2312"/>
          <w:b/>
          <w:sz w:val="32"/>
        </w:rPr>
        <w:t>（二）一般公共预算财政拨款支出决算结构情况</w:t>
      </w:r>
    </w:p>
    <w:p w14:paraId="0EFF7680">
      <w:pPr>
        <w:spacing w:line="580" w:lineRule="exact"/>
        <w:ind w:firstLine="640"/>
        <w:jc w:val="both"/>
      </w:pPr>
      <w:r>
        <w:rPr>
          <w:rFonts w:ascii="仿宋_GB2312" w:hAnsi="仿宋_GB2312" w:eastAsia="仿宋_GB2312"/>
          <w:b w:val="0"/>
          <w:sz w:val="32"/>
        </w:rPr>
        <w:t>1.社会保障和就业支出(类)26.17万元,占4.59%。</w:t>
      </w:r>
    </w:p>
    <w:p w14:paraId="6C6903A2">
      <w:pPr>
        <w:spacing w:line="580" w:lineRule="exact"/>
        <w:ind w:firstLine="640"/>
        <w:jc w:val="both"/>
      </w:pPr>
      <w:r>
        <w:rPr>
          <w:rFonts w:ascii="仿宋_GB2312" w:hAnsi="仿宋_GB2312" w:eastAsia="仿宋_GB2312"/>
          <w:b w:val="0"/>
          <w:sz w:val="32"/>
        </w:rPr>
        <w:t>2.卫生健康支出(类)9.38万元,占1.65%。</w:t>
      </w:r>
    </w:p>
    <w:p w14:paraId="409DCDE4">
      <w:pPr>
        <w:spacing w:line="580" w:lineRule="exact"/>
        <w:ind w:firstLine="640"/>
        <w:jc w:val="both"/>
      </w:pPr>
      <w:r>
        <w:rPr>
          <w:rFonts w:ascii="仿宋_GB2312" w:hAnsi="仿宋_GB2312" w:eastAsia="仿宋_GB2312"/>
          <w:b w:val="0"/>
          <w:sz w:val="32"/>
        </w:rPr>
        <w:t>3.农林水支出(类)519.31万元,占91.13%。</w:t>
      </w:r>
    </w:p>
    <w:p w14:paraId="2D907303">
      <w:pPr>
        <w:spacing w:line="580" w:lineRule="exact"/>
        <w:ind w:firstLine="640"/>
        <w:jc w:val="both"/>
      </w:pPr>
      <w:r>
        <w:rPr>
          <w:rFonts w:ascii="仿宋_GB2312" w:hAnsi="仿宋_GB2312" w:eastAsia="仿宋_GB2312"/>
          <w:b w:val="0"/>
          <w:sz w:val="32"/>
        </w:rPr>
        <w:t>4.住房保障支出(类)14.99万元,占2.63%。</w:t>
      </w:r>
    </w:p>
    <w:p w14:paraId="578EC06E">
      <w:pPr>
        <w:spacing w:line="640" w:lineRule="exact"/>
        <w:ind w:firstLine="640"/>
        <w:jc w:val="both"/>
        <w:outlineLvl w:val="3"/>
      </w:pPr>
      <w:r>
        <w:rPr>
          <w:rFonts w:ascii="楷体_GB2312" w:hAnsi="楷体_GB2312" w:eastAsia="楷体_GB2312"/>
          <w:b/>
          <w:sz w:val="32"/>
        </w:rPr>
        <w:t>（三）一般公共预算财政拨款支出决算具体情况</w:t>
      </w:r>
    </w:p>
    <w:p w14:paraId="0AA87FC8">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1.社会保障和就业支出(类)行政事业单位养老支出(款)行政单位离退休(项):支出决算数为10.80万元，比上年决算增加2.67万元，增长32.84%,主要原因是：本年增加退休人员基础绩效奖，退休费支出增加。</w:t>
      </w:r>
    </w:p>
    <w:p w14:paraId="34A31C42">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15.36万元，比上年决算减少5.19万元，下降25.26%,主要原因是：本年在职人员减少，单位基本养老保险缴费较上年减少。</w:t>
      </w:r>
    </w:p>
    <w:p w14:paraId="19A885B8">
      <w:pPr>
        <w:spacing w:line="580" w:lineRule="exact"/>
        <w:ind w:firstLine="640"/>
        <w:jc w:val="both"/>
      </w:pPr>
      <w:r>
        <w:rPr>
          <w:rFonts w:ascii="仿宋_GB2312" w:hAnsi="仿宋_GB2312" w:eastAsia="仿宋_GB2312"/>
          <w:b w:val="0"/>
          <w:sz w:val="32"/>
        </w:rPr>
        <w:t>3.卫生健康支出(类)行政事业单位医疗(款)行政单位医疗(项):支出决算数为7.25万元，比上年决算减少5.53万元，下降43.27%,主要原因是：本年在职人员减少，行政单位医疗支出较上年减少。</w:t>
      </w:r>
    </w:p>
    <w:p w14:paraId="57791467">
      <w:pPr>
        <w:spacing w:line="580" w:lineRule="exact"/>
        <w:ind w:firstLine="640"/>
        <w:jc w:val="both"/>
      </w:pPr>
      <w:r>
        <w:rPr>
          <w:rFonts w:ascii="仿宋_GB2312" w:hAnsi="仿宋_GB2312" w:eastAsia="仿宋_GB2312"/>
          <w:b w:val="0"/>
          <w:sz w:val="32"/>
        </w:rPr>
        <w:t>4.卫生健康支出(类)行政事业单位医疗(款)公务员医疗补助(项):支出决算数为2.13万元，比上年决算减少2.16万元，下降50.35%,主要原因是：本年在职人员减少，公务员医疗补助较上年减少。</w:t>
      </w:r>
    </w:p>
    <w:p w14:paraId="3F5ED278">
      <w:pPr>
        <w:spacing w:line="580" w:lineRule="exact"/>
        <w:ind w:firstLine="640"/>
        <w:jc w:val="both"/>
      </w:pPr>
      <w:r>
        <w:rPr>
          <w:rFonts w:ascii="仿宋_GB2312" w:hAnsi="仿宋_GB2312" w:eastAsia="仿宋_GB2312"/>
          <w:b w:val="0"/>
          <w:sz w:val="32"/>
        </w:rPr>
        <w:t>5.农林水支出(类)农业农村(款)行政运行(项):支出决算数为142.31万元，比上年决算减少0.37万元，下降0.26%,主要原因是：本年在职人员减少，相应人员经费较上年减少。</w:t>
      </w:r>
    </w:p>
    <w:p w14:paraId="39A8CAF2">
      <w:pPr>
        <w:spacing w:line="580" w:lineRule="exact"/>
        <w:ind w:firstLine="640"/>
        <w:jc w:val="both"/>
      </w:pPr>
      <w:r>
        <w:rPr>
          <w:rFonts w:ascii="仿宋_GB2312" w:hAnsi="仿宋_GB2312" w:eastAsia="仿宋_GB2312"/>
          <w:b w:val="0"/>
          <w:sz w:val="32"/>
        </w:rPr>
        <w:t>6.农林水支出(类)农业农村(款)农业生产发展(项):支出决算数为0.00万元，比上年决算减少58.47万元，下降100.00%,主要原因是：本年减少英吉沙县经营主体提升技术应用和生产经营能力项目经费。</w:t>
      </w:r>
    </w:p>
    <w:p w14:paraId="72B6597C">
      <w:pPr>
        <w:spacing w:line="580" w:lineRule="exact"/>
        <w:ind w:firstLine="640"/>
        <w:jc w:val="both"/>
      </w:pPr>
      <w:r>
        <w:rPr>
          <w:rFonts w:ascii="仿宋_GB2312" w:hAnsi="仿宋_GB2312" w:eastAsia="仿宋_GB2312"/>
          <w:b w:val="0"/>
          <w:sz w:val="32"/>
        </w:rPr>
        <w:t>7.农林水支出(类)农业农村(款)农村合作经济(项):支出决算数为377.00万元，比上年决算增加377.00万元，增长100.00%,主要原因是：本年度增加2023年英吉沙县农业生产社会化服务项目、英吉沙县2024年农业生产社会化服务项目等。</w:t>
      </w:r>
    </w:p>
    <w:p w14:paraId="17F0D1A0">
      <w:pPr>
        <w:spacing w:line="580" w:lineRule="exact"/>
        <w:ind w:firstLine="640"/>
        <w:jc w:val="both"/>
      </w:pPr>
      <w:r>
        <w:rPr>
          <w:rFonts w:ascii="仿宋_GB2312" w:hAnsi="仿宋_GB2312" w:eastAsia="仿宋_GB2312"/>
          <w:b w:val="0"/>
          <w:sz w:val="32"/>
        </w:rPr>
        <w:t>8.住房保障支出(类)住房改革支出(款)住房公积金(项):支出决算数为14.99万元，比上年决算减少3.28万元，下降17.95%,主要原因是：本年在职人员减少，住房公积金缴费较上年减少。</w:t>
      </w:r>
    </w:p>
    <w:p w14:paraId="0E73FAC4">
      <w:pPr>
        <w:spacing w:line="640" w:lineRule="exact"/>
        <w:ind w:firstLine="640"/>
        <w:jc w:val="both"/>
        <w:outlineLvl w:val="2"/>
      </w:pPr>
      <w:r>
        <w:rPr>
          <w:rFonts w:ascii="黑体" w:hAnsi="黑体" w:eastAsia="黑体"/>
          <w:sz w:val="32"/>
        </w:rPr>
        <w:t>六、一般公共预算财政拨款基本支出决算情况说明</w:t>
      </w:r>
    </w:p>
    <w:p w14:paraId="416E5D17">
      <w:pPr>
        <w:spacing w:line="580" w:lineRule="exact"/>
        <w:ind w:firstLine="640"/>
        <w:jc w:val="both"/>
      </w:pPr>
      <w:r>
        <w:rPr>
          <w:rFonts w:ascii="仿宋_GB2312" w:hAnsi="仿宋_GB2312" w:eastAsia="仿宋_GB2312"/>
          <w:b w:val="0"/>
          <w:sz w:val="32"/>
        </w:rPr>
        <w:t>2024年度一般公共预算财政拨款基本支出192.85万元，其中：</w:t>
      </w:r>
      <w:r>
        <w:rPr>
          <w:rFonts w:ascii="仿宋_GB2312" w:hAnsi="仿宋_GB2312" w:eastAsia="仿宋_GB2312"/>
          <w:b/>
          <w:sz w:val="32"/>
        </w:rPr>
        <w:t>人员经费189.29万元，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w:t>
      </w:r>
    </w:p>
    <w:p w14:paraId="5250D564">
      <w:pPr>
        <w:spacing w:line="580" w:lineRule="exact"/>
        <w:ind w:firstLine="640"/>
        <w:jc w:val="both"/>
      </w:pPr>
      <w:r>
        <w:rPr>
          <w:rFonts w:ascii="仿宋_GB2312" w:hAnsi="仿宋_GB2312" w:eastAsia="仿宋_GB2312"/>
          <w:b/>
          <w:sz w:val="32"/>
        </w:rPr>
        <w:t>公用经费3.56万元，</w:t>
      </w:r>
      <w:r>
        <w:rPr>
          <w:rFonts w:ascii="仿宋_GB2312" w:hAnsi="仿宋_GB2312" w:eastAsia="仿宋_GB2312"/>
          <w:b w:val="0"/>
          <w:sz w:val="32"/>
        </w:rPr>
        <w:t>包括：办公费、水费、电费、邮电费、差旅费。</w:t>
      </w:r>
    </w:p>
    <w:p w14:paraId="0422FD29">
      <w:pPr>
        <w:spacing w:line="640" w:lineRule="exact"/>
        <w:ind w:firstLine="640"/>
        <w:jc w:val="both"/>
        <w:outlineLvl w:val="2"/>
      </w:pPr>
      <w:r>
        <w:rPr>
          <w:rFonts w:ascii="黑体" w:hAnsi="黑体" w:eastAsia="黑体"/>
          <w:sz w:val="32"/>
        </w:rPr>
        <w:t>七、政府性基金预算财政拨款收入支出决算情况说明</w:t>
      </w:r>
    </w:p>
    <w:p w14:paraId="2D197FA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E3D9E2F">
      <w:pPr>
        <w:spacing w:line="640" w:lineRule="exact"/>
        <w:ind w:firstLine="640"/>
        <w:jc w:val="both"/>
        <w:outlineLvl w:val="2"/>
      </w:pPr>
      <w:r>
        <w:rPr>
          <w:rFonts w:ascii="黑体" w:hAnsi="黑体" w:eastAsia="黑体"/>
          <w:sz w:val="32"/>
        </w:rPr>
        <w:t>八、国有资本经营预算财政拨款收入支出决算情况说明</w:t>
      </w:r>
    </w:p>
    <w:p w14:paraId="11F99F7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13C3E33">
      <w:pPr>
        <w:spacing w:line="640" w:lineRule="exact"/>
        <w:ind w:firstLine="640"/>
        <w:jc w:val="both"/>
        <w:outlineLvl w:val="2"/>
      </w:pPr>
      <w:r>
        <w:rPr>
          <w:rFonts w:ascii="黑体" w:hAnsi="黑体" w:eastAsia="黑体"/>
          <w:sz w:val="32"/>
        </w:rPr>
        <w:t>九、财政拨款“三公”经费支出决算情况说明</w:t>
      </w:r>
    </w:p>
    <w:p w14:paraId="3596DD56">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158F5D6">
      <w:pPr>
        <w:spacing w:line="580" w:lineRule="exact"/>
        <w:ind w:firstLine="640"/>
        <w:jc w:val="both"/>
      </w:pPr>
      <w:r>
        <w:rPr>
          <w:rFonts w:ascii="仿宋_GB2312" w:hAnsi="仿宋_GB2312" w:eastAsia="仿宋_GB2312"/>
          <w:b/>
          <w:sz w:val="32"/>
        </w:rPr>
        <w:t>具体情况如下：</w:t>
      </w:r>
    </w:p>
    <w:p w14:paraId="0D159D6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42BE1C4">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952AE1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30DBFA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CF66AC7">
      <w:pPr>
        <w:spacing w:line="640" w:lineRule="exact"/>
        <w:ind w:firstLine="640"/>
        <w:jc w:val="both"/>
        <w:outlineLvl w:val="2"/>
      </w:pPr>
      <w:r>
        <w:rPr>
          <w:rFonts w:ascii="黑体" w:hAnsi="黑体" w:eastAsia="黑体"/>
          <w:sz w:val="32"/>
        </w:rPr>
        <w:t>十、其他重要事项的情况说明</w:t>
      </w:r>
    </w:p>
    <w:p w14:paraId="79AF3ACC">
      <w:pPr>
        <w:spacing w:line="640" w:lineRule="exact"/>
        <w:ind w:firstLine="640"/>
        <w:jc w:val="both"/>
        <w:outlineLvl w:val="3"/>
      </w:pPr>
      <w:r>
        <w:rPr>
          <w:rFonts w:ascii="楷体_GB2312" w:hAnsi="楷体_GB2312" w:eastAsia="楷体_GB2312"/>
          <w:b/>
          <w:sz w:val="32"/>
        </w:rPr>
        <w:t>（一）机关运行经费及公用经费支出情况</w:t>
      </w:r>
    </w:p>
    <w:p w14:paraId="39350EB2">
      <w:pPr>
        <w:spacing w:line="580" w:lineRule="exact"/>
        <w:ind w:firstLine="640"/>
        <w:jc w:val="both"/>
      </w:pPr>
      <w:r>
        <w:rPr>
          <w:rFonts w:ascii="仿宋_GB2312" w:hAnsi="仿宋_GB2312" w:eastAsia="仿宋_GB2312"/>
          <w:b w:val="0"/>
          <w:sz w:val="32"/>
        </w:rPr>
        <w:t>2024年度英吉沙县农村合作经济发展中心（行政单位和参照公务员法管理事业单位）机关运行经费支出3.56万元，比上年增加1.61万元，增长82.56%，主要原因是：本年业务量增加，导致机关运行经费增加。</w:t>
      </w:r>
    </w:p>
    <w:p w14:paraId="3131C837">
      <w:pPr>
        <w:spacing w:line="640" w:lineRule="exact"/>
        <w:ind w:firstLine="640"/>
        <w:jc w:val="both"/>
        <w:outlineLvl w:val="3"/>
      </w:pPr>
      <w:r>
        <w:rPr>
          <w:rFonts w:ascii="楷体_GB2312" w:hAnsi="楷体_GB2312" w:eastAsia="楷体_GB2312"/>
          <w:b/>
          <w:sz w:val="32"/>
        </w:rPr>
        <w:t>（二）政府采购情况</w:t>
      </w:r>
    </w:p>
    <w:p w14:paraId="4CE9135F">
      <w:pPr>
        <w:spacing w:line="580" w:lineRule="exact"/>
        <w:ind w:firstLine="640"/>
        <w:jc w:val="both"/>
      </w:pPr>
      <w:r>
        <w:rPr>
          <w:rFonts w:ascii="仿宋_GB2312" w:hAnsi="仿宋_GB2312" w:eastAsia="仿宋_GB2312"/>
          <w:b w:val="0"/>
          <w:sz w:val="32"/>
        </w:rPr>
        <w:t>2024年度政府采购支出总额0.21万元，其中：政府采购货物支出0.21万元、政府采购工程支出0.00万元、政府采购服务支出0.00万元。</w:t>
      </w:r>
    </w:p>
    <w:p w14:paraId="16609816">
      <w:pPr>
        <w:spacing w:line="580" w:lineRule="exact"/>
        <w:ind w:firstLine="640"/>
        <w:jc w:val="both"/>
      </w:pPr>
      <w:r>
        <w:rPr>
          <w:rFonts w:ascii="仿宋_GB2312" w:hAnsi="仿宋_GB2312" w:eastAsia="仿宋_GB2312"/>
          <w:b w:val="0"/>
          <w:sz w:val="32"/>
        </w:rPr>
        <w:t>授予中小企业合同金额0.21万元，占政府采购支出总额的100.00%，其中：授予小微企业合同金额0.21万元，占政府采购支出总额的100.00%。</w:t>
      </w:r>
    </w:p>
    <w:p w14:paraId="26C77709">
      <w:pPr>
        <w:spacing w:line="640" w:lineRule="exact"/>
        <w:ind w:firstLine="640"/>
        <w:jc w:val="both"/>
        <w:outlineLvl w:val="3"/>
      </w:pPr>
      <w:r>
        <w:rPr>
          <w:rFonts w:ascii="楷体_GB2312" w:hAnsi="楷体_GB2312" w:eastAsia="楷体_GB2312"/>
          <w:b/>
          <w:sz w:val="32"/>
        </w:rPr>
        <w:t>（三）国有资产占用情况说明</w:t>
      </w:r>
    </w:p>
    <w:p w14:paraId="34C82730">
      <w:pPr>
        <w:spacing w:line="580" w:lineRule="exact"/>
        <w:ind w:firstLine="640"/>
        <w:jc w:val="both"/>
      </w:pPr>
      <w:r>
        <w:rPr>
          <w:rFonts w:ascii="仿宋_GB2312" w:hAnsi="仿宋_GB2312" w:eastAsia="仿宋_GB2312"/>
          <w:b w:val="0"/>
          <w:sz w:val="32"/>
        </w:rPr>
        <w:t>截至2024年12月31日，房屋2,701.00平方米，价值75.86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53BA994">
      <w:pPr>
        <w:spacing w:line="640" w:lineRule="exact"/>
        <w:ind w:firstLine="640"/>
        <w:jc w:val="both"/>
        <w:outlineLvl w:val="2"/>
      </w:pPr>
      <w:r>
        <w:rPr>
          <w:rFonts w:ascii="黑体" w:hAnsi="黑体" w:eastAsia="黑体"/>
          <w:sz w:val="32"/>
        </w:rPr>
        <w:t>十一、预算绩效的情况说明</w:t>
      </w:r>
    </w:p>
    <w:p w14:paraId="1000C74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569.85万元，实际执行总额569.85万元；预算绩效评价项目1个，全年预算数227.00万元，全年执行数227.00万元。预算绩效管理取得的成效：一是确保资金的高效使用，切实发挥财政资金的使用效果。二是严格按照工作职责和相关文件依据，确保专款专用。三是严格控制资金的流出方向，确保资金的合规性。发现的问题及原因：一是绩效评价体系还不够完善。对预算绩效管理的重要性认识不足</w:t>
      </w:r>
      <w:r>
        <w:rPr>
          <w:rFonts w:hint="eastAsia" w:ascii="仿宋_GB2312" w:hAnsi="仿宋_GB2312" w:eastAsia="仿宋_GB2312"/>
          <w:b w:val="0"/>
          <w:sz w:val="32"/>
          <w:lang w:eastAsia="zh-CN"/>
        </w:rPr>
        <w:t>，</w:t>
      </w:r>
      <w:r>
        <w:rPr>
          <w:rFonts w:ascii="仿宋_GB2312" w:hAnsi="仿宋_GB2312" w:eastAsia="仿宋_GB2312"/>
          <w:b w:val="0"/>
          <w:sz w:val="32"/>
        </w:rPr>
        <w:t>对预算绩效管理认识和了解不够深入，预算绩效管理体制没有完善</w:t>
      </w:r>
      <w:r>
        <w:rPr>
          <w:rFonts w:hint="eastAsia" w:ascii="仿宋_GB2312" w:hAnsi="仿宋_GB2312" w:eastAsia="仿宋_GB2312"/>
          <w:b w:val="0"/>
          <w:sz w:val="32"/>
          <w:lang w:eastAsia="zh-CN"/>
        </w:rPr>
        <w:t>地</w:t>
      </w:r>
      <w:r>
        <w:rPr>
          <w:rFonts w:ascii="仿宋_GB2312" w:hAnsi="仿宋_GB2312" w:eastAsia="仿宋_GB2312"/>
          <w:b w:val="0"/>
          <w:sz w:val="32"/>
        </w:rPr>
        <w:t>建立起来；二是管理水平和政策实施效果还不够明显。预算绩效管理队伍薄弱，对预算绩效管理的经验欠缺，工作人员频繁更换，工作人员业务不精通、经验有限，实际操作难，无法做到对预算绩效工作的全面管理。下一步改进措施：一是不断加强绩效管理队伍建设。加强对预算单位绩效专干、财务人员对绩效工作及绩效系统的培训，强化预算绩效管理、成本管理的理念，完善绩效指标，提高整体绩效目标质量，提升预算精细化管理水平；二是继续完善预算绩效管理相关工作制度，建立全过程预算绩效管理链条，有效贯彻落实全面实施绩效管理的精神。具体附整体支出绩效自评表，项目支出绩效自评表。</w:t>
      </w:r>
    </w:p>
    <w:p w14:paraId="17A1C2F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B88C570">
        <w:tblPrEx>
          <w:tblCellMar>
            <w:top w:w="0" w:type="dxa"/>
            <w:left w:w="108" w:type="dxa"/>
            <w:bottom w:w="0" w:type="dxa"/>
            <w:right w:w="108" w:type="dxa"/>
          </w:tblCellMar>
        </w:tblPrEx>
        <w:tc>
          <w:tcPr>
            <w:tcW w:w="8847" w:type="dxa"/>
            <w:gridSpan w:val="9"/>
            <w:vAlign w:val="center"/>
          </w:tcPr>
          <w:p w14:paraId="3139813A">
            <w:pPr>
              <w:jc w:val="center"/>
            </w:pPr>
            <w:r>
              <w:rPr>
                <w:rFonts w:ascii="宋体" w:hAnsi="宋体" w:eastAsia="宋体"/>
                <w:sz w:val="24"/>
              </w:rPr>
              <w:t>单位整体支出绩效自评表</w:t>
            </w:r>
          </w:p>
        </w:tc>
      </w:tr>
      <w:tr w14:paraId="0380037A">
        <w:tblPrEx>
          <w:tblCellMar>
            <w:top w:w="0" w:type="dxa"/>
            <w:left w:w="108" w:type="dxa"/>
            <w:bottom w:w="0" w:type="dxa"/>
            <w:right w:w="108" w:type="dxa"/>
          </w:tblCellMar>
        </w:tblPrEx>
        <w:tc>
          <w:tcPr>
            <w:tcW w:w="8847" w:type="dxa"/>
            <w:gridSpan w:val="9"/>
            <w:vAlign w:val="center"/>
          </w:tcPr>
          <w:p w14:paraId="541D48CE">
            <w:pPr>
              <w:jc w:val="center"/>
            </w:pPr>
            <w:r>
              <w:rPr>
                <w:rFonts w:ascii="宋体" w:hAnsi="宋体" w:eastAsia="宋体"/>
                <w:sz w:val="24"/>
              </w:rPr>
              <w:t>（2024年度）</w:t>
            </w:r>
          </w:p>
        </w:tc>
      </w:tr>
      <w:tr w14:paraId="57AC7F6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A700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1151D37">
            <w:pPr>
              <w:jc w:val="center"/>
            </w:pPr>
            <w:r>
              <w:rPr>
                <w:rFonts w:ascii="宋体" w:hAnsi="宋体" w:eastAsia="宋体"/>
                <w:sz w:val="16"/>
              </w:rPr>
              <w:t>英吉沙县农村合作经济发展中心</w:t>
            </w:r>
          </w:p>
        </w:tc>
      </w:tr>
      <w:tr w14:paraId="45A93F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DEC28">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9A27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967A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95AB4">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3216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2850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07C6C">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2894F">
            <w:pPr>
              <w:jc w:val="center"/>
            </w:pPr>
            <w:r>
              <w:rPr>
                <w:rFonts w:ascii="宋体" w:hAnsi="宋体" w:eastAsia="宋体"/>
                <w:sz w:val="16"/>
              </w:rPr>
              <w:t>得分</w:t>
            </w:r>
          </w:p>
        </w:tc>
      </w:tr>
      <w:tr w14:paraId="7D8867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A691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3A6D4">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F94F8">
            <w:pPr>
              <w:jc w:val="center"/>
            </w:pPr>
            <w:r>
              <w:rPr>
                <w:rFonts w:ascii="宋体" w:hAnsi="宋体" w:eastAsia="宋体"/>
                <w:sz w:val="16"/>
              </w:rPr>
              <w:t>207.14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06633">
            <w:pPr>
              <w:jc w:val="center"/>
            </w:pPr>
            <w:r>
              <w:rPr>
                <w:rFonts w:ascii="宋体" w:hAnsi="宋体" w:eastAsia="宋体"/>
                <w:sz w:val="16"/>
              </w:rPr>
              <w:t>569.85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2512B">
            <w:pPr>
              <w:jc w:val="center"/>
            </w:pPr>
            <w:r>
              <w:rPr>
                <w:rFonts w:ascii="宋体" w:hAnsi="宋体" w:eastAsia="宋体"/>
                <w:sz w:val="16"/>
              </w:rPr>
              <w:t>569.85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55D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D90E4">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2DA18">
            <w:pPr>
              <w:jc w:val="center"/>
            </w:pPr>
            <w:r>
              <w:rPr>
                <w:rFonts w:ascii="宋体" w:hAnsi="宋体" w:eastAsia="宋体"/>
                <w:sz w:val="16"/>
              </w:rPr>
              <w:t>10</w:t>
            </w:r>
          </w:p>
        </w:tc>
      </w:tr>
      <w:tr w14:paraId="7D1863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0F19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599D0">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734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D3D40">
            <w:pPr>
              <w:jc w:val="center"/>
            </w:pPr>
            <w:r>
              <w:rPr>
                <w:rFonts w:ascii="宋体" w:hAnsi="宋体" w:eastAsia="宋体"/>
                <w:sz w:val="16"/>
              </w:rPr>
              <w:t>377.00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C1ED0">
            <w:pPr>
              <w:jc w:val="center"/>
            </w:pPr>
            <w:r>
              <w:rPr>
                <w:rFonts w:ascii="宋体" w:hAnsi="宋体" w:eastAsia="宋体"/>
                <w:sz w:val="16"/>
              </w:rPr>
              <w:t>377.00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970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533D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91108">
            <w:pPr>
              <w:jc w:val="center"/>
            </w:pPr>
            <w:r>
              <w:rPr>
                <w:rFonts w:ascii="宋体" w:hAnsi="宋体" w:eastAsia="宋体"/>
                <w:sz w:val="16"/>
              </w:rPr>
              <w:t>—</w:t>
            </w:r>
          </w:p>
        </w:tc>
      </w:tr>
      <w:tr w14:paraId="6B4399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5E59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A5D1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10D3F">
            <w:pPr>
              <w:jc w:val="center"/>
            </w:pPr>
            <w:r>
              <w:rPr>
                <w:rFonts w:ascii="宋体" w:hAnsi="宋体" w:eastAsia="宋体"/>
                <w:sz w:val="16"/>
              </w:rPr>
              <w:t>207.14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EDCD0">
            <w:pPr>
              <w:jc w:val="center"/>
            </w:pPr>
            <w:r>
              <w:rPr>
                <w:rFonts w:ascii="宋体" w:hAnsi="宋体" w:eastAsia="宋体"/>
                <w:sz w:val="16"/>
              </w:rPr>
              <w:t>192.85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D848C">
            <w:pPr>
              <w:jc w:val="center"/>
            </w:pPr>
            <w:r>
              <w:rPr>
                <w:rFonts w:ascii="宋体" w:hAnsi="宋体" w:eastAsia="宋体"/>
                <w:sz w:val="16"/>
              </w:rPr>
              <w:t>192.85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606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ED88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C0367">
            <w:pPr>
              <w:jc w:val="center"/>
            </w:pPr>
            <w:r>
              <w:rPr>
                <w:rFonts w:ascii="宋体" w:hAnsi="宋体" w:eastAsia="宋体"/>
                <w:sz w:val="16"/>
              </w:rPr>
              <w:t>—</w:t>
            </w:r>
          </w:p>
        </w:tc>
      </w:tr>
      <w:tr w14:paraId="463BBC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7690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8D9DC">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36A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D754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E3A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A88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AF54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63C53">
            <w:pPr>
              <w:jc w:val="center"/>
            </w:pPr>
            <w:r>
              <w:rPr>
                <w:rFonts w:ascii="宋体" w:hAnsi="宋体" w:eastAsia="宋体"/>
                <w:sz w:val="16"/>
              </w:rPr>
              <w:t>—</w:t>
            </w:r>
          </w:p>
        </w:tc>
      </w:tr>
      <w:tr w14:paraId="6BDE72E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0DBC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423EC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D177A8">
            <w:pPr>
              <w:jc w:val="center"/>
            </w:pPr>
            <w:r>
              <w:rPr>
                <w:rFonts w:ascii="宋体" w:hAnsi="宋体" w:eastAsia="宋体"/>
                <w:sz w:val="16"/>
              </w:rPr>
              <w:t>实际完成情况</w:t>
            </w:r>
          </w:p>
        </w:tc>
      </w:tr>
      <w:tr w14:paraId="0A9434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59A11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A2CB64">
            <w:pPr>
              <w:jc w:val="both"/>
            </w:pPr>
            <w:r>
              <w:rPr>
                <w:rFonts w:ascii="宋体" w:hAnsi="宋体" w:eastAsia="宋体"/>
                <w:sz w:val="16"/>
              </w:rPr>
              <w:t>以习近平新时代中国特色社会主义思想为指导，在县委、县人民政府的正确领导和上级业务主管部门指导下，认真贯彻落实各级农村工作会议精神，紧紧围绕农经工作目标，坚持以农为本服务农村，以人为本服务农民，围绕农村</w:t>
            </w:r>
            <w:r>
              <w:rPr>
                <w:rFonts w:hint="eastAsia" w:ascii="宋体" w:hAnsi="宋体"/>
                <w:sz w:val="16"/>
                <w:lang w:val="en-US" w:eastAsia="zh-CN"/>
              </w:rPr>
              <w:t>和谐</w:t>
            </w:r>
            <w:r>
              <w:rPr>
                <w:rFonts w:ascii="宋体" w:hAnsi="宋体" w:eastAsia="宋体"/>
                <w:sz w:val="16"/>
              </w:rPr>
              <w:t>，农民增收，着力强化财务监管，规范合同管理，促进土地流转，培育农民专业合作社发展，认真开展全县农村集体产权制度改革等工作。为做好农村集体产权制度改革</w:t>
            </w:r>
            <w:r>
              <w:rPr>
                <w:rFonts w:hint="eastAsia" w:ascii="宋体" w:hAnsi="宋体"/>
                <w:sz w:val="16"/>
                <w:lang w:eastAsia="zh-CN"/>
              </w:rPr>
              <w:t>“后半篇文章”</w:t>
            </w:r>
            <w:r>
              <w:rPr>
                <w:rFonts w:ascii="宋体" w:hAnsi="宋体" w:eastAsia="宋体"/>
                <w:sz w:val="16"/>
              </w:rPr>
              <w:t>，强化农村集体经济组织规范化建设，指导农村集体经济组织健全完善机构，规范村级组织工作事务，建立健全村级集体经济重大事项民主决策机制。根据地区工作要求，全年以来</w:t>
            </w:r>
            <w:r>
              <w:rPr>
                <w:rFonts w:hint="eastAsia" w:ascii="宋体" w:hAnsi="宋体"/>
                <w:sz w:val="16"/>
                <w:lang w:eastAsia="zh-CN"/>
              </w:rPr>
              <w:t>本单位</w:t>
            </w:r>
            <w:r>
              <w:rPr>
                <w:rFonts w:ascii="宋体" w:hAnsi="宋体" w:eastAsia="宋体"/>
                <w:sz w:val="16"/>
              </w:rPr>
              <w:t>牵头组织召开关于村集体经济“三资”管理的培训。持续做好14个乡镇村集体经济“三资”核算中心和178个村股份经济合作社的运营及规范化建设的指导服务工作24次。做好各乡镇、村的家庭承包地和村集体机动地土地流转,规范土地流转，农村宅基地分配工作的指导服务15次,做好农民专业合作社的培育和“空壳社”的清理工作指导服务工作4次。做好党务公开工作。对单位的“三重一大”事项、“经费”开支情况、发展党员、项目实施等内容经会议研究讨论审核后，及时在公示栏进行公示，接受监督，召开15次会议。</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0BF40B">
            <w:pPr>
              <w:jc w:val="both"/>
            </w:pPr>
            <w:r>
              <w:rPr>
                <w:rFonts w:hint="eastAsia" w:ascii="宋体" w:hAnsi="宋体"/>
                <w:sz w:val="16"/>
                <w:lang w:eastAsia="zh-CN"/>
              </w:rPr>
              <w:t>截至2024</w:t>
            </w:r>
            <w:r>
              <w:rPr>
                <w:rFonts w:ascii="宋体" w:hAnsi="宋体" w:eastAsia="宋体"/>
                <w:sz w:val="16"/>
              </w:rPr>
              <w:t>年12月，</w:t>
            </w:r>
            <w:r>
              <w:rPr>
                <w:rFonts w:hint="eastAsia" w:ascii="宋体" w:hAnsi="宋体"/>
                <w:sz w:val="16"/>
                <w:lang w:eastAsia="zh-CN"/>
              </w:rPr>
              <w:t>本单位</w:t>
            </w:r>
            <w:r>
              <w:rPr>
                <w:rFonts w:ascii="宋体" w:hAnsi="宋体" w:eastAsia="宋体"/>
                <w:sz w:val="16"/>
              </w:rPr>
              <w:t>已完成农村宅基地分配工作的指导服务为10次，开展农民专业合作社的培育和“空壳社”的清理工作为4次，规范村集体资产运营“三资”信息管理为178个，测算2024年农民人均收入统计工作为4次，召开党务公开工作会议为12次。坚持以农为本服务农村，以人为本服务农民，围绕农村</w:t>
            </w:r>
            <w:r>
              <w:rPr>
                <w:rFonts w:hint="eastAsia" w:ascii="宋体" w:hAnsi="宋体"/>
                <w:sz w:val="16"/>
                <w:lang w:val="en-US" w:eastAsia="zh-CN"/>
              </w:rPr>
              <w:t>和谐</w:t>
            </w:r>
            <w:r>
              <w:rPr>
                <w:rFonts w:ascii="宋体" w:hAnsi="宋体" w:eastAsia="宋体"/>
                <w:sz w:val="16"/>
              </w:rPr>
              <w:t>，农民增收，着力强化财务监管，规范合同管理，促进土地流转，培育农民专业合作社发展，认真开展全县农村集体产权制度改革等工作。为做好农村集体产权制度改革</w:t>
            </w:r>
            <w:bookmarkStart w:id="0" w:name="_GoBack"/>
            <w:r>
              <w:rPr>
                <w:rFonts w:hint="eastAsia" w:ascii="宋体" w:hAnsi="宋体"/>
                <w:sz w:val="16"/>
                <w:lang w:eastAsia="zh-CN"/>
              </w:rPr>
              <w:t>“后半篇文章”</w:t>
            </w:r>
            <w:bookmarkEnd w:id="0"/>
            <w:r>
              <w:rPr>
                <w:rFonts w:ascii="宋体" w:hAnsi="宋体" w:eastAsia="宋体"/>
                <w:sz w:val="16"/>
              </w:rPr>
              <w:t>，强化农村集体经济组织规范化建设，指导农村集体经济组织健全完善机构，规范村级组织工作事务，建立健全村级集体经济重大事项民主决策机制。</w:t>
            </w:r>
          </w:p>
        </w:tc>
      </w:tr>
      <w:tr w14:paraId="1A354B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77E7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D011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B1BB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2ECD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893D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B06B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401A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2F3A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9655F">
            <w:pPr>
              <w:jc w:val="center"/>
            </w:pPr>
            <w:r>
              <w:rPr>
                <w:rFonts w:ascii="宋体" w:hAnsi="宋体" w:eastAsia="宋体"/>
                <w:sz w:val="16"/>
              </w:rPr>
              <w:t>得分</w:t>
            </w:r>
          </w:p>
        </w:tc>
      </w:tr>
      <w:tr w14:paraId="4253947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B2F5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03B8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36D38">
            <w:pPr>
              <w:jc w:val="center"/>
            </w:pPr>
            <w:r>
              <w:rPr>
                <w:rFonts w:ascii="宋体" w:hAnsi="宋体" w:eastAsia="宋体"/>
                <w:sz w:val="16"/>
              </w:rPr>
              <w:t>农村宅基地分配工作的指导服务次数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2F828">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7028F">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7854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126CD">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04F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119A2">
            <w:pPr>
              <w:jc w:val="center"/>
            </w:pPr>
            <w:r>
              <w:rPr>
                <w:rFonts w:ascii="宋体" w:hAnsi="宋体" w:eastAsia="宋体"/>
                <w:sz w:val="16"/>
              </w:rPr>
              <w:t>20</w:t>
            </w:r>
          </w:p>
        </w:tc>
      </w:tr>
      <w:tr w14:paraId="459301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358A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246C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C69DC">
            <w:pPr>
              <w:jc w:val="center"/>
            </w:pPr>
            <w:r>
              <w:rPr>
                <w:rFonts w:ascii="宋体" w:hAnsi="宋体" w:eastAsia="宋体"/>
                <w:sz w:val="16"/>
              </w:rPr>
              <w:t>开展农民专业合作社的培育和“空壳社”的清理工作次数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E788C">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2F04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E2E5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4BC5B">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7DD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176D7">
            <w:pPr>
              <w:jc w:val="center"/>
            </w:pPr>
            <w:r>
              <w:rPr>
                <w:rFonts w:ascii="宋体" w:hAnsi="宋体" w:eastAsia="宋体"/>
                <w:sz w:val="16"/>
              </w:rPr>
              <w:t>20</w:t>
            </w:r>
          </w:p>
        </w:tc>
      </w:tr>
      <w:tr w14:paraId="08ACFF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88C4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89AE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FC0E4">
            <w:pPr>
              <w:jc w:val="center"/>
            </w:pPr>
            <w:r>
              <w:rPr>
                <w:rFonts w:ascii="宋体" w:hAnsi="宋体" w:eastAsia="宋体"/>
                <w:sz w:val="16"/>
              </w:rPr>
              <w:t>规范村集体资产运营“三资”信息管理个数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005E8">
            <w:pPr>
              <w:jc w:val="center"/>
            </w:pPr>
            <w:r>
              <w:rPr>
                <w:rFonts w:ascii="宋体" w:hAnsi="宋体" w:eastAsia="宋体"/>
                <w:sz w:val="16"/>
              </w:rPr>
              <w:t>&gt;=178个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CAAF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9737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07966">
            <w:pPr>
              <w:jc w:val="center"/>
            </w:pPr>
            <w:r>
              <w:rPr>
                <w:rFonts w:ascii="宋体" w:hAnsi="宋体" w:eastAsia="宋体"/>
                <w:sz w:val="16"/>
              </w:rPr>
              <w:t>=178个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85B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8FB54">
            <w:pPr>
              <w:jc w:val="center"/>
            </w:pPr>
            <w:r>
              <w:rPr>
                <w:rFonts w:ascii="宋体" w:hAnsi="宋体" w:eastAsia="宋体"/>
                <w:sz w:val="16"/>
              </w:rPr>
              <w:t>20</w:t>
            </w:r>
          </w:p>
        </w:tc>
      </w:tr>
      <w:tr w14:paraId="3939A3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5EE8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1B24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662CE">
            <w:pPr>
              <w:jc w:val="center"/>
            </w:pPr>
            <w:r>
              <w:rPr>
                <w:rFonts w:ascii="宋体" w:hAnsi="宋体" w:eastAsia="宋体"/>
                <w:sz w:val="16"/>
              </w:rPr>
              <w:t>测算2024年农民人均收入统计工作次数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5B072">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99C72">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3A49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83C2E">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C69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C2005">
            <w:pPr>
              <w:jc w:val="center"/>
            </w:pPr>
            <w:r>
              <w:rPr>
                <w:rFonts w:ascii="宋体" w:hAnsi="宋体" w:eastAsia="宋体"/>
                <w:sz w:val="16"/>
              </w:rPr>
              <w:t>20</w:t>
            </w:r>
          </w:p>
        </w:tc>
      </w:tr>
      <w:tr w14:paraId="73F2AA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36F9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22A3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B4130">
            <w:pPr>
              <w:jc w:val="center"/>
            </w:pPr>
            <w:r>
              <w:rPr>
                <w:rFonts w:ascii="宋体" w:hAnsi="宋体" w:eastAsia="宋体"/>
                <w:sz w:val="16"/>
              </w:rPr>
              <w:t>召开党务公开工作会议次数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6BC1E">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5E3C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E86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79FE4">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777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4099B">
            <w:pPr>
              <w:jc w:val="center"/>
            </w:pPr>
            <w:r>
              <w:rPr>
                <w:rFonts w:ascii="宋体" w:hAnsi="宋体" w:eastAsia="宋体"/>
                <w:sz w:val="16"/>
              </w:rPr>
              <w:t>10</w:t>
            </w:r>
          </w:p>
        </w:tc>
      </w:tr>
    </w:tbl>
    <w:p w14:paraId="52BE722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07D5425">
        <w:tc>
          <w:tcPr>
            <w:tcW w:w="8848" w:type="dxa"/>
            <w:gridSpan w:val="14"/>
            <w:vAlign w:val="center"/>
          </w:tcPr>
          <w:p w14:paraId="0BCCE688">
            <w:pPr>
              <w:jc w:val="center"/>
            </w:pPr>
            <w:r>
              <w:rPr>
                <w:rFonts w:ascii="宋体" w:hAnsi="宋体" w:eastAsia="宋体"/>
                <w:sz w:val="24"/>
              </w:rPr>
              <w:t>项目支出绩效自评表</w:t>
            </w:r>
          </w:p>
        </w:tc>
      </w:tr>
      <w:tr w14:paraId="2C60EAE9">
        <w:tblPrEx>
          <w:tblCellMar>
            <w:top w:w="0" w:type="dxa"/>
            <w:left w:w="108" w:type="dxa"/>
            <w:bottom w:w="0" w:type="dxa"/>
            <w:right w:w="108" w:type="dxa"/>
          </w:tblCellMar>
        </w:tblPrEx>
        <w:tc>
          <w:tcPr>
            <w:tcW w:w="8848" w:type="dxa"/>
            <w:gridSpan w:val="14"/>
            <w:vAlign w:val="center"/>
          </w:tcPr>
          <w:p w14:paraId="4C8D56B9">
            <w:pPr>
              <w:jc w:val="center"/>
            </w:pPr>
            <w:r>
              <w:rPr>
                <w:rFonts w:ascii="宋体" w:hAnsi="宋体" w:eastAsia="宋体"/>
                <w:sz w:val="24"/>
              </w:rPr>
              <w:t>(2024年度)</w:t>
            </w:r>
          </w:p>
        </w:tc>
      </w:tr>
      <w:tr w14:paraId="534B96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D3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478B23">
            <w:pPr>
              <w:jc w:val="center"/>
            </w:pPr>
            <w:r>
              <w:rPr>
                <w:rFonts w:ascii="宋体" w:hAnsi="宋体" w:eastAsia="宋体"/>
                <w:sz w:val="16"/>
              </w:rPr>
              <w:t>2024年英吉沙县农村合作经济发展中心偿还2022年、2023年3个项目尾款项目</w:t>
            </w:r>
          </w:p>
        </w:tc>
      </w:tr>
      <w:tr w14:paraId="7E32B4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1E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55ADDD">
            <w:pPr>
              <w:jc w:val="center"/>
            </w:pPr>
            <w:r>
              <w:rPr>
                <w:rFonts w:ascii="宋体" w:hAnsi="宋体" w:eastAsia="宋体"/>
                <w:sz w:val="16"/>
              </w:rPr>
              <w:t>英吉沙县农村合作经济发展中心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054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3E5D23">
            <w:pPr>
              <w:jc w:val="center"/>
            </w:pPr>
            <w:r>
              <w:rPr>
                <w:rFonts w:ascii="宋体" w:hAnsi="宋体" w:eastAsia="宋体"/>
                <w:sz w:val="16"/>
              </w:rPr>
              <w:t>英吉沙县农村合作经济发展中心</w:t>
            </w:r>
          </w:p>
        </w:tc>
      </w:tr>
      <w:tr w14:paraId="3498B3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A41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5C85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71B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7C0F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FB26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5DE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2693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A0AB">
            <w:pPr>
              <w:jc w:val="center"/>
            </w:pPr>
            <w:r>
              <w:rPr>
                <w:rFonts w:ascii="宋体" w:hAnsi="宋体" w:eastAsia="宋体"/>
                <w:sz w:val="16"/>
              </w:rPr>
              <w:t>得分</w:t>
            </w:r>
          </w:p>
        </w:tc>
      </w:tr>
      <w:tr w14:paraId="17C91D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4FF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10EE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5D7E2">
            <w:pPr>
              <w:jc w:val="center"/>
            </w:pPr>
            <w:r>
              <w:rPr>
                <w:rFonts w:ascii="宋体" w:hAnsi="宋体" w:eastAsia="宋体"/>
                <w:sz w:val="16"/>
              </w:rPr>
              <w:t>227.00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B0A16">
            <w:pPr>
              <w:jc w:val="center"/>
            </w:pPr>
            <w:r>
              <w:rPr>
                <w:rFonts w:ascii="宋体" w:hAnsi="宋体" w:eastAsia="宋体"/>
                <w:sz w:val="16"/>
              </w:rPr>
              <w:t>227.00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2EACF">
            <w:pPr>
              <w:jc w:val="center"/>
            </w:pPr>
            <w:r>
              <w:rPr>
                <w:rFonts w:ascii="宋体" w:hAnsi="宋体" w:eastAsia="宋体"/>
                <w:sz w:val="16"/>
              </w:rPr>
              <w:t>227.00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A63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2F31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8E3A1">
            <w:pPr>
              <w:jc w:val="center"/>
            </w:pPr>
            <w:r>
              <w:rPr>
                <w:rFonts w:ascii="宋体" w:hAnsi="宋体" w:eastAsia="宋体"/>
                <w:sz w:val="16"/>
              </w:rPr>
              <w:t>10.00分</w:t>
            </w:r>
          </w:p>
        </w:tc>
      </w:tr>
      <w:tr w14:paraId="387E8D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866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51E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3A74F">
            <w:pPr>
              <w:jc w:val="center"/>
            </w:pPr>
            <w:r>
              <w:rPr>
                <w:rFonts w:ascii="宋体" w:hAnsi="宋体" w:eastAsia="宋体"/>
                <w:sz w:val="16"/>
              </w:rPr>
              <w:t>227.00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EB6E8">
            <w:pPr>
              <w:jc w:val="center"/>
            </w:pPr>
            <w:r>
              <w:rPr>
                <w:rFonts w:ascii="宋体" w:hAnsi="宋体" w:eastAsia="宋体"/>
                <w:sz w:val="16"/>
              </w:rPr>
              <w:t>227.00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369EE">
            <w:pPr>
              <w:jc w:val="center"/>
            </w:pPr>
            <w:r>
              <w:rPr>
                <w:rFonts w:ascii="宋体" w:hAnsi="宋体" w:eastAsia="宋体"/>
                <w:sz w:val="16"/>
              </w:rPr>
              <w:t>227.00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4D0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723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182EA">
            <w:pPr>
              <w:jc w:val="center"/>
            </w:pPr>
            <w:r>
              <w:rPr>
                <w:rFonts w:ascii="宋体" w:hAnsi="宋体" w:eastAsia="宋体"/>
                <w:sz w:val="16"/>
              </w:rPr>
              <w:t>—</w:t>
            </w:r>
          </w:p>
        </w:tc>
      </w:tr>
      <w:tr w14:paraId="34A0B1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7B5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4DF8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86F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9E0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437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859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135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6BE7">
            <w:pPr>
              <w:jc w:val="center"/>
            </w:pPr>
            <w:r>
              <w:rPr>
                <w:rFonts w:ascii="宋体" w:hAnsi="宋体" w:eastAsia="宋体"/>
                <w:sz w:val="16"/>
              </w:rPr>
              <w:t>—</w:t>
            </w:r>
          </w:p>
        </w:tc>
      </w:tr>
      <w:tr w14:paraId="2A40A7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F538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FAC84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17BD35">
            <w:pPr>
              <w:jc w:val="center"/>
            </w:pPr>
            <w:r>
              <w:rPr>
                <w:rFonts w:ascii="宋体" w:hAnsi="宋体" w:eastAsia="宋体"/>
                <w:sz w:val="16"/>
              </w:rPr>
              <w:t>实际完成情况</w:t>
            </w:r>
          </w:p>
        </w:tc>
      </w:tr>
      <w:tr w14:paraId="7D6C01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F82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528328">
            <w:pPr>
              <w:jc w:val="both"/>
            </w:pPr>
            <w:r>
              <w:rPr>
                <w:rFonts w:ascii="宋体" w:hAnsi="宋体" w:eastAsia="宋体"/>
                <w:sz w:val="16"/>
              </w:rPr>
              <w:t>该项目计划投入227万元，用于偿还1、2022年英吉沙县经营主体提升技术应用和生产经营能力项目的42万元；2、偿还2023年英吉沙县经营主体提升技术应用和生产经营能力项目的12万元；3、偿还2023年英吉沙县农业生产社会化服务项目的173万元。涉及三个项目的尾款。该项目的实施，有效化解债务危机，提高政府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87CBCF">
            <w:pPr>
              <w:jc w:val="both"/>
            </w:pPr>
            <w:r>
              <w:rPr>
                <w:rFonts w:ascii="宋体" w:hAnsi="宋体" w:eastAsia="宋体"/>
                <w:sz w:val="16"/>
              </w:rPr>
              <w:t>截至2024年12月31日，该项目已使用资金227万元，已用于偿还1、2022年英吉沙县经营主体提升技术应用和生产经营能力项目的42万元；2、偿还2023年英吉沙县经营主体提升技术应用和生产经营能力项目的12万元；3、偿还2023年英吉沙县农业生产社会化服务项目的173万元。涉及三个项目的尾款。该项目的实施，有效化解了债务危机，提高政府公信力。</w:t>
            </w:r>
          </w:p>
        </w:tc>
      </w:tr>
      <w:tr w14:paraId="3F7943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F315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03E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90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39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9A62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984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1BC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B7A5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C23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9897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5BB2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026D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8CB42">
            <w:pPr>
              <w:jc w:val="center"/>
            </w:pPr>
            <w:r>
              <w:rPr>
                <w:rFonts w:ascii="宋体" w:hAnsi="宋体" w:eastAsia="宋体"/>
                <w:sz w:val="16"/>
              </w:rPr>
              <w:t>偏差原因分析及改进措施</w:t>
            </w:r>
          </w:p>
        </w:tc>
      </w:tr>
      <w:tr w14:paraId="1878AE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9233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E588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A2D9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F708">
            <w:pPr>
              <w:jc w:val="center"/>
            </w:pPr>
            <w:r>
              <w:rPr>
                <w:rFonts w:ascii="宋体" w:hAnsi="宋体" w:eastAsia="宋体"/>
                <w:sz w:val="16"/>
              </w:rPr>
              <w:t>偿还项目尾款个数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F92AC">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53D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08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14F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F7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B2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00891">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DDB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FF106">
            <w:pPr>
              <w:jc w:val="center"/>
            </w:pPr>
          </w:p>
        </w:tc>
      </w:tr>
      <w:tr w14:paraId="36789C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26B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01C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721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8D538">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AB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712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575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D1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266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00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D2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C82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921BF">
            <w:pPr>
              <w:jc w:val="center"/>
            </w:pPr>
          </w:p>
        </w:tc>
      </w:tr>
      <w:tr w14:paraId="55D795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C11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AC0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923BC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D65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056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61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311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BE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245C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52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CBC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7B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47BB8">
            <w:pPr>
              <w:jc w:val="center"/>
            </w:pPr>
          </w:p>
        </w:tc>
      </w:tr>
      <w:tr w14:paraId="3DBAA0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628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046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C65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52F1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C98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EFF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1DF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3BE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61A1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AC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8649">
            <w:pPr>
              <w:jc w:val="center"/>
            </w:pPr>
            <w:r>
              <w:rPr>
                <w:rFonts w:ascii="宋体" w:hAnsi="宋体" w:eastAsia="宋体"/>
                <w:sz w:val="16"/>
              </w:rPr>
              <w:t>2024年8月8日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39A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A614D">
            <w:pPr>
              <w:jc w:val="center"/>
            </w:pPr>
          </w:p>
        </w:tc>
      </w:tr>
      <w:tr w14:paraId="4ADE13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086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7518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8FE4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3AA7">
            <w:pPr>
              <w:jc w:val="center"/>
            </w:pPr>
            <w:r>
              <w:rPr>
                <w:rFonts w:ascii="宋体" w:hAnsi="宋体" w:eastAsia="宋体"/>
                <w:sz w:val="16"/>
              </w:rPr>
              <w:t>偿还2022年英吉沙县经营主体提升技术应用和生产经营能力项目尾款成本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00A3F">
            <w:pPr>
              <w:jc w:val="center"/>
            </w:pPr>
            <w:r>
              <w:rPr>
                <w:rFonts w:ascii="宋体" w:hAnsi="宋体" w:eastAsia="宋体"/>
                <w:sz w:val="16"/>
              </w:rPr>
              <w:t>&lt;=42万元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CBE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7C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14F0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1FC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D94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10FE">
            <w:pPr>
              <w:jc w:val="center"/>
            </w:pPr>
            <w:r>
              <w:rPr>
                <w:rFonts w:ascii="宋体" w:hAnsi="宋体" w:eastAsia="宋体"/>
                <w:sz w:val="16"/>
              </w:rPr>
              <w:t>=42万元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87E6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587FA">
            <w:pPr>
              <w:jc w:val="center"/>
            </w:pPr>
          </w:p>
        </w:tc>
      </w:tr>
      <w:tr w14:paraId="3E8EDE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3C0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C49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44C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366CE">
            <w:pPr>
              <w:jc w:val="center"/>
            </w:pPr>
            <w:r>
              <w:rPr>
                <w:rFonts w:ascii="宋体" w:hAnsi="宋体" w:eastAsia="宋体"/>
                <w:sz w:val="16"/>
              </w:rPr>
              <w:t>偿还2023年英吉沙县经营主体提升技术应用和生产经营能力项目尾款成本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C2FF">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42E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E0D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2EA8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ED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498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94C8A">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056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9F88A">
            <w:pPr>
              <w:jc w:val="center"/>
            </w:pPr>
          </w:p>
        </w:tc>
      </w:tr>
      <w:tr w14:paraId="2D5DDF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D97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D4C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095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5EC50">
            <w:pPr>
              <w:jc w:val="center"/>
            </w:pPr>
            <w:r>
              <w:rPr>
                <w:rFonts w:ascii="宋体" w:hAnsi="宋体" w:eastAsia="宋体"/>
                <w:sz w:val="16"/>
              </w:rPr>
              <w:t>偿还2023年英吉沙县农业生产社会化服务项目尾款成本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CA15B">
            <w:pPr>
              <w:jc w:val="center"/>
            </w:pPr>
            <w:r>
              <w:rPr>
                <w:rFonts w:ascii="宋体" w:hAnsi="宋体" w:eastAsia="宋体"/>
                <w:sz w:val="16"/>
              </w:rPr>
              <w:t>&lt;=173万元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80E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A3D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DDE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73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75C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2847">
            <w:pPr>
              <w:jc w:val="center"/>
            </w:pPr>
            <w:r>
              <w:rPr>
                <w:rFonts w:ascii="宋体" w:hAnsi="宋体" w:eastAsia="宋体"/>
                <w:sz w:val="16"/>
              </w:rPr>
              <w:t>=173万元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0FB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A321C">
            <w:pPr>
              <w:jc w:val="center"/>
            </w:pPr>
          </w:p>
        </w:tc>
      </w:tr>
      <w:tr w14:paraId="41827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C9B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40E6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E18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7262">
            <w:pPr>
              <w:jc w:val="center"/>
            </w:pPr>
            <w:r>
              <w:rPr>
                <w:rFonts w:ascii="宋体" w:hAnsi="宋体" w:eastAsia="宋体"/>
                <w:sz w:val="16"/>
              </w:rPr>
              <w:t>化解债务危机，提高政府公信力。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98FD9">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88A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3F7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E51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2A8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E27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CD98">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D37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B3DF0">
            <w:pPr>
              <w:jc w:val="center"/>
            </w:pPr>
          </w:p>
        </w:tc>
      </w:tr>
      <w:tr w14:paraId="0215B3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63B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E9F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970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0726">
            <w:pPr>
              <w:jc w:val="center"/>
            </w:pPr>
            <w:r>
              <w:rPr>
                <w:rFonts w:ascii="宋体" w:hAnsi="宋体" w:eastAsia="宋体"/>
                <w:sz w:val="16"/>
              </w:rPr>
              <w:t>受益还款单位满意度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6320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57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A58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124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6B3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370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E75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FFC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A1A37">
            <w:pPr>
              <w:jc w:val="center"/>
            </w:pPr>
          </w:p>
        </w:tc>
      </w:tr>
      <w:tr w14:paraId="759F3D1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A1027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2DD2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5D4C5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0C61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45AD8DE"/>
        </w:tc>
      </w:tr>
    </w:tbl>
    <w:p w14:paraId="753BB7A2">
      <w:r>
        <w:br w:type="page"/>
      </w:r>
    </w:p>
    <w:p w14:paraId="50E405D9">
      <w:pPr>
        <w:spacing w:line="640" w:lineRule="exact"/>
        <w:ind w:firstLine="640"/>
        <w:jc w:val="both"/>
        <w:outlineLvl w:val="2"/>
      </w:pPr>
      <w:r>
        <w:rPr>
          <w:rFonts w:ascii="黑体" w:hAnsi="黑体" w:eastAsia="黑体"/>
          <w:sz w:val="32"/>
        </w:rPr>
        <w:t>十二、其他需说明的事项</w:t>
      </w:r>
    </w:p>
    <w:p w14:paraId="5EA7FB06">
      <w:pPr>
        <w:spacing w:line="580" w:lineRule="exact"/>
        <w:ind w:firstLine="640"/>
        <w:jc w:val="both"/>
      </w:pPr>
      <w:r>
        <w:rPr>
          <w:rFonts w:ascii="仿宋_GB2312" w:hAnsi="仿宋_GB2312" w:eastAsia="仿宋_GB2312"/>
          <w:b w:val="0"/>
          <w:sz w:val="32"/>
        </w:rPr>
        <w:t>本单位无其他需说明的事项。</w:t>
      </w:r>
    </w:p>
    <w:p w14:paraId="25849797">
      <w:r>
        <w:br w:type="page"/>
      </w:r>
    </w:p>
    <w:p w14:paraId="7FA271AD">
      <w:pPr>
        <w:spacing w:line="240" w:lineRule="auto"/>
        <w:jc w:val="center"/>
        <w:outlineLvl w:val="1"/>
      </w:pPr>
      <w:r>
        <w:rPr>
          <w:rFonts w:ascii="黑体" w:hAnsi="黑体" w:eastAsia="黑体"/>
          <w:sz w:val="32"/>
        </w:rPr>
        <w:t>第三部分 专业名词解释</w:t>
      </w:r>
    </w:p>
    <w:p w14:paraId="1A784FE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53B412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4714BE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9F8F4C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78593A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E2330E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3B1BCD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3C8BD3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2C007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E58860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1EAAF7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94E3D3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318655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3C5E86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1A14BD6">
      <w:r>
        <w:br w:type="page"/>
      </w:r>
    </w:p>
    <w:p w14:paraId="1EEBD48C">
      <w:pPr>
        <w:spacing w:line="240" w:lineRule="auto"/>
        <w:jc w:val="center"/>
        <w:outlineLvl w:val="1"/>
      </w:pPr>
      <w:r>
        <w:rPr>
          <w:rFonts w:ascii="黑体" w:hAnsi="黑体" w:eastAsia="黑体"/>
          <w:sz w:val="32"/>
        </w:rPr>
        <w:t>第四部分 部门决算报表（见附表）</w:t>
      </w:r>
    </w:p>
    <w:p w14:paraId="5E2D2877">
      <w:pPr>
        <w:spacing w:line="240" w:lineRule="auto"/>
        <w:ind w:firstLine="640"/>
        <w:jc w:val="both"/>
      </w:pPr>
      <w:r>
        <w:rPr>
          <w:rFonts w:ascii="仿宋_GB2312" w:hAnsi="仿宋_GB2312" w:eastAsia="仿宋_GB2312"/>
          <w:b w:val="0"/>
          <w:sz w:val="32"/>
        </w:rPr>
        <w:t>一、《收入支出决算总表》</w:t>
      </w:r>
    </w:p>
    <w:p w14:paraId="28790373">
      <w:pPr>
        <w:spacing w:line="240" w:lineRule="auto"/>
        <w:ind w:firstLine="640"/>
        <w:jc w:val="both"/>
      </w:pPr>
      <w:r>
        <w:rPr>
          <w:rFonts w:ascii="仿宋_GB2312" w:hAnsi="仿宋_GB2312" w:eastAsia="仿宋_GB2312"/>
          <w:b w:val="0"/>
          <w:sz w:val="32"/>
        </w:rPr>
        <w:t>二、《收入决算表》</w:t>
      </w:r>
    </w:p>
    <w:p w14:paraId="6AFF29A0">
      <w:pPr>
        <w:spacing w:line="240" w:lineRule="auto"/>
        <w:ind w:firstLine="640"/>
        <w:jc w:val="both"/>
      </w:pPr>
      <w:r>
        <w:rPr>
          <w:rFonts w:ascii="仿宋_GB2312" w:hAnsi="仿宋_GB2312" w:eastAsia="仿宋_GB2312"/>
          <w:b w:val="0"/>
          <w:sz w:val="32"/>
        </w:rPr>
        <w:t>三、《支出决算表》</w:t>
      </w:r>
    </w:p>
    <w:p w14:paraId="5A7E7243">
      <w:pPr>
        <w:spacing w:line="240" w:lineRule="auto"/>
        <w:ind w:firstLine="640"/>
        <w:jc w:val="both"/>
      </w:pPr>
      <w:r>
        <w:rPr>
          <w:rFonts w:ascii="仿宋_GB2312" w:hAnsi="仿宋_GB2312" w:eastAsia="仿宋_GB2312"/>
          <w:b w:val="0"/>
          <w:sz w:val="32"/>
        </w:rPr>
        <w:t>四、《财政拨款收入支出决算总表》</w:t>
      </w:r>
    </w:p>
    <w:p w14:paraId="0746E6A8">
      <w:pPr>
        <w:spacing w:line="240" w:lineRule="auto"/>
        <w:ind w:firstLine="640"/>
        <w:jc w:val="both"/>
      </w:pPr>
      <w:r>
        <w:rPr>
          <w:rFonts w:ascii="仿宋_GB2312" w:hAnsi="仿宋_GB2312" w:eastAsia="仿宋_GB2312"/>
          <w:b w:val="0"/>
          <w:sz w:val="32"/>
        </w:rPr>
        <w:t>五、《一般公共预算财政拨款支出决算表》</w:t>
      </w:r>
    </w:p>
    <w:p w14:paraId="1C8518CD">
      <w:pPr>
        <w:spacing w:line="240" w:lineRule="auto"/>
        <w:ind w:firstLine="640"/>
        <w:jc w:val="both"/>
      </w:pPr>
      <w:r>
        <w:rPr>
          <w:rFonts w:ascii="仿宋_GB2312" w:hAnsi="仿宋_GB2312" w:eastAsia="仿宋_GB2312"/>
          <w:b w:val="0"/>
          <w:sz w:val="32"/>
        </w:rPr>
        <w:t>六、《一般公共预算财政拨款基本支出决算表》</w:t>
      </w:r>
    </w:p>
    <w:p w14:paraId="4133AE4B">
      <w:pPr>
        <w:spacing w:line="240" w:lineRule="auto"/>
        <w:ind w:firstLine="640"/>
        <w:jc w:val="both"/>
      </w:pPr>
      <w:r>
        <w:rPr>
          <w:rFonts w:ascii="仿宋_GB2312" w:hAnsi="仿宋_GB2312" w:eastAsia="仿宋_GB2312"/>
          <w:b w:val="0"/>
          <w:sz w:val="32"/>
        </w:rPr>
        <w:t>七、《政府性基金预算财政拨款收入支出决算表》</w:t>
      </w:r>
    </w:p>
    <w:p w14:paraId="29DA95F2">
      <w:pPr>
        <w:spacing w:line="240" w:lineRule="auto"/>
        <w:ind w:firstLine="640"/>
        <w:jc w:val="both"/>
      </w:pPr>
      <w:r>
        <w:rPr>
          <w:rFonts w:ascii="仿宋_GB2312" w:hAnsi="仿宋_GB2312" w:eastAsia="仿宋_GB2312"/>
          <w:b w:val="0"/>
          <w:sz w:val="32"/>
        </w:rPr>
        <w:t>八、《国有资本经营预算财政拨款收入支出决算表》</w:t>
      </w:r>
    </w:p>
    <w:p w14:paraId="431F9A19">
      <w:pPr>
        <w:spacing w:line="240" w:lineRule="auto"/>
        <w:ind w:firstLine="640"/>
        <w:jc w:val="both"/>
      </w:pPr>
      <w:r>
        <w:rPr>
          <w:rFonts w:ascii="仿宋_GB2312" w:hAnsi="仿宋_GB2312" w:eastAsia="仿宋_GB2312"/>
          <w:b w:val="0"/>
          <w:sz w:val="32"/>
        </w:rPr>
        <w:t>九、《财政拨款“三公”经费支出决算表》</w:t>
      </w:r>
    </w:p>
    <w:p w14:paraId="6AC14170">
      <w:pPr>
        <w:spacing w:line="240" w:lineRule="auto"/>
        <w:ind w:firstLine="640"/>
        <w:jc w:val="both"/>
      </w:pPr>
    </w:p>
    <w:p w14:paraId="09665B20">
      <w:pPr>
        <w:spacing w:line="240" w:lineRule="auto"/>
        <w:ind w:firstLine="640"/>
        <w:jc w:val="both"/>
      </w:pPr>
    </w:p>
    <w:p w14:paraId="24C50EB5">
      <w:pPr>
        <w:spacing w:line="240" w:lineRule="auto"/>
        <w:ind w:firstLine="640"/>
        <w:jc w:val="both"/>
      </w:pPr>
    </w:p>
    <w:p w14:paraId="54615664">
      <w:pPr>
        <w:spacing w:line="240" w:lineRule="auto"/>
        <w:ind w:firstLine="640"/>
        <w:jc w:val="both"/>
      </w:pPr>
    </w:p>
    <w:p w14:paraId="08FC30F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F322CA0-9E4D-447B-8BD0-0D330BD8E81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C548CBE-1BC5-4723-91FA-F5C87E3B6E6C}"/>
  </w:font>
  <w:font w:name="仿宋_GB2312">
    <w:panose1 w:val="02010609030101010101"/>
    <w:charset w:val="86"/>
    <w:family w:val="modern"/>
    <w:pitch w:val="default"/>
    <w:sig w:usb0="00000001" w:usb1="080E0000" w:usb2="00000000" w:usb3="00000000" w:csb0="00040000" w:csb1="00000000"/>
    <w:embedRegular r:id="rId3" w:fontKey="{6A09A197-76A9-4D57-8CC9-217CEA9002AB}"/>
  </w:font>
  <w:font w:name="楷体_GB2312">
    <w:panose1 w:val="02010609030101010101"/>
    <w:charset w:val="86"/>
    <w:family w:val="auto"/>
    <w:pitch w:val="default"/>
    <w:sig w:usb0="00000001" w:usb1="080E0000" w:usb2="00000000" w:usb3="00000000" w:csb0="00040000" w:csb1="00000000"/>
    <w:embedRegular r:id="rId4" w:fontKey="{07F859D4-C386-4611-8F97-26ECC1739C2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2644B07"/>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4C07DB"/>
    <w:rsid w:val="23BC04D2"/>
    <w:rsid w:val="25275618"/>
    <w:rsid w:val="27CE017C"/>
    <w:rsid w:val="27CF2642"/>
    <w:rsid w:val="282459E2"/>
    <w:rsid w:val="29116777"/>
    <w:rsid w:val="2A053397"/>
    <w:rsid w:val="2A444FB1"/>
    <w:rsid w:val="2A6064E2"/>
    <w:rsid w:val="2B2A2C50"/>
    <w:rsid w:val="2B7B7EAF"/>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59214B"/>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4828</Words>
  <Characters>5533</Characters>
  <Lines>0</Lines>
  <Paragraphs>0</Paragraphs>
  <TotalTime>4</TotalTime>
  <ScaleCrop>false</ScaleCrop>
  <LinksUpToDate>false</LinksUpToDate>
  <CharactersWithSpaces>5541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2025-09-05T05:11:25Z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