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英吉沙县农业农村机械化发展中心2024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38509D6">
      <w:r>
        <w:br w:type="page"/>
      </w:r>
    </w:p>
    <w:p w14:paraId="78F91521">
      <w:pPr>
        <w:spacing w:line="640" w:lineRule="exact"/>
        <w:jc w:val="center"/>
        <w:outlineLvl w:val="1"/>
      </w:pPr>
      <w:r>
        <w:rPr>
          <w:rFonts w:ascii="黑体" w:hAnsi="黑体" w:eastAsia="黑体"/>
          <w:sz w:val="32"/>
        </w:rPr>
        <w:t>第一部分 单位概况</w:t>
      </w:r>
    </w:p>
    <w:p w14:paraId="11F1689A">
      <w:pPr>
        <w:spacing w:line="640" w:lineRule="exact"/>
        <w:ind w:firstLine="640"/>
        <w:jc w:val="both"/>
        <w:outlineLvl w:val="2"/>
      </w:pPr>
      <w:r>
        <w:rPr>
          <w:rFonts w:ascii="黑体" w:hAnsi="黑体" w:eastAsia="黑体"/>
          <w:sz w:val="32"/>
        </w:rPr>
        <w:t>一、主要职能</w:t>
      </w:r>
    </w:p>
    <w:p w14:paraId="6441DFFA">
      <w:pPr>
        <w:spacing w:line="580" w:lineRule="exact"/>
        <w:ind w:firstLine="640"/>
        <w:jc w:val="both"/>
      </w:pPr>
      <w:r>
        <w:rPr>
          <w:rFonts w:ascii="仿宋_GB2312" w:hAnsi="仿宋_GB2312" w:eastAsia="仿宋_GB2312"/>
          <w:sz w:val="32"/>
        </w:rPr>
        <w:t>根据《</w:t>
      </w:r>
      <w:r>
        <w:rPr>
          <w:rFonts w:hint="eastAsia" w:ascii="仿宋_GB2312" w:hAnsi="仿宋_GB2312" w:eastAsia="仿宋_GB2312"/>
          <w:sz w:val="32"/>
          <w:lang w:eastAsia="zh-CN"/>
        </w:rPr>
        <w:t>中华人民共和国农业机械化促进法</w:t>
      </w:r>
      <w:r>
        <w:rPr>
          <w:rFonts w:ascii="仿宋_GB2312" w:hAnsi="仿宋_GB2312" w:eastAsia="仿宋_GB2312"/>
          <w:sz w:val="32"/>
        </w:rPr>
        <w:t>》及相关的方针、政策、法律、法规，研究拟定全县农机发展战略、中长期规划</w:t>
      </w:r>
      <w:r>
        <w:rPr>
          <w:rFonts w:hint="eastAsia" w:ascii="仿宋_GB2312" w:hAnsi="仿宋_GB2312" w:eastAsia="仿宋_GB2312"/>
          <w:sz w:val="32"/>
          <w:lang w:eastAsia="zh-CN"/>
        </w:rPr>
        <w:t>、</w:t>
      </w:r>
      <w:r>
        <w:rPr>
          <w:rFonts w:ascii="仿宋_GB2312" w:hAnsi="仿宋_GB2312" w:eastAsia="仿宋_GB2312"/>
          <w:sz w:val="32"/>
        </w:rPr>
        <w:t>年度计划并组织实施；负责全县农机行业的科研、农机技术推广项目的选型、论证、审核、申请、立项及实施；负责组织实施农机化新技术、新机具引进、示范和推广工作及落实国家农机补贴政策；负责农机化服务体系建设，指导检查农机服务组织的服务、经营等综合服务活动，开展农机社会化服务；负责全县农机产品销售、维修、质量监督、产品投诉和农机作业市场等管理工作；负责执行农机专业资金及救灾用油的发放，指导农机供油网点建设和经营活动，组织农机投入抗震救灾工作；负责全县农机手培训管理工作，指导协调县农机校及其他类型农机驾驶培训学校教育培训工作，并进行资格管理。</w:t>
      </w:r>
    </w:p>
    <w:p w14:paraId="3413C66D">
      <w:pPr>
        <w:spacing w:line="640" w:lineRule="exact"/>
        <w:ind w:firstLine="640"/>
        <w:jc w:val="both"/>
        <w:outlineLvl w:val="2"/>
      </w:pPr>
      <w:r>
        <w:rPr>
          <w:rFonts w:ascii="黑体" w:hAnsi="黑体" w:eastAsia="黑体"/>
          <w:sz w:val="32"/>
        </w:rPr>
        <w:t>二、机构设置及人员情况</w:t>
      </w:r>
    </w:p>
    <w:p w14:paraId="7DF5CAE4">
      <w:pPr>
        <w:spacing w:line="580" w:lineRule="exact"/>
        <w:ind w:firstLine="640"/>
        <w:jc w:val="both"/>
      </w:pPr>
      <w:r>
        <w:rPr>
          <w:rFonts w:ascii="仿宋_GB2312" w:hAnsi="仿宋_GB2312" w:eastAsia="仿宋_GB2312"/>
          <w:sz w:val="32"/>
        </w:rPr>
        <w:t>英吉沙县农业农村机械化发展中心2024年度，实有人数35人，其中：在职人员13人，减少2人；离休人员0人，增加0人；退休人员22人,增加11人。</w:t>
      </w:r>
    </w:p>
    <w:p w14:paraId="2FD4716E">
      <w:pPr>
        <w:spacing w:line="580" w:lineRule="exact"/>
        <w:ind w:firstLine="640"/>
        <w:jc w:val="both"/>
      </w:pPr>
      <w:r>
        <w:rPr>
          <w:rFonts w:ascii="仿宋_GB2312" w:hAnsi="仿宋_GB2312" w:eastAsia="仿宋_GB2312"/>
          <w:sz w:val="32"/>
        </w:rPr>
        <w:t>英吉沙县农业农村机械化发展中心无下属预算单位，下设2个科室，分别是：财务室、综合办公室。</w:t>
      </w:r>
    </w:p>
    <w:p w14:paraId="62C9F35A">
      <w:r>
        <w:br w:type="page"/>
      </w:r>
    </w:p>
    <w:p w14:paraId="18E3BCE2">
      <w:pPr>
        <w:spacing w:line="240" w:lineRule="auto"/>
        <w:jc w:val="center"/>
        <w:outlineLvl w:val="1"/>
      </w:pPr>
      <w:r>
        <w:rPr>
          <w:rFonts w:ascii="黑体" w:hAnsi="黑体" w:eastAsia="黑体"/>
          <w:sz w:val="32"/>
        </w:rPr>
        <w:t>第二部分 部门决算情况说明</w:t>
      </w:r>
    </w:p>
    <w:p w14:paraId="2FEFDC32">
      <w:pPr>
        <w:spacing w:line="640" w:lineRule="exact"/>
        <w:ind w:firstLine="640"/>
        <w:jc w:val="both"/>
        <w:outlineLvl w:val="2"/>
      </w:pPr>
      <w:r>
        <w:rPr>
          <w:rFonts w:ascii="黑体" w:hAnsi="黑体" w:eastAsia="黑体"/>
          <w:sz w:val="32"/>
        </w:rPr>
        <w:t>一、收入支出决算总体情况说明</w:t>
      </w:r>
    </w:p>
    <w:p w14:paraId="3F59FB97">
      <w:pPr>
        <w:spacing w:line="580" w:lineRule="exact"/>
        <w:ind w:firstLine="640"/>
        <w:jc w:val="both"/>
      </w:pPr>
      <w:r>
        <w:rPr>
          <w:rFonts w:ascii="仿宋_GB2312" w:hAnsi="仿宋_GB2312" w:eastAsia="仿宋_GB2312"/>
          <w:b/>
          <w:sz w:val="32"/>
        </w:rPr>
        <w:t>2024年度收入总计1,756.27万元，</w:t>
      </w:r>
      <w:r>
        <w:rPr>
          <w:rFonts w:ascii="仿宋_GB2312" w:hAnsi="仿宋_GB2312" w:eastAsia="仿宋_GB2312"/>
          <w:b w:val="0"/>
          <w:sz w:val="32"/>
        </w:rPr>
        <w:t>其中：本年收入合计1,756.27万元，使用非财政拨款结余（含专用结余）0.00万元，年初结转和结余0.00万元。</w:t>
      </w:r>
    </w:p>
    <w:p w14:paraId="34401966">
      <w:pPr>
        <w:spacing w:line="580" w:lineRule="exact"/>
        <w:ind w:firstLine="640"/>
        <w:jc w:val="both"/>
      </w:pPr>
      <w:r>
        <w:rPr>
          <w:rFonts w:ascii="仿宋_GB2312" w:hAnsi="仿宋_GB2312" w:eastAsia="仿宋_GB2312"/>
          <w:b/>
          <w:sz w:val="32"/>
        </w:rPr>
        <w:t>2024年度支出总计1,756.27万元，</w:t>
      </w:r>
      <w:r>
        <w:rPr>
          <w:rFonts w:ascii="仿宋_GB2312" w:hAnsi="仿宋_GB2312" w:eastAsia="仿宋_GB2312"/>
          <w:b w:val="0"/>
          <w:sz w:val="32"/>
        </w:rPr>
        <w:t>其中：本年支出合计1,756.27万元，结余分配0.00万元，年末结转和结余0.00万元。</w:t>
      </w:r>
    </w:p>
    <w:p w14:paraId="10F5C918">
      <w:pPr>
        <w:spacing w:line="580" w:lineRule="exact"/>
        <w:ind w:firstLine="640"/>
        <w:jc w:val="both"/>
      </w:pPr>
      <w:r>
        <w:rPr>
          <w:rFonts w:ascii="仿宋_GB2312" w:hAnsi="仿宋_GB2312" w:eastAsia="仿宋_GB2312"/>
          <w:b w:val="0"/>
          <w:sz w:val="32"/>
        </w:rPr>
        <w:t>收入支出总体与上年相比，减少175.40万元，下降9.08%，主要原因是：本年度英吉沙县2024年农业机械化购置补贴项目资金较上年度减少。</w:t>
      </w:r>
    </w:p>
    <w:p w14:paraId="655F8A2A">
      <w:pPr>
        <w:spacing w:line="640" w:lineRule="exact"/>
        <w:ind w:firstLine="640"/>
        <w:jc w:val="both"/>
        <w:outlineLvl w:val="2"/>
      </w:pPr>
      <w:r>
        <w:rPr>
          <w:rFonts w:ascii="黑体" w:hAnsi="黑体" w:eastAsia="黑体"/>
          <w:sz w:val="32"/>
        </w:rPr>
        <w:t>二、收入决算情况说明</w:t>
      </w:r>
    </w:p>
    <w:p w14:paraId="2AA2BCFA">
      <w:pPr>
        <w:spacing w:line="580" w:lineRule="exact"/>
        <w:ind w:firstLine="640"/>
        <w:jc w:val="both"/>
      </w:pPr>
      <w:r>
        <w:rPr>
          <w:rFonts w:ascii="仿宋_GB2312" w:hAnsi="仿宋_GB2312" w:eastAsia="仿宋_GB2312"/>
          <w:b/>
          <w:sz w:val="32"/>
        </w:rPr>
        <w:t>本年收入1,756.27万元，</w:t>
      </w:r>
      <w:r>
        <w:rPr>
          <w:rFonts w:ascii="仿宋_GB2312" w:hAnsi="仿宋_GB2312" w:eastAsia="仿宋_GB2312"/>
          <w:b w:val="0"/>
          <w:sz w:val="32"/>
        </w:rPr>
        <w:t>其中：财政拨款收入1,756.27万元，占100.00%；上级补助收入0.00万元，占0.00%；事业收入0.00万元，占0.00%；经营收入0.00万元，占0.00%；附属单位上缴收入0.00万元，占0.00%；其他收入0.00万元，占0.00%。</w:t>
      </w:r>
    </w:p>
    <w:p w14:paraId="62E326F8">
      <w:pPr>
        <w:spacing w:line="640" w:lineRule="exact"/>
        <w:ind w:firstLine="640"/>
        <w:jc w:val="both"/>
        <w:outlineLvl w:val="2"/>
      </w:pPr>
      <w:r>
        <w:rPr>
          <w:rFonts w:ascii="黑体" w:hAnsi="黑体" w:eastAsia="黑体"/>
          <w:sz w:val="32"/>
        </w:rPr>
        <w:t>三、支出决算情况说明</w:t>
      </w:r>
    </w:p>
    <w:p w14:paraId="5AD571DB">
      <w:pPr>
        <w:spacing w:line="580" w:lineRule="exact"/>
        <w:ind w:firstLine="640"/>
        <w:jc w:val="both"/>
      </w:pPr>
      <w:r>
        <w:rPr>
          <w:rFonts w:ascii="仿宋_GB2312" w:hAnsi="仿宋_GB2312" w:eastAsia="仿宋_GB2312"/>
          <w:b/>
          <w:sz w:val="32"/>
        </w:rPr>
        <w:t>本年支出1,756.27万元，</w:t>
      </w:r>
      <w:r>
        <w:rPr>
          <w:rFonts w:ascii="仿宋_GB2312" w:hAnsi="仿宋_GB2312" w:eastAsia="仿宋_GB2312"/>
          <w:b w:val="0"/>
          <w:sz w:val="32"/>
        </w:rPr>
        <w:t>其中：基本支出354.53万元，占20.19%；项目支出1,401.73万元，占79.81%；上缴上级支出0.00万元，占0.00%；经营支出0.00万元，占0.00%；对附属单位补助支出0.00万元，占0.00%。</w:t>
      </w:r>
    </w:p>
    <w:p w14:paraId="7936AFAF">
      <w:pPr>
        <w:spacing w:line="640" w:lineRule="exact"/>
        <w:ind w:firstLine="640"/>
        <w:jc w:val="both"/>
        <w:outlineLvl w:val="2"/>
      </w:pPr>
      <w:r>
        <w:rPr>
          <w:rFonts w:ascii="黑体" w:hAnsi="黑体" w:eastAsia="黑体"/>
          <w:sz w:val="32"/>
        </w:rPr>
        <w:t>四、财政拨款收入支出决算总体情况说明</w:t>
      </w:r>
    </w:p>
    <w:p w14:paraId="79504787">
      <w:pPr>
        <w:spacing w:line="580" w:lineRule="exact"/>
        <w:ind w:firstLine="640"/>
        <w:jc w:val="both"/>
      </w:pPr>
      <w:r>
        <w:rPr>
          <w:rFonts w:ascii="仿宋_GB2312" w:hAnsi="仿宋_GB2312" w:eastAsia="仿宋_GB2312"/>
          <w:b/>
          <w:sz w:val="32"/>
        </w:rPr>
        <w:t>2024年度财政拨款收入总计1,756.27万元，</w:t>
      </w:r>
      <w:r>
        <w:rPr>
          <w:rFonts w:ascii="仿宋_GB2312" w:hAnsi="仿宋_GB2312" w:eastAsia="仿宋_GB2312"/>
          <w:b w:val="0"/>
          <w:sz w:val="32"/>
        </w:rPr>
        <w:t>其中：年初财政拨款结转和结余0.00万元，本年财政拨款收入1,756.27万元。</w:t>
      </w:r>
      <w:r>
        <w:rPr>
          <w:rFonts w:ascii="仿宋_GB2312" w:hAnsi="仿宋_GB2312" w:eastAsia="仿宋_GB2312"/>
          <w:b/>
          <w:sz w:val="32"/>
        </w:rPr>
        <w:t>财政拨款支出总计1,756.27万元，</w:t>
      </w:r>
      <w:r>
        <w:rPr>
          <w:rFonts w:ascii="仿宋_GB2312" w:hAnsi="仿宋_GB2312" w:eastAsia="仿宋_GB2312"/>
          <w:b w:val="0"/>
          <w:sz w:val="32"/>
        </w:rPr>
        <w:t>其中：年末财政拨款结转和结余0.00万元，本年财政拨款支出1,756.27万元。</w:t>
      </w:r>
    </w:p>
    <w:p w14:paraId="1033B31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减少175.40万元，下降9.08%，主要原因是：本年度英吉沙县2024年农业机械化购置补贴项目资金较上年度减少。</w:t>
      </w:r>
      <w:r>
        <w:rPr>
          <w:rFonts w:ascii="仿宋_GB2312" w:hAnsi="仿宋_GB2312" w:eastAsia="仿宋_GB2312"/>
          <w:b/>
          <w:sz w:val="32"/>
        </w:rPr>
        <w:t>与年初预算相比，</w:t>
      </w:r>
      <w:r>
        <w:rPr>
          <w:rFonts w:ascii="仿宋_GB2312" w:hAnsi="仿宋_GB2312" w:eastAsia="仿宋_GB2312"/>
          <w:b w:val="0"/>
          <w:sz w:val="32"/>
        </w:rPr>
        <w:t>年初预算数1,273.07万元，决算数1,756.27万元，预决算差异率37.96%，主要原因是：年中追加2024年超长特别国债支持农业机械报废更新补贴、2024年第二批农机购置与应用补贴，导致预决算存在差异。</w:t>
      </w:r>
    </w:p>
    <w:p w14:paraId="453D67E9">
      <w:pPr>
        <w:spacing w:line="640" w:lineRule="exact"/>
        <w:ind w:firstLine="640"/>
        <w:jc w:val="both"/>
        <w:outlineLvl w:val="2"/>
      </w:pPr>
      <w:r>
        <w:rPr>
          <w:rFonts w:ascii="黑体" w:hAnsi="黑体" w:eastAsia="黑体"/>
          <w:sz w:val="32"/>
        </w:rPr>
        <w:t>五、一般公共预算财政拨款支出决算情况说明</w:t>
      </w:r>
    </w:p>
    <w:p w14:paraId="474083B3">
      <w:pPr>
        <w:spacing w:line="640" w:lineRule="exact"/>
        <w:ind w:firstLine="640"/>
        <w:jc w:val="both"/>
        <w:outlineLvl w:val="3"/>
      </w:pPr>
      <w:r>
        <w:rPr>
          <w:rFonts w:ascii="楷体_GB2312" w:hAnsi="楷体_GB2312" w:eastAsia="楷体_GB2312"/>
          <w:b/>
          <w:sz w:val="32"/>
        </w:rPr>
        <w:t>（一）一般公共预算财政拨款支出决算总体情况</w:t>
      </w:r>
    </w:p>
    <w:p w14:paraId="2A756997">
      <w:pPr>
        <w:spacing w:line="580" w:lineRule="exact"/>
        <w:ind w:firstLine="640"/>
        <w:jc w:val="both"/>
      </w:pPr>
      <w:r>
        <w:rPr>
          <w:rFonts w:ascii="仿宋_GB2312" w:hAnsi="仿宋_GB2312" w:eastAsia="仿宋_GB2312"/>
          <w:b/>
          <w:sz w:val="32"/>
        </w:rPr>
        <w:t>2024年度一般公共预算财政拨款支出1,673.49万元，</w:t>
      </w:r>
      <w:r>
        <w:rPr>
          <w:rFonts w:ascii="仿宋_GB2312" w:hAnsi="仿宋_GB2312" w:eastAsia="仿宋_GB2312"/>
          <w:b w:val="0"/>
          <w:sz w:val="32"/>
        </w:rPr>
        <w:t>占本年支出合计的95.29%。</w:t>
      </w:r>
      <w:r>
        <w:rPr>
          <w:rFonts w:ascii="仿宋_GB2312" w:hAnsi="仿宋_GB2312" w:eastAsia="仿宋_GB2312"/>
          <w:b/>
          <w:sz w:val="32"/>
        </w:rPr>
        <w:t>与上年相比，</w:t>
      </w:r>
      <w:r>
        <w:rPr>
          <w:rFonts w:ascii="仿宋_GB2312" w:hAnsi="仿宋_GB2312" w:eastAsia="仿宋_GB2312"/>
          <w:b w:val="0"/>
          <w:sz w:val="32"/>
        </w:rPr>
        <w:t>减少258.18万元，下降13.37%，主要原因是：本年度英吉沙县2024年农业机械化购置补贴项目资金较上年度减少。</w:t>
      </w:r>
      <w:r>
        <w:rPr>
          <w:rFonts w:ascii="仿宋_GB2312" w:hAnsi="仿宋_GB2312" w:eastAsia="仿宋_GB2312"/>
          <w:b/>
          <w:sz w:val="32"/>
        </w:rPr>
        <w:t>与年初预算相比,</w:t>
      </w:r>
      <w:r>
        <w:rPr>
          <w:rFonts w:ascii="仿宋_GB2312" w:hAnsi="仿宋_GB2312" w:eastAsia="仿宋_GB2312"/>
          <w:b w:val="0"/>
          <w:sz w:val="32"/>
        </w:rPr>
        <w:t>年初预算数1,273.07万元，决算数1,673.49万元，预决算差异率31.45%，主要原因是：年中追加2024年第二批农机购置与应用补贴，导致预决算存在差异。</w:t>
      </w:r>
    </w:p>
    <w:p w14:paraId="52E6730D">
      <w:pPr>
        <w:spacing w:line="640" w:lineRule="exact"/>
        <w:ind w:firstLine="640"/>
        <w:jc w:val="both"/>
        <w:outlineLvl w:val="3"/>
      </w:pPr>
      <w:r>
        <w:rPr>
          <w:rFonts w:ascii="楷体_GB2312" w:hAnsi="楷体_GB2312" w:eastAsia="楷体_GB2312"/>
          <w:b/>
          <w:sz w:val="32"/>
        </w:rPr>
        <w:t>（二）一般公共预算财政拨款支出决算结构情况</w:t>
      </w:r>
    </w:p>
    <w:p w14:paraId="21077D7B">
      <w:pPr>
        <w:spacing w:line="580" w:lineRule="exact"/>
        <w:ind w:firstLine="640"/>
        <w:jc w:val="both"/>
      </w:pPr>
      <w:r>
        <w:rPr>
          <w:rFonts w:ascii="仿宋_GB2312" w:hAnsi="仿宋_GB2312" w:eastAsia="仿宋_GB2312"/>
          <w:b w:val="0"/>
          <w:sz w:val="32"/>
        </w:rPr>
        <w:t>1.社会保障和就业支出(类)53.83万元,占3.22%。</w:t>
      </w:r>
    </w:p>
    <w:p w14:paraId="752E4AE6">
      <w:pPr>
        <w:spacing w:line="580" w:lineRule="exact"/>
        <w:ind w:firstLine="640"/>
        <w:jc w:val="both"/>
      </w:pPr>
      <w:r>
        <w:rPr>
          <w:rFonts w:ascii="仿宋_GB2312" w:hAnsi="仿宋_GB2312" w:eastAsia="仿宋_GB2312"/>
          <w:b w:val="0"/>
          <w:sz w:val="32"/>
        </w:rPr>
        <w:t>2.卫生健康支出(类)12.34万元,占0.74%。</w:t>
      </w:r>
    </w:p>
    <w:p w14:paraId="0BAC216A">
      <w:pPr>
        <w:spacing w:line="580" w:lineRule="exact"/>
        <w:ind w:firstLine="640"/>
        <w:jc w:val="both"/>
      </w:pPr>
      <w:r>
        <w:rPr>
          <w:rFonts w:ascii="仿宋_GB2312" w:hAnsi="仿宋_GB2312" w:eastAsia="仿宋_GB2312"/>
          <w:b w:val="0"/>
          <w:sz w:val="32"/>
        </w:rPr>
        <w:t>3.农林水支出(类)1,585.13万元,占94.72%。</w:t>
      </w:r>
    </w:p>
    <w:p w14:paraId="188C340E">
      <w:pPr>
        <w:spacing w:line="580" w:lineRule="exact"/>
        <w:ind w:firstLine="640"/>
        <w:jc w:val="both"/>
      </w:pPr>
      <w:r>
        <w:rPr>
          <w:rFonts w:ascii="仿宋_GB2312" w:hAnsi="仿宋_GB2312" w:eastAsia="仿宋_GB2312"/>
          <w:b w:val="0"/>
          <w:sz w:val="32"/>
        </w:rPr>
        <w:t>4.住房保障支出(类)22.20万元,占1.33%。</w:t>
      </w:r>
    </w:p>
    <w:p w14:paraId="7AABF758">
      <w:pPr>
        <w:spacing w:line="640" w:lineRule="exact"/>
        <w:ind w:firstLine="640"/>
        <w:jc w:val="both"/>
        <w:outlineLvl w:val="3"/>
      </w:pPr>
      <w:r>
        <w:rPr>
          <w:rFonts w:ascii="楷体_GB2312" w:hAnsi="楷体_GB2312" w:eastAsia="楷体_GB2312"/>
          <w:b/>
          <w:sz w:val="32"/>
        </w:rPr>
        <w:t>（三）一般公共预算财政拨款支出决算具体情况</w:t>
      </w:r>
    </w:p>
    <w:p w14:paraId="1603C34B">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27.44万元，比上年决算增加9.38万元，增长51.94%,主要原因是：本年增加退休人员基础绩效奖，退休费支出增加。本年功能科目调整，事业单位离退休上年度单独列支，本年调整至行政单位离退休科目列支，导致经费较上年增加。</w:t>
      </w:r>
    </w:p>
    <w:p w14:paraId="2F21ACD1">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0.00万元，比上年决算减少3.65万元，下降100.00%,主要原因是：本年功能科目调整，事业单位离退休上年度单独列支，本年调整至行政单位离退休科目列支，导致经费较上年减少。</w:t>
      </w:r>
    </w:p>
    <w:p w14:paraId="6DB232BC">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26.39万元，比上年决算减少1.14万元，下降4.14%,主要原因是：本年在职人员减少，单位基本养老保险缴费较上年减少。</w:t>
      </w:r>
    </w:p>
    <w:p w14:paraId="3A23F1DF">
      <w:pPr>
        <w:spacing w:line="580" w:lineRule="exact"/>
        <w:ind w:firstLine="640"/>
        <w:jc w:val="both"/>
      </w:pPr>
      <w:r>
        <w:rPr>
          <w:rFonts w:ascii="仿宋_GB2312" w:hAnsi="仿宋_GB2312" w:eastAsia="仿宋_GB2312"/>
          <w:b w:val="0"/>
          <w:sz w:val="32"/>
        </w:rPr>
        <w:t>4.卫生健康支出(类)行政事业单位医疗(款)行政单位医疗(项):支出决算数为11.21万元，比上年决算减少2.92万元，下降20.67%,主要原因是：本年在职人员减少，行政单位医疗支出较上年减少。</w:t>
      </w:r>
    </w:p>
    <w:p w14:paraId="6B1A74C3">
      <w:pPr>
        <w:spacing w:line="580" w:lineRule="exact"/>
        <w:ind w:firstLine="640"/>
        <w:jc w:val="both"/>
      </w:pPr>
      <w:r>
        <w:rPr>
          <w:rFonts w:ascii="仿宋_GB2312" w:hAnsi="仿宋_GB2312" w:eastAsia="仿宋_GB2312"/>
          <w:b w:val="0"/>
          <w:sz w:val="32"/>
        </w:rPr>
        <w:t>5.卫生健康支出(类)行政事业单位医疗(款)公务员医疗补助(项):支出决算数为1.12万元，比上年决算减少0.51万元，下降31.29%,主要原因是：本年在职人员减少，公务员医疗补助较上年减少。</w:t>
      </w:r>
    </w:p>
    <w:p w14:paraId="4D8AD6C5">
      <w:pPr>
        <w:spacing w:line="580" w:lineRule="exact"/>
        <w:ind w:firstLine="640"/>
        <w:jc w:val="both"/>
      </w:pPr>
      <w:r>
        <w:rPr>
          <w:rFonts w:ascii="仿宋_GB2312" w:hAnsi="仿宋_GB2312" w:eastAsia="仿宋_GB2312"/>
          <w:b w:val="0"/>
          <w:sz w:val="32"/>
        </w:rPr>
        <w:t>6.农林水支出(类)农业农村(款)行政运行(项):支出决算数为84.79万元，比上年决算减少4.47万元，下降5.01%,主要原因是：本年在职人员减少，相应人员经费较上年减少。</w:t>
      </w:r>
    </w:p>
    <w:p w14:paraId="111A81A6">
      <w:pPr>
        <w:spacing w:line="580" w:lineRule="exact"/>
        <w:ind w:firstLine="640"/>
        <w:jc w:val="both"/>
      </w:pPr>
      <w:r>
        <w:rPr>
          <w:rFonts w:ascii="仿宋_GB2312" w:hAnsi="仿宋_GB2312" w:eastAsia="仿宋_GB2312"/>
          <w:b w:val="0"/>
          <w:sz w:val="32"/>
        </w:rPr>
        <w:t>7.农林水支出(类)农业农村(款)事业运行(项):支出决算数为181.38万元，比上年决算增加34.28万元，增长23.30%,主要原因是：本年事业在职人员工资调增，导致相关人员经费较上年有所增加。</w:t>
      </w:r>
    </w:p>
    <w:p w14:paraId="08D2545A">
      <w:pPr>
        <w:spacing w:line="580" w:lineRule="exact"/>
        <w:ind w:firstLine="640"/>
        <w:jc w:val="both"/>
      </w:pPr>
      <w:r>
        <w:rPr>
          <w:rFonts w:ascii="仿宋_GB2312" w:hAnsi="仿宋_GB2312" w:eastAsia="仿宋_GB2312"/>
          <w:b w:val="0"/>
          <w:sz w:val="32"/>
        </w:rPr>
        <w:t>8.农林水支出(类)农业农村(款)农业生产发展(项):支出决算数为1,318.96万元，比上年决算减少284.95万元，下降17.77%,主要原因是：本年度英吉沙县2024年农业机械化购置补贴项目资金拨款较上年度减少。</w:t>
      </w:r>
    </w:p>
    <w:p w14:paraId="4D7E9877">
      <w:pPr>
        <w:spacing w:line="580" w:lineRule="exact"/>
        <w:ind w:firstLine="640"/>
        <w:jc w:val="both"/>
      </w:pPr>
      <w:r>
        <w:rPr>
          <w:rFonts w:ascii="仿宋_GB2312" w:hAnsi="仿宋_GB2312" w:eastAsia="仿宋_GB2312"/>
          <w:b w:val="0"/>
          <w:sz w:val="32"/>
        </w:rPr>
        <w:t>9.住房保障支出(类)住房改革支出(款)住房公积金(项):支出决算数为22.20万元，比上年决算减少4.20万元，下降15.91%,主要原因是：本年在职人员减少，住房公积金缴费较上年减少。</w:t>
      </w:r>
    </w:p>
    <w:p w14:paraId="3DF64122">
      <w:pPr>
        <w:spacing w:line="640" w:lineRule="exact"/>
        <w:ind w:firstLine="640"/>
        <w:jc w:val="both"/>
        <w:outlineLvl w:val="2"/>
      </w:pPr>
      <w:r>
        <w:rPr>
          <w:rFonts w:ascii="黑体" w:hAnsi="黑体" w:eastAsia="黑体"/>
          <w:sz w:val="32"/>
        </w:rPr>
        <w:t>六、一般公共预算财政拨款基本支出决算情况说明</w:t>
      </w:r>
    </w:p>
    <w:p w14:paraId="0BF0B5BB">
      <w:pPr>
        <w:spacing w:line="580" w:lineRule="exact"/>
        <w:ind w:firstLine="640"/>
        <w:jc w:val="both"/>
      </w:pPr>
      <w:r>
        <w:rPr>
          <w:rFonts w:ascii="仿宋_GB2312" w:hAnsi="仿宋_GB2312" w:eastAsia="仿宋_GB2312"/>
          <w:b w:val="0"/>
          <w:sz w:val="32"/>
        </w:rPr>
        <w:t>2024年度一般公共预算财政拨款基本支出354.53万元，其中：</w:t>
      </w:r>
      <w:r>
        <w:rPr>
          <w:rFonts w:ascii="仿宋_GB2312" w:hAnsi="仿宋_GB2312" w:eastAsia="仿宋_GB2312"/>
          <w:b/>
          <w:sz w:val="32"/>
        </w:rPr>
        <w:t>人员经费345.72万元，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7DE82649">
      <w:pPr>
        <w:spacing w:line="580" w:lineRule="exact"/>
        <w:ind w:firstLine="640"/>
        <w:jc w:val="both"/>
      </w:pPr>
      <w:r>
        <w:rPr>
          <w:rFonts w:ascii="仿宋_GB2312" w:hAnsi="仿宋_GB2312" w:eastAsia="仿宋_GB2312"/>
          <w:b/>
          <w:sz w:val="32"/>
        </w:rPr>
        <w:t>公用经费8.81万元，</w:t>
      </w:r>
      <w:r>
        <w:rPr>
          <w:rFonts w:ascii="仿宋_GB2312" w:hAnsi="仿宋_GB2312" w:eastAsia="仿宋_GB2312"/>
          <w:b w:val="0"/>
          <w:sz w:val="32"/>
        </w:rPr>
        <w:t>包括：办公费、水费、电费、邮电费、差旅费、公务用车运行维护费。</w:t>
      </w:r>
    </w:p>
    <w:p w14:paraId="3EF6184D">
      <w:pPr>
        <w:spacing w:line="640" w:lineRule="exact"/>
        <w:ind w:firstLine="640"/>
        <w:jc w:val="both"/>
        <w:outlineLvl w:val="2"/>
      </w:pPr>
      <w:r>
        <w:rPr>
          <w:rFonts w:ascii="黑体" w:hAnsi="黑体" w:eastAsia="黑体"/>
          <w:sz w:val="32"/>
        </w:rPr>
        <w:t>七、政府性基金预算财政拨款收入支出决算情况说明</w:t>
      </w:r>
    </w:p>
    <w:p w14:paraId="4CFC0E75">
      <w:pPr>
        <w:spacing w:line="580" w:lineRule="exact"/>
        <w:ind w:firstLine="640"/>
        <w:jc w:val="both"/>
      </w:pPr>
      <w:r>
        <w:rPr>
          <w:rFonts w:ascii="仿宋_GB2312" w:hAnsi="仿宋_GB2312" w:eastAsia="仿宋_GB2312"/>
          <w:b/>
          <w:sz w:val="32"/>
        </w:rPr>
        <w:t>2024年度政府性基金预算财政拨款收入总计82.78万元，</w:t>
      </w:r>
      <w:r>
        <w:rPr>
          <w:rFonts w:ascii="仿宋_GB2312" w:hAnsi="仿宋_GB2312" w:eastAsia="仿宋_GB2312"/>
          <w:b w:val="0"/>
          <w:sz w:val="32"/>
        </w:rPr>
        <w:t>其中：年初结转和结余0.00万元，本年收入82.78万元。</w:t>
      </w:r>
      <w:r>
        <w:rPr>
          <w:rFonts w:ascii="仿宋_GB2312" w:hAnsi="仿宋_GB2312" w:eastAsia="仿宋_GB2312"/>
          <w:b/>
          <w:sz w:val="32"/>
        </w:rPr>
        <w:t>政府性基金预算财政拨款支出总计82.78万元，</w:t>
      </w:r>
      <w:r>
        <w:rPr>
          <w:rFonts w:ascii="仿宋_GB2312" w:hAnsi="仿宋_GB2312" w:eastAsia="仿宋_GB2312"/>
          <w:b w:val="0"/>
          <w:sz w:val="32"/>
        </w:rPr>
        <w:t>其中：年末结转和结余0.00万元，本年支出82.78万元。</w:t>
      </w:r>
    </w:p>
    <w:p w14:paraId="71FDF7F9">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增加82.78万元，增长100.00%，主要原因是：本年度增加2024年</w:t>
      </w:r>
      <w:r>
        <w:rPr>
          <w:rFonts w:hint="eastAsia" w:ascii="仿宋_GB2312" w:hAnsi="仿宋_GB2312" w:eastAsia="仿宋_GB2312"/>
          <w:b w:val="0"/>
          <w:sz w:val="32"/>
          <w:lang w:eastAsia="zh-CN"/>
        </w:rPr>
        <w:t>超长期</w:t>
      </w:r>
      <w:r>
        <w:rPr>
          <w:rFonts w:ascii="仿宋_GB2312" w:hAnsi="仿宋_GB2312" w:eastAsia="仿宋_GB2312"/>
          <w:b w:val="0"/>
          <w:sz w:val="32"/>
        </w:rPr>
        <w:t>特别国债支持农业机械报废更新补贴，导致经费较上年增加。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年初预算数0.00万元，决算数82.78万元，预决算差异率100.00%，主要原因是：年中追加2024年</w:t>
      </w:r>
      <w:r>
        <w:rPr>
          <w:rFonts w:hint="eastAsia" w:ascii="仿宋_GB2312" w:hAnsi="仿宋_GB2312" w:eastAsia="仿宋_GB2312"/>
          <w:b w:val="0"/>
          <w:sz w:val="32"/>
          <w:lang w:eastAsia="zh-CN"/>
        </w:rPr>
        <w:t>超长期</w:t>
      </w:r>
      <w:r>
        <w:rPr>
          <w:rFonts w:ascii="仿宋_GB2312" w:hAnsi="仿宋_GB2312" w:eastAsia="仿宋_GB2312"/>
          <w:b w:val="0"/>
          <w:sz w:val="32"/>
        </w:rPr>
        <w:t>特别国债支持农业机械报废更新补贴项目，导致预决算存在差异。</w:t>
      </w:r>
    </w:p>
    <w:p w14:paraId="6113587A">
      <w:pPr>
        <w:spacing w:line="580" w:lineRule="exact"/>
        <w:ind w:firstLine="640"/>
        <w:jc w:val="both"/>
      </w:pPr>
      <w:r>
        <w:rPr>
          <w:rFonts w:ascii="仿宋_GB2312" w:hAnsi="仿宋_GB2312" w:eastAsia="仿宋_GB2312"/>
          <w:b w:val="0"/>
          <w:sz w:val="32"/>
        </w:rPr>
        <w:t>政府性基金预算财政拨款支出82.78万元。</w:t>
      </w:r>
    </w:p>
    <w:p w14:paraId="1B753DE9">
      <w:pPr>
        <w:spacing w:line="580" w:lineRule="exact"/>
        <w:ind w:firstLine="640"/>
        <w:jc w:val="both"/>
      </w:pPr>
      <w:r>
        <w:rPr>
          <w:rFonts w:ascii="仿宋_GB2312" w:hAnsi="仿宋_GB2312" w:eastAsia="仿宋_GB2312"/>
          <w:b w:val="0"/>
          <w:sz w:val="32"/>
        </w:rPr>
        <w:t>1.资源勘探工业信息等支出(类)超长期特别国债安排的支出(款)制造业(项):支出决算数为82.78万元，比上年决算增加82.78万元，增长100.00%,主要原因是：本年度增加2024年</w:t>
      </w:r>
      <w:r>
        <w:rPr>
          <w:rFonts w:hint="eastAsia" w:ascii="仿宋_GB2312" w:hAnsi="仿宋_GB2312" w:eastAsia="仿宋_GB2312"/>
          <w:b w:val="0"/>
          <w:sz w:val="32"/>
          <w:lang w:eastAsia="zh-CN"/>
        </w:rPr>
        <w:t>超长期</w:t>
      </w:r>
      <w:r>
        <w:rPr>
          <w:rFonts w:ascii="仿宋_GB2312" w:hAnsi="仿宋_GB2312" w:eastAsia="仿宋_GB2312"/>
          <w:b w:val="0"/>
          <w:sz w:val="32"/>
        </w:rPr>
        <w:t>特别国债支持农业机械报废更新补贴，导致经费较上年增加。</w:t>
      </w:r>
    </w:p>
    <w:p w14:paraId="7E106FA9">
      <w:pPr>
        <w:spacing w:line="640" w:lineRule="exact"/>
        <w:ind w:firstLine="640"/>
        <w:jc w:val="both"/>
        <w:outlineLvl w:val="2"/>
      </w:pPr>
      <w:r>
        <w:rPr>
          <w:rFonts w:ascii="黑体" w:hAnsi="黑体" w:eastAsia="黑体"/>
          <w:sz w:val="32"/>
        </w:rPr>
        <w:t>八、国有资本经营预算财政拨款收入支出决算情况说明</w:t>
      </w:r>
    </w:p>
    <w:p w14:paraId="2EFF2A9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1570FD9">
      <w:pPr>
        <w:spacing w:line="640" w:lineRule="exact"/>
        <w:ind w:firstLine="640"/>
        <w:jc w:val="both"/>
        <w:outlineLvl w:val="2"/>
      </w:pPr>
      <w:r>
        <w:rPr>
          <w:rFonts w:ascii="黑体" w:hAnsi="黑体" w:eastAsia="黑体"/>
          <w:sz w:val="32"/>
        </w:rPr>
        <w:t>九、财政拨款“三公”经费支出决算情况说明</w:t>
      </w:r>
    </w:p>
    <w:p w14:paraId="670C3734">
      <w:pPr>
        <w:spacing w:line="580" w:lineRule="exact"/>
        <w:ind w:firstLine="640"/>
        <w:jc w:val="both"/>
      </w:pPr>
      <w:r>
        <w:rPr>
          <w:rFonts w:ascii="仿宋_GB2312" w:hAnsi="仿宋_GB2312" w:eastAsia="仿宋_GB2312"/>
          <w:b/>
          <w:sz w:val="32"/>
        </w:rPr>
        <w:t>2024年度财政拨款“三公”经费支出1.80万元，</w:t>
      </w:r>
      <w:r>
        <w:rPr>
          <w:rFonts w:ascii="仿宋_GB2312" w:hAnsi="仿宋_GB2312" w:eastAsia="仿宋_GB2312"/>
          <w:b w:val="0"/>
          <w:sz w:val="32"/>
        </w:rPr>
        <w:t>比上年增加0.20万元，增长12.50%，主要原因是：本年支付以前年度公务用车维修费。其中：因公出国（境）费支出0.00万元，占0.00%，比上年增加0.00万元，增长0.00%，主要原因是：2023年与2024年均未安排因公出国（境）费支出。公务用车购置及运行维护费支出1.80万元，占100.00%，比上年增加0.20万元，增长12.50%，主要原因是：本年支付以前年度公务用车维修费。公务接待费支出0.00万元，占0.00%，比上年增加0.00万元，增长0.00%，主要原因是：2023年与2024年均未安排公务接待费支出。</w:t>
      </w:r>
    </w:p>
    <w:p w14:paraId="6AD62D04">
      <w:pPr>
        <w:spacing w:line="580" w:lineRule="exact"/>
        <w:ind w:firstLine="640"/>
        <w:jc w:val="both"/>
      </w:pPr>
      <w:r>
        <w:rPr>
          <w:rFonts w:ascii="仿宋_GB2312" w:hAnsi="仿宋_GB2312" w:eastAsia="仿宋_GB2312"/>
          <w:b/>
          <w:sz w:val="32"/>
        </w:rPr>
        <w:t>具体情况如下：</w:t>
      </w:r>
    </w:p>
    <w:p w14:paraId="3D83CFD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6805AAD">
      <w:pPr>
        <w:spacing w:line="580" w:lineRule="exact"/>
        <w:ind w:firstLine="640"/>
        <w:jc w:val="both"/>
      </w:pPr>
      <w:r>
        <w:rPr>
          <w:rFonts w:ascii="仿宋_GB2312" w:hAnsi="仿宋_GB2312" w:eastAsia="仿宋_GB2312"/>
          <w:b w:val="0"/>
          <w:sz w:val="32"/>
        </w:rPr>
        <w:t>公务用车购置及运行维护费1.80万元，其中：公务用车购置费0.00万元，公务用车运行维护费1.80万元。公务用车运行维护费开支内容包括公务用车维修费。公务用车购置数0辆，公务用车保有量1辆。国有资产占用情况中固定资产车辆4辆，与公务用车保有量差异原因是：本单位车辆借用其他单位使用，车辆费用由使用单位支付。</w:t>
      </w:r>
    </w:p>
    <w:p w14:paraId="07F2AFF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0D258D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1.80万元，决算数1.80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1.80万元，决算数1.80万元，预决算差异率0.00%，主要原因是：严格按照预算执行，预决算无差异。公务接待费全年预算数0.00万元，决算数0.00万元，预决算差异率0.00%，主要原因是：本单位无公务接待费。</w:t>
      </w:r>
    </w:p>
    <w:p w14:paraId="6DD4BB69">
      <w:pPr>
        <w:spacing w:line="640" w:lineRule="exact"/>
        <w:ind w:firstLine="640"/>
        <w:jc w:val="both"/>
        <w:outlineLvl w:val="2"/>
      </w:pPr>
      <w:r>
        <w:rPr>
          <w:rFonts w:ascii="黑体" w:hAnsi="黑体" w:eastAsia="黑体"/>
          <w:sz w:val="32"/>
        </w:rPr>
        <w:t>十、其他重要事项的情况说明</w:t>
      </w:r>
    </w:p>
    <w:p w14:paraId="6DCC60F5">
      <w:pPr>
        <w:spacing w:line="640" w:lineRule="exact"/>
        <w:ind w:firstLine="640"/>
        <w:jc w:val="both"/>
        <w:outlineLvl w:val="3"/>
      </w:pPr>
      <w:r>
        <w:rPr>
          <w:rFonts w:ascii="楷体_GB2312" w:hAnsi="楷体_GB2312" w:eastAsia="楷体_GB2312"/>
          <w:b/>
          <w:sz w:val="32"/>
        </w:rPr>
        <w:t>（一）机关运行经费及公用经费支出情况</w:t>
      </w:r>
    </w:p>
    <w:p w14:paraId="7DEC5396">
      <w:pPr>
        <w:spacing w:line="580" w:lineRule="exact"/>
        <w:ind w:firstLine="640"/>
        <w:jc w:val="both"/>
      </w:pPr>
      <w:r>
        <w:rPr>
          <w:rFonts w:ascii="仿宋_GB2312" w:hAnsi="仿宋_GB2312" w:eastAsia="仿宋_GB2312"/>
          <w:b w:val="0"/>
          <w:sz w:val="32"/>
        </w:rPr>
        <w:t>2024年度英吉沙县农业农村机械化发展中心（行政单位和参照公务员法管理事业单位）机关运行经费支出8.81万元，比上年增加3.83万元，增长76.91%，主要原因是：本年增加办公费，差旅费增加，导致机关运行经费支出增加。</w:t>
      </w:r>
    </w:p>
    <w:p w14:paraId="2A610B08">
      <w:pPr>
        <w:spacing w:line="640" w:lineRule="exact"/>
        <w:ind w:firstLine="640"/>
        <w:jc w:val="both"/>
        <w:outlineLvl w:val="3"/>
      </w:pPr>
      <w:r>
        <w:rPr>
          <w:rFonts w:ascii="楷体_GB2312" w:hAnsi="楷体_GB2312" w:eastAsia="楷体_GB2312"/>
          <w:b/>
          <w:sz w:val="32"/>
        </w:rPr>
        <w:t>（二）政府采购情况</w:t>
      </w:r>
    </w:p>
    <w:p w14:paraId="26902F04">
      <w:pPr>
        <w:spacing w:line="580" w:lineRule="exact"/>
        <w:ind w:firstLine="640"/>
        <w:jc w:val="both"/>
      </w:pPr>
      <w:r>
        <w:rPr>
          <w:rFonts w:ascii="仿宋_GB2312" w:hAnsi="仿宋_GB2312" w:eastAsia="仿宋_GB2312"/>
          <w:b w:val="0"/>
          <w:sz w:val="32"/>
        </w:rPr>
        <w:t>2024年度政府采购支出总额4.07万元，其中：政府采购货物支出4.07万元、政府采购工程支出0.00万元、政府采购服务支出0.00万元。</w:t>
      </w:r>
    </w:p>
    <w:p w14:paraId="5B2FF8E7">
      <w:pPr>
        <w:spacing w:line="580" w:lineRule="exact"/>
        <w:ind w:firstLine="640"/>
        <w:jc w:val="both"/>
      </w:pPr>
      <w:r>
        <w:rPr>
          <w:rFonts w:ascii="仿宋_GB2312" w:hAnsi="仿宋_GB2312" w:eastAsia="仿宋_GB2312"/>
          <w:b w:val="0"/>
          <w:sz w:val="32"/>
        </w:rPr>
        <w:t>授予中小企业合同金额4.07万元，占政府采购支出总额的100.00%，其中：授予小微企业合同金额4.07万元，占政府采购支出总额的100.00%。</w:t>
      </w:r>
    </w:p>
    <w:p w14:paraId="745D4890">
      <w:pPr>
        <w:spacing w:line="640" w:lineRule="exact"/>
        <w:ind w:firstLine="640"/>
        <w:jc w:val="both"/>
        <w:outlineLvl w:val="3"/>
      </w:pPr>
      <w:r>
        <w:rPr>
          <w:rFonts w:ascii="楷体_GB2312" w:hAnsi="楷体_GB2312" w:eastAsia="楷体_GB2312"/>
          <w:b/>
          <w:sz w:val="32"/>
        </w:rPr>
        <w:t>（三）国有资产占用情况说明</w:t>
      </w:r>
    </w:p>
    <w:p w14:paraId="14E940D9">
      <w:pPr>
        <w:spacing w:line="580" w:lineRule="exact"/>
        <w:ind w:firstLine="640"/>
        <w:jc w:val="both"/>
      </w:pPr>
      <w:r>
        <w:rPr>
          <w:rFonts w:ascii="仿宋_GB2312" w:hAnsi="仿宋_GB2312" w:eastAsia="仿宋_GB2312"/>
          <w:b w:val="0"/>
          <w:sz w:val="32"/>
        </w:rPr>
        <w:t>截至2024年12月31日，房屋13,992.89平方米，价值1,130.63万元。车辆4辆，价值25.85万元，其中：副部（省）级及以上领导用车0辆、主要负责人用车0辆、机要通信用车0辆、应急保障用车0辆、执法执勤用车0辆、特种专业技术用车0辆、离退休干部服务用车0辆、其他用车4辆，其他用车主要是：一般公务用车和单位业务用车。单价100万元（含）以上设备（不含车辆）1台（套）。</w:t>
      </w:r>
    </w:p>
    <w:p w14:paraId="7D4A81DF">
      <w:pPr>
        <w:spacing w:line="640" w:lineRule="exact"/>
        <w:ind w:firstLine="640"/>
        <w:jc w:val="both"/>
        <w:outlineLvl w:val="2"/>
      </w:pPr>
      <w:r>
        <w:rPr>
          <w:rFonts w:ascii="黑体" w:hAnsi="黑体" w:eastAsia="黑体"/>
          <w:sz w:val="32"/>
        </w:rPr>
        <w:t>十一、预算绩效的情况说明</w:t>
      </w:r>
    </w:p>
    <w:p w14:paraId="00C3DA0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1,756.26万元，实际执行总额1,756.26万元；预算绩效评价项目2个，全年预算数1,314.00万元，全年执行数1,313.95万元。预算绩效管理取得的成效：一是强化了单位职能为核心；二是全面提升了</w:t>
      </w:r>
      <w:r>
        <w:rPr>
          <w:rFonts w:hint="eastAsia" w:ascii="仿宋_GB2312" w:hAnsi="仿宋_GB2312" w:eastAsia="仿宋_GB2312"/>
          <w:b w:val="0"/>
          <w:sz w:val="32"/>
          <w:lang w:eastAsia="zh-CN"/>
        </w:rPr>
        <w:t>本单位</w:t>
      </w:r>
      <w:r>
        <w:rPr>
          <w:rFonts w:ascii="仿宋_GB2312" w:hAnsi="仿宋_GB2312" w:eastAsia="仿宋_GB2312"/>
          <w:b w:val="0"/>
          <w:sz w:val="32"/>
        </w:rPr>
        <w:t>公共服务水平。发现的问题及原因：一是绩效评价体系还不够完善。对预算绩效管理的重要性认识不足</w:t>
      </w:r>
      <w:r>
        <w:rPr>
          <w:rFonts w:hint="eastAsia" w:ascii="仿宋_GB2312" w:hAnsi="仿宋_GB2312" w:eastAsia="仿宋_GB2312"/>
          <w:b w:val="0"/>
          <w:sz w:val="32"/>
          <w:lang w:eastAsia="zh-CN"/>
        </w:rPr>
        <w:t>，</w:t>
      </w:r>
      <w:r>
        <w:rPr>
          <w:rFonts w:ascii="仿宋_GB2312" w:hAnsi="仿宋_GB2312" w:eastAsia="仿宋_GB2312"/>
          <w:b w:val="0"/>
          <w:sz w:val="32"/>
        </w:rPr>
        <w:t>对预算绩效管理认识和了解不够深入，预算绩效管理体制没有完善</w:t>
      </w:r>
      <w:r>
        <w:rPr>
          <w:rFonts w:hint="eastAsia" w:ascii="仿宋_GB2312" w:hAnsi="仿宋_GB2312" w:eastAsia="仿宋_GB2312"/>
          <w:b w:val="0"/>
          <w:sz w:val="32"/>
          <w:lang w:eastAsia="zh-CN"/>
        </w:rPr>
        <w:t>地</w:t>
      </w:r>
      <w:r>
        <w:rPr>
          <w:rFonts w:ascii="仿宋_GB2312" w:hAnsi="仿宋_GB2312" w:eastAsia="仿宋_GB2312"/>
          <w:b w:val="0"/>
          <w:sz w:val="32"/>
        </w:rPr>
        <w:t>建立起来；二是管理水平和政策实施效果还不够明显。预算绩效管理队伍薄弱，对预算绩效管理的经验欠缺，工作人员频繁更换，工作人员业务不精通、经验有限，实际操作难，无法做到对预算绩效工作的全面管理。下一步改进措施：一是不断加强绩效管理队伍建设。加强对预算单位绩效专干、财务人员对绩效工作及绩效系统的培训，强化预算绩效管理、成本管理的理念，完善绩效指标，提高整体绩效目标质量，提升预算精细化管理水平；二是继续完善预算绩效管理相关工作制度，建立全过程预算绩效管理链条，有效贯彻落实全面实施绩效管理的精神。具体附整体支出绩效自评表，项目支出绩效自评表和评价报告。</w:t>
      </w:r>
    </w:p>
    <w:p w14:paraId="37FFCE6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D68A3CB">
        <w:tblPrEx>
          <w:tblCellMar>
            <w:top w:w="0" w:type="dxa"/>
            <w:left w:w="108" w:type="dxa"/>
            <w:bottom w:w="0" w:type="dxa"/>
            <w:right w:w="108" w:type="dxa"/>
          </w:tblCellMar>
        </w:tblPrEx>
        <w:tc>
          <w:tcPr>
            <w:tcW w:w="8847" w:type="dxa"/>
            <w:gridSpan w:val="9"/>
            <w:vAlign w:val="center"/>
          </w:tcPr>
          <w:p w14:paraId="42F70FD2">
            <w:pPr>
              <w:jc w:val="center"/>
            </w:pPr>
            <w:r>
              <w:rPr>
                <w:rFonts w:ascii="宋体" w:hAnsi="宋体" w:eastAsia="宋体"/>
                <w:sz w:val="24"/>
              </w:rPr>
              <w:t>单位整体支出绩效自评表</w:t>
            </w:r>
          </w:p>
        </w:tc>
      </w:tr>
      <w:tr w14:paraId="0E258904">
        <w:tblPrEx>
          <w:tblCellMar>
            <w:top w:w="0" w:type="dxa"/>
            <w:left w:w="108" w:type="dxa"/>
            <w:bottom w:w="0" w:type="dxa"/>
            <w:right w:w="108" w:type="dxa"/>
          </w:tblCellMar>
        </w:tblPrEx>
        <w:tc>
          <w:tcPr>
            <w:tcW w:w="8847" w:type="dxa"/>
            <w:gridSpan w:val="9"/>
            <w:vAlign w:val="center"/>
          </w:tcPr>
          <w:p w14:paraId="3610035F">
            <w:pPr>
              <w:jc w:val="center"/>
            </w:pPr>
            <w:r>
              <w:rPr>
                <w:rFonts w:ascii="宋体" w:hAnsi="宋体" w:eastAsia="宋体"/>
                <w:sz w:val="24"/>
              </w:rPr>
              <w:t>（2024年度）</w:t>
            </w:r>
          </w:p>
        </w:tc>
      </w:tr>
      <w:tr w14:paraId="06240C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3D8C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7977219">
            <w:pPr>
              <w:jc w:val="center"/>
            </w:pPr>
            <w:r>
              <w:rPr>
                <w:rFonts w:ascii="宋体" w:hAnsi="宋体" w:eastAsia="宋体"/>
                <w:sz w:val="16"/>
              </w:rPr>
              <w:t>英吉沙县农业农村机械化发展中心</w:t>
            </w:r>
          </w:p>
        </w:tc>
      </w:tr>
      <w:tr w14:paraId="214C49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9BAD8">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1450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2706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D689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72093">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95DD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352D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1DA1D">
            <w:pPr>
              <w:jc w:val="center"/>
            </w:pPr>
            <w:r>
              <w:rPr>
                <w:rFonts w:ascii="宋体" w:hAnsi="宋体" w:eastAsia="宋体"/>
                <w:sz w:val="16"/>
              </w:rPr>
              <w:t>得分</w:t>
            </w:r>
          </w:p>
        </w:tc>
      </w:tr>
      <w:tr w14:paraId="4CE6FF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DC62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5669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6DE24">
            <w:pPr>
              <w:jc w:val="center"/>
            </w:pPr>
            <w:r>
              <w:rPr>
                <w:rFonts w:ascii="宋体" w:hAnsi="宋体" w:eastAsia="宋体"/>
                <w:sz w:val="16"/>
              </w:rPr>
              <w:t>1,273.08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DED73">
            <w:pPr>
              <w:jc w:val="center"/>
            </w:pPr>
            <w:r>
              <w:rPr>
                <w:rFonts w:ascii="宋体" w:hAnsi="宋体" w:eastAsia="宋体"/>
                <w:sz w:val="16"/>
              </w:rPr>
              <w:t>1,756.26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4B08F">
            <w:pPr>
              <w:jc w:val="center"/>
            </w:pPr>
            <w:r>
              <w:rPr>
                <w:rFonts w:ascii="宋体" w:hAnsi="宋体" w:eastAsia="宋体"/>
                <w:sz w:val="16"/>
              </w:rPr>
              <w:t>1,756.26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269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47348">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3779C">
            <w:pPr>
              <w:jc w:val="center"/>
            </w:pPr>
            <w:r>
              <w:rPr>
                <w:rFonts w:ascii="宋体" w:hAnsi="宋体" w:eastAsia="宋体"/>
                <w:sz w:val="16"/>
              </w:rPr>
              <w:t>10</w:t>
            </w:r>
          </w:p>
        </w:tc>
      </w:tr>
      <w:tr w14:paraId="15E75B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7F6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1FC5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8FA97">
            <w:pPr>
              <w:jc w:val="center"/>
            </w:pPr>
            <w:r>
              <w:rPr>
                <w:rFonts w:ascii="宋体" w:hAnsi="宋体" w:eastAsia="宋体"/>
                <w:sz w:val="16"/>
              </w:rPr>
              <w:t>1,273.08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D1D92">
            <w:pPr>
              <w:jc w:val="center"/>
            </w:pPr>
            <w:r>
              <w:rPr>
                <w:rFonts w:ascii="宋体" w:hAnsi="宋体" w:eastAsia="宋体"/>
                <w:sz w:val="16"/>
              </w:rPr>
              <w:t>1,401.73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71537">
            <w:pPr>
              <w:jc w:val="center"/>
            </w:pPr>
            <w:r>
              <w:rPr>
                <w:rFonts w:ascii="宋体" w:hAnsi="宋体" w:eastAsia="宋体"/>
                <w:sz w:val="16"/>
              </w:rPr>
              <w:t>1,401.73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3BB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05D3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43677">
            <w:pPr>
              <w:jc w:val="center"/>
            </w:pPr>
            <w:r>
              <w:rPr>
                <w:rFonts w:ascii="宋体" w:hAnsi="宋体" w:eastAsia="宋体"/>
                <w:sz w:val="16"/>
              </w:rPr>
              <w:t>—</w:t>
            </w:r>
          </w:p>
        </w:tc>
      </w:tr>
      <w:tr w14:paraId="2D7C1C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A3D9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80D9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0AB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06DD8">
            <w:pPr>
              <w:jc w:val="center"/>
            </w:pPr>
            <w:r>
              <w:rPr>
                <w:rFonts w:ascii="宋体" w:hAnsi="宋体" w:eastAsia="宋体"/>
                <w:sz w:val="16"/>
              </w:rPr>
              <w:t>354.53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6BE73">
            <w:pPr>
              <w:jc w:val="center"/>
            </w:pPr>
            <w:r>
              <w:rPr>
                <w:rFonts w:ascii="宋体" w:hAnsi="宋体" w:eastAsia="宋体"/>
                <w:sz w:val="16"/>
              </w:rPr>
              <w:t>354.53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AEF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ACE8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F75AA">
            <w:pPr>
              <w:jc w:val="center"/>
            </w:pPr>
            <w:r>
              <w:rPr>
                <w:rFonts w:ascii="宋体" w:hAnsi="宋体" w:eastAsia="宋体"/>
                <w:sz w:val="16"/>
              </w:rPr>
              <w:t>—</w:t>
            </w:r>
          </w:p>
        </w:tc>
      </w:tr>
      <w:tr w14:paraId="303838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A654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5B26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3CC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805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49C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0D0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26D0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F9987">
            <w:pPr>
              <w:jc w:val="center"/>
            </w:pPr>
            <w:r>
              <w:rPr>
                <w:rFonts w:ascii="宋体" w:hAnsi="宋体" w:eastAsia="宋体"/>
                <w:sz w:val="16"/>
              </w:rPr>
              <w:t>—</w:t>
            </w:r>
          </w:p>
        </w:tc>
      </w:tr>
      <w:tr w14:paraId="1986CD4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6119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86227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100DBA">
            <w:pPr>
              <w:jc w:val="center"/>
            </w:pPr>
            <w:r>
              <w:rPr>
                <w:rFonts w:ascii="宋体" w:hAnsi="宋体" w:eastAsia="宋体"/>
                <w:sz w:val="16"/>
              </w:rPr>
              <w:t>实际完成情况</w:t>
            </w:r>
          </w:p>
        </w:tc>
      </w:tr>
      <w:tr w14:paraId="082DD2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0258A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42FEBA">
            <w:pPr>
              <w:jc w:val="both"/>
            </w:pPr>
            <w:r>
              <w:rPr>
                <w:rFonts w:hint="eastAsia" w:ascii="宋体" w:hAnsi="宋体"/>
                <w:sz w:val="16"/>
                <w:lang w:eastAsia="zh-CN"/>
              </w:rPr>
              <w:t>坚持以习近平新时代中国特色社会</w:t>
            </w:r>
            <w:r>
              <w:rPr>
                <w:rFonts w:ascii="宋体" w:hAnsi="宋体" w:eastAsia="宋体"/>
                <w:sz w:val="16"/>
              </w:rPr>
              <w:t>主义思想为指导，深入学习贯彻党的二十大精神，贯彻落实习近平总书记关于“三农”工作重要论述、习近平总书记在听取自治区党委及新疆生产建设兵团工作汇报时的重要讲话精神、第三次中央新疆工作座谈会精神，完整准确</w:t>
            </w:r>
            <w:r>
              <w:rPr>
                <w:rFonts w:hint="eastAsia" w:ascii="宋体" w:hAnsi="宋体"/>
                <w:sz w:val="16"/>
                <w:lang w:val="en-US" w:eastAsia="zh-CN"/>
              </w:rPr>
              <w:t>全面</w:t>
            </w:r>
            <w:r>
              <w:rPr>
                <w:rFonts w:ascii="宋体" w:hAnsi="宋体" w:eastAsia="宋体"/>
                <w:sz w:val="16"/>
              </w:rPr>
              <w:t>贯彻新时代党的治疆方略，长治久安总目标，贯彻落实中央农村工作会议精神，坚持党建统领，落实“两个统筹”工作，紧盯农机化薄弱环节，加快推进粮棉油、畜牧养殖、特色林果等生产全程机械化，不断提升农机装备水平、作业水平、科技水平、安全水平和社会化服务水平，高质量完成农业机械化发展目标任务，为实施乡村振兴战略、推进农业现代化提供支撑。2024年，计划完成机耕率100%，机播率100%，机收率90%，我县主要农作物耕种收综合机械化水平达到87%。预计培训农机（操作、维修及农机合作社法人代表）8000人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E7B309">
            <w:pPr>
              <w:jc w:val="both"/>
            </w:pPr>
            <w:r>
              <w:rPr>
                <w:rFonts w:ascii="宋体" w:hAnsi="宋体" w:eastAsia="宋体"/>
                <w:sz w:val="16"/>
              </w:rPr>
              <w:t>深入学习贯彻党的二十大精神，贯彻落实习近平总书记关于“三农”工</w:t>
            </w:r>
            <w:r>
              <w:rPr>
                <w:rFonts w:hint="eastAsia" w:ascii="宋体" w:hAnsi="宋体"/>
                <w:sz w:val="16"/>
                <w:lang w:eastAsia="zh-CN"/>
              </w:rPr>
              <w:t>作的</w:t>
            </w:r>
            <w:r>
              <w:rPr>
                <w:rFonts w:ascii="宋体" w:hAnsi="宋体" w:eastAsia="宋体"/>
                <w:sz w:val="16"/>
              </w:rPr>
              <w:t>重要论述、习近平总书记在听取自治区党委及新疆生产建设兵团工作汇报时的重要讲话精神、第三次中央新疆工作座谈会精神，完整准确</w:t>
            </w:r>
            <w:r>
              <w:rPr>
                <w:rFonts w:hint="eastAsia" w:ascii="宋体" w:hAnsi="宋体"/>
                <w:sz w:val="16"/>
                <w:lang w:val="en-US" w:eastAsia="zh-CN"/>
              </w:rPr>
              <w:t>全面</w:t>
            </w:r>
            <w:r>
              <w:rPr>
                <w:rFonts w:ascii="宋体" w:hAnsi="宋体" w:eastAsia="宋体"/>
                <w:sz w:val="16"/>
              </w:rPr>
              <w:t>贯彻新时代党的治疆方略，长治久安总目标，贯彻落实中央农村工作会议精神，坚持党建统领，落实“两个统筹”工作，紧盯农机化薄弱环节，加快推进粮棉油、畜牧养殖、特色林果等生产全程机械化，不断提升农机装备水平、作业水平、科技水平、安全水平和社会化服务水平，高质量完成农业机械化发展目标任务，为实施乡村振兴战略、推进农业现代化提供支撑，2024年度部门整体支出绩效自评综合得分100分，评价结果为“优”。</w:t>
            </w:r>
            <w:r>
              <w:rPr>
                <w:rFonts w:hint="eastAsia" w:ascii="宋体" w:hAnsi="宋体"/>
                <w:sz w:val="16"/>
                <w:lang w:eastAsia="zh-CN"/>
              </w:rPr>
              <w:t>本单位</w:t>
            </w:r>
            <w:r>
              <w:rPr>
                <w:rFonts w:ascii="宋体" w:hAnsi="宋体" w:eastAsia="宋体"/>
                <w:sz w:val="16"/>
              </w:rPr>
              <w:t>按照县委、县政府、县财政工作要求，严格执行绩效目标，确保年初预算资金与年末决算数据保持一致，本年完成培训农机（操作、维修及农机合作社法人代表）人数达到8000人，同时农业综合机耕率、机播率、机收率 以及机械化水平达到100%，有效提高</w:t>
            </w:r>
            <w:r>
              <w:rPr>
                <w:rFonts w:hint="eastAsia" w:ascii="宋体" w:hAnsi="宋体"/>
                <w:sz w:val="16"/>
                <w:lang w:eastAsia="zh-CN"/>
              </w:rPr>
              <w:t>本单位</w:t>
            </w:r>
            <w:r>
              <w:rPr>
                <w:rFonts w:ascii="宋体" w:hAnsi="宋体" w:eastAsia="宋体"/>
                <w:sz w:val="16"/>
              </w:rPr>
              <w:t>绩效管理水平。</w:t>
            </w:r>
          </w:p>
        </w:tc>
      </w:tr>
      <w:tr w14:paraId="730291E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D124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206E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19F4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CB816">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36CB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D82A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F2FA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4A628">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4BDF7">
            <w:pPr>
              <w:jc w:val="center"/>
            </w:pPr>
            <w:r>
              <w:rPr>
                <w:rFonts w:ascii="宋体" w:hAnsi="宋体" w:eastAsia="宋体"/>
                <w:sz w:val="16"/>
              </w:rPr>
              <w:t>得分</w:t>
            </w:r>
          </w:p>
        </w:tc>
      </w:tr>
      <w:tr w14:paraId="67E70B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0478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5AB47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82FE3">
            <w:pPr>
              <w:jc w:val="center"/>
            </w:pPr>
            <w:r>
              <w:rPr>
                <w:rFonts w:ascii="宋体" w:hAnsi="宋体" w:eastAsia="宋体"/>
                <w:sz w:val="16"/>
              </w:rPr>
              <w:t>农业综合机耕率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1D8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AED0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CB2F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9A0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DE5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9E9E2">
            <w:pPr>
              <w:jc w:val="center"/>
            </w:pPr>
            <w:r>
              <w:rPr>
                <w:rFonts w:ascii="宋体" w:hAnsi="宋体" w:eastAsia="宋体"/>
                <w:sz w:val="16"/>
              </w:rPr>
              <w:t>20</w:t>
            </w:r>
          </w:p>
        </w:tc>
      </w:tr>
      <w:tr w14:paraId="4A8937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22FB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5FEB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03311">
            <w:pPr>
              <w:jc w:val="center"/>
            </w:pPr>
            <w:r>
              <w:rPr>
                <w:rFonts w:ascii="宋体" w:hAnsi="宋体" w:eastAsia="宋体"/>
                <w:sz w:val="16"/>
              </w:rPr>
              <w:t>农业综合机播率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6F0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AB21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F184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864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7BC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AA0CF">
            <w:pPr>
              <w:jc w:val="center"/>
            </w:pPr>
            <w:r>
              <w:rPr>
                <w:rFonts w:ascii="宋体" w:hAnsi="宋体" w:eastAsia="宋体"/>
                <w:sz w:val="16"/>
              </w:rPr>
              <w:t>20</w:t>
            </w:r>
          </w:p>
        </w:tc>
      </w:tr>
      <w:tr w14:paraId="4AD943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E132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2DA1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71A70">
            <w:pPr>
              <w:jc w:val="center"/>
            </w:pPr>
            <w:r>
              <w:rPr>
                <w:rFonts w:ascii="宋体" w:hAnsi="宋体" w:eastAsia="宋体"/>
                <w:sz w:val="16"/>
              </w:rPr>
              <w:t>农业综合机收率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8D7E9">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1633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261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34E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E8A0B">
            <w:pPr>
              <w:jc w:val="center"/>
            </w:pPr>
            <w:r>
              <w:rPr>
                <w:rFonts w:ascii="宋体" w:hAnsi="宋体" w:eastAsia="宋体"/>
                <w:sz w:val="16"/>
              </w:rPr>
              <w:t>111.11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3FCB8">
            <w:pPr>
              <w:jc w:val="center"/>
            </w:pPr>
            <w:r>
              <w:rPr>
                <w:rFonts w:ascii="宋体" w:hAnsi="宋体" w:eastAsia="宋体"/>
                <w:sz w:val="16"/>
              </w:rPr>
              <w:t>10</w:t>
            </w:r>
          </w:p>
        </w:tc>
      </w:tr>
      <w:tr w14:paraId="72A23C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7E0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A4C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F663E">
            <w:pPr>
              <w:jc w:val="center"/>
            </w:pPr>
            <w:r>
              <w:rPr>
                <w:rFonts w:ascii="宋体" w:hAnsi="宋体" w:eastAsia="宋体"/>
                <w:sz w:val="16"/>
              </w:rPr>
              <w:t>农业综合机械化水平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98DC5">
            <w:pPr>
              <w:jc w:val="center"/>
            </w:pPr>
            <w:r>
              <w:rPr>
                <w:rFonts w:ascii="宋体" w:hAnsi="宋体" w:eastAsia="宋体"/>
                <w:sz w:val="16"/>
              </w:rPr>
              <w:t>&gt;=87%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7C38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536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748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D6BAC">
            <w:pPr>
              <w:jc w:val="center"/>
            </w:pPr>
            <w:r>
              <w:rPr>
                <w:rFonts w:ascii="宋体" w:hAnsi="宋体" w:eastAsia="宋体"/>
                <w:sz w:val="16"/>
              </w:rPr>
              <w:t>114.94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8E1C7">
            <w:pPr>
              <w:jc w:val="center"/>
            </w:pPr>
            <w:r>
              <w:rPr>
                <w:rFonts w:ascii="宋体" w:hAnsi="宋体" w:eastAsia="宋体"/>
                <w:sz w:val="16"/>
              </w:rPr>
              <w:t>20</w:t>
            </w:r>
          </w:p>
        </w:tc>
      </w:tr>
      <w:tr w14:paraId="4F83A9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A20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15A5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AD497">
            <w:pPr>
              <w:jc w:val="center"/>
            </w:pPr>
            <w:r>
              <w:rPr>
                <w:rFonts w:ascii="宋体" w:hAnsi="宋体" w:eastAsia="宋体"/>
                <w:sz w:val="16"/>
              </w:rPr>
              <w:t>培训农机（操作、维修及农机合作社法人代表）人数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649B7">
            <w:pPr>
              <w:jc w:val="center"/>
            </w:pPr>
            <w:r>
              <w:rPr>
                <w:rFonts w:ascii="宋体" w:hAnsi="宋体" w:eastAsia="宋体"/>
                <w:sz w:val="16"/>
              </w:rPr>
              <w:t>&gt;=8000人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69BD8">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BC0F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E6650">
            <w:pPr>
              <w:jc w:val="center"/>
            </w:pPr>
            <w:r>
              <w:rPr>
                <w:rFonts w:ascii="宋体" w:hAnsi="宋体" w:eastAsia="宋体"/>
                <w:sz w:val="16"/>
              </w:rPr>
              <w:t>8000人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0AC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77C75">
            <w:pPr>
              <w:jc w:val="center"/>
            </w:pPr>
            <w:r>
              <w:rPr>
                <w:rFonts w:ascii="宋体" w:hAnsi="宋体" w:eastAsia="宋体"/>
                <w:sz w:val="16"/>
              </w:rPr>
              <w:t>20</w:t>
            </w:r>
          </w:p>
        </w:tc>
      </w:tr>
    </w:tbl>
    <w:p w14:paraId="65F2749C">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16"/>
        <w:gridCol w:w="856"/>
        <w:gridCol w:w="616"/>
        <w:gridCol w:w="626"/>
        <w:gridCol w:w="622"/>
        <w:gridCol w:w="616"/>
        <w:gridCol w:w="616"/>
        <w:gridCol w:w="776"/>
        <w:gridCol w:w="632"/>
        <w:gridCol w:w="596"/>
        <w:gridCol w:w="631"/>
      </w:tblGrid>
      <w:tr w14:paraId="1D819888">
        <w:tblPrEx>
          <w:tblCellMar>
            <w:top w:w="0" w:type="dxa"/>
            <w:left w:w="108" w:type="dxa"/>
            <w:bottom w:w="0" w:type="dxa"/>
            <w:right w:w="108" w:type="dxa"/>
          </w:tblCellMar>
        </w:tblPrEx>
        <w:tc>
          <w:tcPr>
            <w:tcW w:w="8848" w:type="dxa"/>
            <w:gridSpan w:val="14"/>
            <w:vAlign w:val="center"/>
          </w:tcPr>
          <w:p w14:paraId="3A0BEE2D">
            <w:pPr>
              <w:jc w:val="center"/>
            </w:pPr>
            <w:r>
              <w:rPr>
                <w:rFonts w:ascii="宋体" w:hAnsi="宋体" w:eastAsia="宋体"/>
                <w:sz w:val="24"/>
              </w:rPr>
              <w:t>项目支出绩效自评表</w:t>
            </w:r>
          </w:p>
        </w:tc>
      </w:tr>
      <w:tr w14:paraId="1F22A2A6">
        <w:tblPrEx>
          <w:tblCellMar>
            <w:top w:w="0" w:type="dxa"/>
            <w:left w:w="108" w:type="dxa"/>
            <w:bottom w:w="0" w:type="dxa"/>
            <w:right w:w="108" w:type="dxa"/>
          </w:tblCellMar>
        </w:tblPrEx>
        <w:tc>
          <w:tcPr>
            <w:tcW w:w="8848" w:type="dxa"/>
            <w:gridSpan w:val="14"/>
            <w:vAlign w:val="center"/>
          </w:tcPr>
          <w:p w14:paraId="7D15EAE6">
            <w:pPr>
              <w:jc w:val="center"/>
            </w:pPr>
            <w:r>
              <w:rPr>
                <w:rFonts w:ascii="宋体" w:hAnsi="宋体" w:eastAsia="宋体"/>
                <w:sz w:val="24"/>
              </w:rPr>
              <w:t>(2024年度)</w:t>
            </w:r>
          </w:p>
        </w:tc>
      </w:tr>
      <w:tr w14:paraId="057CFE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DB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22DF2B">
            <w:pPr>
              <w:jc w:val="center"/>
            </w:pPr>
            <w:r>
              <w:rPr>
                <w:rFonts w:ascii="宋体" w:hAnsi="宋体" w:eastAsia="宋体"/>
                <w:sz w:val="16"/>
              </w:rPr>
              <w:t>英吉沙县2024年农机购置与应用补贴项目</w:t>
            </w:r>
          </w:p>
        </w:tc>
      </w:tr>
      <w:tr w14:paraId="4AEF69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58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4BC14D">
            <w:pPr>
              <w:jc w:val="center"/>
            </w:pPr>
            <w:r>
              <w:rPr>
                <w:rFonts w:ascii="宋体" w:hAnsi="宋体" w:eastAsia="宋体"/>
                <w:sz w:val="16"/>
              </w:rPr>
              <w:t>英吉沙县农业农村机械化发展中心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D83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16B245">
            <w:pPr>
              <w:jc w:val="center"/>
            </w:pPr>
            <w:r>
              <w:rPr>
                <w:rFonts w:ascii="宋体" w:hAnsi="宋体" w:eastAsia="宋体"/>
                <w:sz w:val="16"/>
              </w:rPr>
              <w:t>英吉沙县农业农村机械化发展中心</w:t>
            </w:r>
          </w:p>
        </w:tc>
      </w:tr>
      <w:tr w14:paraId="689659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49F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015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D00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F4A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1AA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832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A838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53610">
            <w:pPr>
              <w:jc w:val="center"/>
            </w:pPr>
            <w:r>
              <w:rPr>
                <w:rFonts w:ascii="宋体" w:hAnsi="宋体" w:eastAsia="宋体"/>
                <w:sz w:val="16"/>
              </w:rPr>
              <w:t>得分</w:t>
            </w:r>
          </w:p>
        </w:tc>
      </w:tr>
      <w:tr w14:paraId="4FA1D3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7EF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92F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31BCA">
            <w:pPr>
              <w:jc w:val="center"/>
            </w:pPr>
            <w:r>
              <w:rPr>
                <w:rFonts w:ascii="宋体" w:hAnsi="宋体" w:eastAsia="宋体"/>
                <w:sz w:val="16"/>
              </w:rPr>
              <w:t>961.00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D6514">
            <w:pPr>
              <w:jc w:val="center"/>
            </w:pPr>
            <w:r>
              <w:rPr>
                <w:rFonts w:ascii="宋体" w:hAnsi="宋体" w:eastAsia="宋体"/>
                <w:sz w:val="16"/>
              </w:rPr>
              <w:t>1,309.00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2FD3C">
            <w:pPr>
              <w:jc w:val="center"/>
            </w:pPr>
            <w:r>
              <w:rPr>
                <w:rFonts w:ascii="宋体" w:hAnsi="宋体" w:eastAsia="宋体"/>
                <w:sz w:val="16"/>
              </w:rPr>
              <w:t>1,308.95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289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85A2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C70D">
            <w:pPr>
              <w:jc w:val="center"/>
            </w:pPr>
            <w:r>
              <w:rPr>
                <w:rFonts w:ascii="宋体" w:hAnsi="宋体" w:eastAsia="宋体"/>
                <w:sz w:val="16"/>
              </w:rPr>
              <w:t>10.00分</w:t>
            </w:r>
          </w:p>
        </w:tc>
      </w:tr>
      <w:tr w14:paraId="3626BA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031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D94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44C93">
            <w:pPr>
              <w:jc w:val="center"/>
            </w:pPr>
            <w:r>
              <w:rPr>
                <w:rFonts w:ascii="宋体" w:hAnsi="宋体" w:eastAsia="宋体"/>
                <w:sz w:val="16"/>
              </w:rPr>
              <w:t>961.00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760D7">
            <w:pPr>
              <w:jc w:val="center"/>
            </w:pPr>
            <w:r>
              <w:rPr>
                <w:rFonts w:ascii="宋体" w:hAnsi="宋体" w:eastAsia="宋体"/>
                <w:sz w:val="16"/>
              </w:rPr>
              <w:t>1,309.00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D6C21">
            <w:pPr>
              <w:jc w:val="center"/>
            </w:pPr>
            <w:r>
              <w:rPr>
                <w:rFonts w:ascii="宋体" w:hAnsi="宋体" w:eastAsia="宋体"/>
                <w:sz w:val="16"/>
              </w:rPr>
              <w:t>1,308.96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CA8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6E7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C4408">
            <w:pPr>
              <w:jc w:val="center"/>
            </w:pPr>
            <w:r>
              <w:rPr>
                <w:rFonts w:ascii="宋体" w:hAnsi="宋体" w:eastAsia="宋体"/>
                <w:sz w:val="16"/>
              </w:rPr>
              <w:t>—</w:t>
            </w:r>
          </w:p>
        </w:tc>
      </w:tr>
      <w:tr w14:paraId="62001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B05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0CF6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E11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DD3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D9D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B87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748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81D3">
            <w:pPr>
              <w:jc w:val="center"/>
            </w:pPr>
            <w:r>
              <w:rPr>
                <w:rFonts w:ascii="宋体" w:hAnsi="宋体" w:eastAsia="宋体"/>
                <w:sz w:val="16"/>
              </w:rPr>
              <w:t>—</w:t>
            </w:r>
          </w:p>
        </w:tc>
      </w:tr>
      <w:tr w14:paraId="0F8532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8951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D5D6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559A1F">
            <w:pPr>
              <w:jc w:val="center"/>
            </w:pPr>
            <w:r>
              <w:rPr>
                <w:rFonts w:ascii="宋体" w:hAnsi="宋体" w:eastAsia="宋体"/>
                <w:sz w:val="16"/>
              </w:rPr>
              <w:t>实际完成情况</w:t>
            </w:r>
          </w:p>
        </w:tc>
      </w:tr>
      <w:tr w14:paraId="6449E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44A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806E26">
            <w:pPr>
              <w:jc w:val="both"/>
            </w:pPr>
            <w:r>
              <w:rPr>
                <w:rFonts w:ascii="宋体" w:hAnsi="宋体" w:eastAsia="宋体"/>
                <w:sz w:val="16"/>
              </w:rPr>
              <w:t>该项目投入资金1309万元，用于补贴英吉沙县14个乡镇农业机械</w:t>
            </w:r>
            <w:r>
              <w:rPr>
                <w:rFonts w:hint="eastAsia" w:ascii="宋体" w:hAnsi="宋体"/>
                <w:sz w:val="16"/>
                <w:lang w:val="en-US" w:eastAsia="zh-CN"/>
              </w:rPr>
              <w:t>购置</w:t>
            </w:r>
            <w:r>
              <w:rPr>
                <w:rFonts w:ascii="宋体" w:hAnsi="宋体" w:eastAsia="宋体"/>
                <w:sz w:val="16"/>
              </w:rPr>
              <w:t>1093.1万元、报废更新补贴工作以及补短板重点机械215.9万元，计划农机购置补贴机具813台，补贴短板重点机械676台。发给1242户农民。该项目的实施，有效优化农业机械装备结构，推进农业机械化转型升级和农业绿色发展，提升农作物综合机械化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C08DEB">
            <w:pPr>
              <w:jc w:val="both"/>
            </w:pPr>
            <w:r>
              <w:rPr>
                <w:rFonts w:hint="eastAsia" w:ascii="宋体" w:hAnsi="宋体"/>
                <w:sz w:val="16"/>
                <w:lang w:eastAsia="zh-CN"/>
              </w:rPr>
              <w:t>截至2024</w:t>
            </w:r>
            <w:r>
              <w:rPr>
                <w:rFonts w:ascii="宋体" w:hAnsi="宋体" w:eastAsia="宋体"/>
                <w:sz w:val="16"/>
              </w:rPr>
              <w:t>年12月31日，该项目已执行资金1308.955万元，已用于补贴英吉沙县14个乡镇农业机械</w:t>
            </w:r>
            <w:r>
              <w:rPr>
                <w:rFonts w:hint="eastAsia" w:ascii="宋体" w:hAnsi="宋体"/>
                <w:sz w:val="16"/>
                <w:lang w:val="en-US" w:eastAsia="zh-CN"/>
              </w:rPr>
              <w:t>购置</w:t>
            </w:r>
            <w:r>
              <w:rPr>
                <w:rFonts w:ascii="宋体" w:hAnsi="宋体" w:eastAsia="宋体"/>
                <w:sz w:val="16"/>
              </w:rPr>
              <w:t>1093.055万元、报废更新补贴工作以及补短板重点机械215.9万元，农机购置补贴机具813台，补贴短板重点机械676台。发给1242户农民。该项目的实施，有效优化农业机械装备结构，推进农业机械化转型升级和农业绿色发展。</w:t>
            </w:r>
          </w:p>
        </w:tc>
      </w:tr>
      <w:tr w14:paraId="235D4E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440E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27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A5CF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B1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1AE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A69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27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A08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1F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038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F7EE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376F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7C0E9">
            <w:pPr>
              <w:jc w:val="center"/>
            </w:pPr>
            <w:r>
              <w:rPr>
                <w:rFonts w:ascii="宋体" w:hAnsi="宋体" w:eastAsia="宋体"/>
                <w:sz w:val="16"/>
              </w:rPr>
              <w:t>偏差原因分析及改进措施</w:t>
            </w:r>
          </w:p>
        </w:tc>
      </w:tr>
      <w:tr w14:paraId="40CB01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6B5A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ABB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8B6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B5D4">
            <w:pPr>
              <w:jc w:val="center"/>
            </w:pPr>
            <w:r>
              <w:rPr>
                <w:rFonts w:ascii="宋体" w:hAnsi="宋体" w:eastAsia="宋体"/>
                <w:sz w:val="16"/>
              </w:rPr>
              <w:t>农机购置补贴机具数量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827D">
            <w:pPr>
              <w:jc w:val="center"/>
            </w:pPr>
            <w:r>
              <w:rPr>
                <w:rFonts w:ascii="宋体" w:hAnsi="宋体" w:eastAsia="宋体"/>
                <w:sz w:val="16"/>
              </w:rPr>
              <w:t>&gt;=813台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11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C4F1">
            <w:pPr>
              <w:jc w:val="center"/>
            </w:pPr>
            <w:r>
              <w:rPr>
                <w:rFonts w:ascii="宋体" w:hAnsi="宋体" w:eastAsia="宋体"/>
                <w:sz w:val="16"/>
              </w:rPr>
              <w:t>1324台/套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24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8E4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A6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D07F">
            <w:pPr>
              <w:jc w:val="center"/>
            </w:pPr>
            <w:r>
              <w:rPr>
                <w:rFonts w:ascii="宋体" w:hAnsi="宋体" w:eastAsia="宋体"/>
                <w:sz w:val="16"/>
              </w:rPr>
              <w:t>=813台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DEC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95300">
            <w:pPr>
              <w:jc w:val="center"/>
            </w:pPr>
          </w:p>
        </w:tc>
      </w:tr>
      <w:tr w14:paraId="773D54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E58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C3B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B88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EAB1">
            <w:pPr>
              <w:jc w:val="center"/>
            </w:pPr>
            <w:r>
              <w:rPr>
                <w:rFonts w:ascii="宋体" w:hAnsi="宋体" w:eastAsia="宋体"/>
                <w:sz w:val="16"/>
              </w:rPr>
              <w:t>补贴短板重点机械数量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ECF23">
            <w:pPr>
              <w:jc w:val="center"/>
            </w:pPr>
            <w:r>
              <w:rPr>
                <w:rFonts w:ascii="宋体" w:hAnsi="宋体" w:eastAsia="宋体"/>
                <w:sz w:val="16"/>
              </w:rPr>
              <w:t>&gt;=676台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92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B3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E4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F5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8D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05A3">
            <w:pPr>
              <w:jc w:val="center"/>
            </w:pPr>
            <w:r>
              <w:rPr>
                <w:rFonts w:ascii="宋体" w:hAnsi="宋体" w:eastAsia="宋体"/>
                <w:sz w:val="16"/>
              </w:rPr>
              <w:t>=676台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F23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8E7F3">
            <w:pPr>
              <w:jc w:val="center"/>
            </w:pPr>
          </w:p>
        </w:tc>
      </w:tr>
      <w:tr w14:paraId="76EB9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BF2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9C6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E50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F141">
            <w:pPr>
              <w:jc w:val="center"/>
            </w:pPr>
            <w:r>
              <w:rPr>
                <w:rFonts w:ascii="宋体" w:hAnsi="宋体" w:eastAsia="宋体"/>
                <w:sz w:val="16"/>
              </w:rPr>
              <w:t>涉及乡镇数量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BA5DF">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A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824B9">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DF8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B1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19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FA27">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B35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C230E">
            <w:pPr>
              <w:jc w:val="center"/>
            </w:pPr>
          </w:p>
        </w:tc>
      </w:tr>
      <w:tr w14:paraId="6E5A4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4EB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580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7CA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40C4">
            <w:pPr>
              <w:jc w:val="center"/>
            </w:pPr>
            <w:r>
              <w:rPr>
                <w:rFonts w:ascii="宋体" w:hAnsi="宋体" w:eastAsia="宋体"/>
                <w:sz w:val="16"/>
              </w:rPr>
              <w:t>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45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27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73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74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4793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AD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76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8478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11638">
            <w:pPr>
              <w:jc w:val="center"/>
            </w:pPr>
          </w:p>
        </w:tc>
      </w:tr>
      <w:tr w14:paraId="3DB19B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54C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9C8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D6E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1C2E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443CA">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6C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C7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71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FA8A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D7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19DA">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808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0214F">
            <w:pPr>
              <w:jc w:val="center"/>
            </w:pPr>
          </w:p>
        </w:tc>
      </w:tr>
      <w:tr w14:paraId="27F9E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DF1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6AE1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CE8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F54AF">
            <w:pPr>
              <w:jc w:val="center"/>
            </w:pPr>
            <w:r>
              <w:rPr>
                <w:rFonts w:ascii="宋体" w:hAnsi="宋体" w:eastAsia="宋体"/>
                <w:sz w:val="16"/>
              </w:rPr>
              <w:t>农机购置机具补贴经费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D784D">
            <w:pPr>
              <w:jc w:val="center"/>
            </w:pPr>
            <w:r>
              <w:rPr>
                <w:rFonts w:ascii="宋体" w:hAnsi="宋体" w:eastAsia="宋体"/>
                <w:sz w:val="16"/>
              </w:rPr>
              <w:t>&lt;=1093.1万元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07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9B0D">
            <w:pPr>
              <w:jc w:val="center"/>
            </w:pPr>
            <w:r>
              <w:rPr>
                <w:rFonts w:ascii="宋体" w:hAnsi="宋体" w:eastAsia="宋体"/>
                <w:sz w:val="16"/>
              </w:rPr>
              <w:t>1603万元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15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52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C57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AE2B">
            <w:pPr>
              <w:jc w:val="center"/>
            </w:pPr>
            <w:r>
              <w:rPr>
                <w:rFonts w:ascii="宋体" w:hAnsi="宋体" w:eastAsia="宋体"/>
                <w:sz w:val="16"/>
              </w:rPr>
              <w:t>=1093.1万元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709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C494F">
            <w:pPr>
              <w:jc w:val="center"/>
            </w:pPr>
          </w:p>
        </w:tc>
      </w:tr>
      <w:tr w14:paraId="3011E5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164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04E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EDA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7AB8">
            <w:pPr>
              <w:jc w:val="center"/>
            </w:pPr>
            <w:r>
              <w:rPr>
                <w:rFonts w:ascii="宋体" w:hAnsi="宋体" w:eastAsia="宋体"/>
                <w:sz w:val="16"/>
              </w:rPr>
              <w:t>补贴短板重点机械补贴标准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1013">
            <w:pPr>
              <w:jc w:val="center"/>
            </w:pPr>
            <w:r>
              <w:rPr>
                <w:rFonts w:ascii="宋体" w:hAnsi="宋体" w:eastAsia="宋体"/>
                <w:sz w:val="16"/>
              </w:rPr>
              <w:t>&lt;=215.9万元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6D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C9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BBF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64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FA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414B">
            <w:pPr>
              <w:jc w:val="center"/>
            </w:pPr>
            <w:r>
              <w:rPr>
                <w:rFonts w:ascii="宋体" w:hAnsi="宋体" w:eastAsia="宋体"/>
                <w:sz w:val="16"/>
              </w:rPr>
              <w:t>=215.9万元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8E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106F8">
            <w:pPr>
              <w:jc w:val="center"/>
            </w:pPr>
          </w:p>
        </w:tc>
      </w:tr>
      <w:tr w14:paraId="3190F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AEF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E82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F4B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07AD">
            <w:pPr>
              <w:jc w:val="center"/>
            </w:pPr>
            <w:r>
              <w:rPr>
                <w:rFonts w:ascii="宋体" w:hAnsi="宋体" w:eastAsia="宋体"/>
                <w:sz w:val="16"/>
              </w:rPr>
              <w:t>受益农户数</w:t>
            </w:r>
            <w:r>
              <w:rPr>
                <w:rFonts w:hint="eastAsia" w:ascii="宋体" w:hAnsi="宋体"/>
                <w:sz w:val="16"/>
                <w:lang w:eastAsia="zh-CN"/>
              </w:rPr>
              <w:t>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5C1C">
            <w:pPr>
              <w:jc w:val="center"/>
            </w:pPr>
            <w:r>
              <w:rPr>
                <w:rFonts w:ascii="宋体" w:hAnsi="宋体" w:eastAsia="宋体"/>
                <w:sz w:val="16"/>
              </w:rPr>
              <w:t>&gt;=1242户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A5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244A">
            <w:pPr>
              <w:jc w:val="center"/>
            </w:pPr>
            <w:r>
              <w:rPr>
                <w:rFonts w:ascii="宋体" w:hAnsi="宋体" w:eastAsia="宋体"/>
                <w:sz w:val="16"/>
              </w:rPr>
              <w:t>1000户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E2A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EC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BC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8B57">
            <w:pPr>
              <w:jc w:val="center"/>
            </w:pPr>
            <w:r>
              <w:rPr>
                <w:rFonts w:ascii="宋体" w:hAnsi="宋体" w:eastAsia="宋体"/>
                <w:sz w:val="16"/>
              </w:rPr>
              <w:t>=1242户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AB1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91A17">
            <w:pPr>
              <w:jc w:val="center"/>
            </w:pPr>
          </w:p>
        </w:tc>
      </w:tr>
      <w:tr w14:paraId="0EAFF8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6E5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8B8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C5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9A24">
            <w:pPr>
              <w:jc w:val="center"/>
            </w:pPr>
            <w:r>
              <w:rPr>
                <w:rFonts w:ascii="宋体" w:hAnsi="宋体" w:eastAsia="宋体"/>
                <w:sz w:val="16"/>
              </w:rPr>
              <w:t>享受补贴人员满意度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ECE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A5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A23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297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A13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DF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F24A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29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1F146">
            <w:pPr>
              <w:jc w:val="center"/>
            </w:pPr>
          </w:p>
        </w:tc>
      </w:tr>
      <w:tr w14:paraId="6DAA32C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2BFD1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8AC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1DD9E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E99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89AFA0C"/>
        </w:tc>
      </w:tr>
    </w:tbl>
    <w:p w14:paraId="2018CF6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33571FA">
        <w:tblPrEx>
          <w:tblCellMar>
            <w:top w:w="0" w:type="dxa"/>
            <w:left w:w="108" w:type="dxa"/>
            <w:bottom w:w="0" w:type="dxa"/>
            <w:right w:w="108" w:type="dxa"/>
          </w:tblCellMar>
        </w:tblPrEx>
        <w:tc>
          <w:tcPr>
            <w:tcW w:w="8848" w:type="dxa"/>
            <w:gridSpan w:val="14"/>
            <w:vAlign w:val="center"/>
          </w:tcPr>
          <w:p w14:paraId="4A064569">
            <w:pPr>
              <w:jc w:val="center"/>
            </w:pPr>
            <w:r>
              <w:rPr>
                <w:rFonts w:ascii="宋体" w:hAnsi="宋体" w:eastAsia="宋体"/>
                <w:sz w:val="24"/>
              </w:rPr>
              <w:t>项目支出绩效自评表</w:t>
            </w:r>
          </w:p>
        </w:tc>
      </w:tr>
      <w:tr w14:paraId="4E2E0671">
        <w:tblPrEx>
          <w:tblCellMar>
            <w:top w:w="0" w:type="dxa"/>
            <w:left w:w="108" w:type="dxa"/>
            <w:bottom w:w="0" w:type="dxa"/>
            <w:right w:w="108" w:type="dxa"/>
          </w:tblCellMar>
        </w:tblPrEx>
        <w:tc>
          <w:tcPr>
            <w:tcW w:w="8848" w:type="dxa"/>
            <w:gridSpan w:val="14"/>
            <w:vAlign w:val="center"/>
          </w:tcPr>
          <w:p w14:paraId="7A9AADAE">
            <w:pPr>
              <w:jc w:val="center"/>
            </w:pPr>
            <w:r>
              <w:rPr>
                <w:rFonts w:ascii="宋体" w:hAnsi="宋体" w:eastAsia="宋体"/>
                <w:sz w:val="24"/>
              </w:rPr>
              <w:t>(2024年度)</w:t>
            </w:r>
          </w:p>
        </w:tc>
      </w:tr>
      <w:tr w14:paraId="123E0C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A69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95EDFA">
            <w:pPr>
              <w:jc w:val="center"/>
            </w:pPr>
            <w:r>
              <w:rPr>
                <w:rFonts w:ascii="宋体" w:hAnsi="宋体" w:eastAsia="宋体"/>
                <w:sz w:val="16"/>
              </w:rPr>
              <w:t>英吉沙县2024年农机安全监理能力建设</w:t>
            </w:r>
            <w:r>
              <w:rPr>
                <w:rFonts w:hint="eastAsia" w:ascii="宋体" w:hAnsi="宋体"/>
                <w:sz w:val="16"/>
                <w:lang w:eastAsia="zh-CN"/>
              </w:rPr>
              <w:t>－</w:t>
            </w:r>
            <w:r>
              <w:rPr>
                <w:rFonts w:ascii="宋体" w:hAnsi="宋体" w:eastAsia="宋体"/>
                <w:sz w:val="16"/>
              </w:rPr>
              <w:t>拖拉机和联合收割机牌证管理下乡镇试点项目</w:t>
            </w:r>
          </w:p>
        </w:tc>
      </w:tr>
      <w:tr w14:paraId="0FA3E9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C4C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6A86C2">
            <w:pPr>
              <w:jc w:val="center"/>
            </w:pPr>
            <w:r>
              <w:rPr>
                <w:rFonts w:ascii="宋体" w:hAnsi="宋体" w:eastAsia="宋体"/>
                <w:sz w:val="16"/>
              </w:rPr>
              <w:t>英吉沙县农业农村机械化发展中心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10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9BA6E0">
            <w:pPr>
              <w:jc w:val="center"/>
            </w:pPr>
            <w:r>
              <w:rPr>
                <w:rFonts w:ascii="宋体" w:hAnsi="宋体" w:eastAsia="宋体"/>
                <w:sz w:val="16"/>
              </w:rPr>
              <w:t>英吉沙县农业农村机械化发展中心</w:t>
            </w:r>
          </w:p>
        </w:tc>
      </w:tr>
      <w:tr w14:paraId="085A3D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10F6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107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E7F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FA9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359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4680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FF78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646E">
            <w:pPr>
              <w:jc w:val="center"/>
            </w:pPr>
            <w:r>
              <w:rPr>
                <w:rFonts w:ascii="宋体" w:hAnsi="宋体" w:eastAsia="宋体"/>
                <w:sz w:val="16"/>
              </w:rPr>
              <w:t>得分</w:t>
            </w:r>
          </w:p>
        </w:tc>
      </w:tr>
      <w:tr w14:paraId="1939A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7B8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E0B3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C9A3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CA64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B746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FB8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B220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DB0E">
            <w:pPr>
              <w:jc w:val="center"/>
            </w:pPr>
            <w:r>
              <w:rPr>
                <w:rFonts w:ascii="宋体" w:hAnsi="宋体" w:eastAsia="宋体"/>
                <w:sz w:val="16"/>
              </w:rPr>
              <w:t>10.00分</w:t>
            </w:r>
          </w:p>
        </w:tc>
      </w:tr>
      <w:tr w14:paraId="30BCD8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E8D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4CA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0E20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C5B1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8948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C57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9D5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CF9A">
            <w:pPr>
              <w:jc w:val="center"/>
            </w:pPr>
            <w:r>
              <w:rPr>
                <w:rFonts w:ascii="宋体" w:hAnsi="宋体" w:eastAsia="宋体"/>
                <w:sz w:val="16"/>
              </w:rPr>
              <w:t>—</w:t>
            </w:r>
          </w:p>
        </w:tc>
      </w:tr>
      <w:tr w14:paraId="017D3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B0D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A2F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E27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556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532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711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EE5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14183">
            <w:pPr>
              <w:jc w:val="center"/>
            </w:pPr>
            <w:r>
              <w:rPr>
                <w:rFonts w:ascii="宋体" w:hAnsi="宋体" w:eastAsia="宋体"/>
                <w:sz w:val="16"/>
              </w:rPr>
              <w:t>—</w:t>
            </w:r>
          </w:p>
        </w:tc>
      </w:tr>
      <w:tr w14:paraId="27C6A4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E10D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D143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F8957B">
            <w:pPr>
              <w:jc w:val="center"/>
            </w:pPr>
            <w:r>
              <w:rPr>
                <w:rFonts w:ascii="宋体" w:hAnsi="宋体" w:eastAsia="宋体"/>
                <w:sz w:val="16"/>
              </w:rPr>
              <w:t>实际完成情况</w:t>
            </w:r>
          </w:p>
        </w:tc>
      </w:tr>
      <w:tr w14:paraId="6E5F9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CF4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E16644">
            <w:pPr>
              <w:jc w:val="both"/>
            </w:pPr>
            <w:r>
              <w:rPr>
                <w:rFonts w:ascii="宋体" w:hAnsi="宋体" w:eastAsia="宋体"/>
                <w:sz w:val="16"/>
              </w:rPr>
              <w:t>项目资金5万元，主要用于提升英吉沙县行政服务大厅农机业务办理窗口、克孜勒乡、萨罕镇、乌恰镇的农机牌证照管理服务能力，购置4台国产通用多功能一体打印机、4台国产通用台式电脑、4台身份证读卡器、4台过塑机、4台针式打印机、4台高拍仪、1台扫描仪、1个农机事故勘查箱及</w:t>
            </w:r>
            <w:r>
              <w:rPr>
                <w:rFonts w:hint="eastAsia" w:ascii="宋体" w:hAnsi="宋体"/>
                <w:sz w:val="16"/>
                <w:lang w:eastAsia="zh-CN"/>
              </w:rPr>
              <w:t>其他</w:t>
            </w:r>
            <w:r>
              <w:rPr>
                <w:rFonts w:ascii="宋体" w:hAnsi="宋体" w:eastAsia="宋体"/>
                <w:sz w:val="16"/>
              </w:rPr>
              <w:t>所需的办公设备用品。围绕项目实施内容和实施规模引进示范推广农机化技术，推进主要作物全面全程机械化。通过项目实施，推进英吉沙县牌证管理“放管服”改革，牌证管理向乡镇延伸，切实解决牌证管理“最后一公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8C088E">
            <w:pPr>
              <w:jc w:val="both"/>
            </w:pPr>
            <w:r>
              <w:rPr>
                <w:rFonts w:hint="eastAsia" w:ascii="宋体" w:hAnsi="宋体"/>
                <w:sz w:val="16"/>
                <w:lang w:eastAsia="zh-CN"/>
              </w:rPr>
              <w:t>截至</w:t>
            </w:r>
            <w:r>
              <w:rPr>
                <w:rFonts w:ascii="宋体" w:hAnsi="宋体" w:eastAsia="宋体"/>
                <w:sz w:val="16"/>
              </w:rPr>
              <w:t>2024年12月31日，该项目实际支出5万元，已用于提升英吉沙县行政服务大厅农机业务办理窗口、克孜勒乡、萨罕镇、乌恰镇的农机牌证照管理服务能力，购置了4台国产通用多功能一体打印机、4台国产通用台式电脑、4台身份证读卡器、4台过塑机、4台针式打印机、4台高拍仪、1台扫描仪、1个农机事故勘查箱及</w:t>
            </w:r>
            <w:r>
              <w:rPr>
                <w:rFonts w:hint="eastAsia" w:ascii="宋体" w:hAnsi="宋体"/>
                <w:sz w:val="16"/>
                <w:lang w:eastAsia="zh-CN"/>
              </w:rPr>
              <w:t>其他</w:t>
            </w:r>
            <w:r>
              <w:rPr>
                <w:rFonts w:ascii="宋体" w:hAnsi="宋体" w:eastAsia="宋体"/>
                <w:sz w:val="16"/>
              </w:rPr>
              <w:t>所需的办公设备用品。围绕项目实施内容和实施规模引进示范推广农机化技术，推进主要作物全面全程机械化。该项目的实施，推进了英吉沙县牌证管理“放管服”改革，牌证管理向乡镇延伸，切实解决牌证管理“最后一公里</w:t>
            </w:r>
            <w:bookmarkStart w:id="0" w:name="_GoBack"/>
            <w:bookmarkEnd w:id="0"/>
            <w:r>
              <w:rPr>
                <w:rFonts w:ascii="宋体" w:hAnsi="宋体" w:eastAsia="宋体"/>
                <w:sz w:val="16"/>
              </w:rPr>
              <w:t>”。</w:t>
            </w:r>
          </w:p>
        </w:tc>
      </w:tr>
      <w:tr w14:paraId="310C9F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0860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64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2B6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F4F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1E32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8D15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7D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79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F7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53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B7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6B2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37F88">
            <w:pPr>
              <w:jc w:val="center"/>
            </w:pPr>
            <w:r>
              <w:rPr>
                <w:rFonts w:ascii="宋体" w:hAnsi="宋体" w:eastAsia="宋体"/>
                <w:sz w:val="16"/>
              </w:rPr>
              <w:t>偏差原因分析及改进措施</w:t>
            </w:r>
          </w:p>
        </w:tc>
      </w:tr>
      <w:tr w14:paraId="32661B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90C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F762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77F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2750">
            <w:pPr>
              <w:jc w:val="center"/>
            </w:pPr>
            <w:r>
              <w:rPr>
                <w:rFonts w:ascii="宋体" w:hAnsi="宋体" w:eastAsia="宋体"/>
                <w:sz w:val="16"/>
              </w:rPr>
              <w:t>农机牌</w:t>
            </w:r>
            <w:r>
              <w:rPr>
                <w:rFonts w:hint="eastAsia" w:ascii="宋体" w:hAnsi="宋体"/>
                <w:sz w:val="16"/>
                <w:lang w:eastAsia="zh-CN"/>
              </w:rPr>
              <w:t>证</w:t>
            </w:r>
            <w:r>
              <w:rPr>
                <w:rFonts w:ascii="宋体" w:hAnsi="宋体" w:eastAsia="宋体"/>
                <w:sz w:val="16"/>
              </w:rPr>
              <w:t>管理服务能力提升机构数量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3E85">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4EC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794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B8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CD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35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25393">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F71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187AA">
            <w:pPr>
              <w:jc w:val="center"/>
            </w:pPr>
          </w:p>
        </w:tc>
      </w:tr>
      <w:tr w14:paraId="629081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231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9CB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77E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158F">
            <w:pPr>
              <w:jc w:val="center"/>
            </w:pPr>
            <w:r>
              <w:rPr>
                <w:rFonts w:ascii="宋体" w:hAnsi="宋体" w:eastAsia="宋体"/>
                <w:sz w:val="16"/>
              </w:rPr>
              <w:t>采购办公设备批次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0CE9">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D9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EA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A45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29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AA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1D1E">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DED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C7703">
            <w:pPr>
              <w:jc w:val="center"/>
            </w:pPr>
          </w:p>
        </w:tc>
      </w:tr>
      <w:tr w14:paraId="1D6006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5C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D3B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C1B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BFC27">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E0F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C0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AA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18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9C4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F3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1B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08FE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B469F">
            <w:pPr>
              <w:jc w:val="center"/>
            </w:pPr>
          </w:p>
        </w:tc>
      </w:tr>
      <w:tr w14:paraId="79D8FA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2BC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814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9E3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3B87">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5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088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FE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16B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0BB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6C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2C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E48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43CDB">
            <w:pPr>
              <w:jc w:val="center"/>
            </w:pPr>
          </w:p>
        </w:tc>
      </w:tr>
      <w:tr w14:paraId="67E3E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D92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B7C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F7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A5D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4637">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84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A2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03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618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84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9824">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EC8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50C8D">
            <w:pPr>
              <w:jc w:val="center"/>
            </w:pPr>
          </w:p>
        </w:tc>
      </w:tr>
      <w:tr w14:paraId="509905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F3E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092F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4321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0C61">
            <w:pPr>
              <w:jc w:val="center"/>
            </w:pPr>
            <w:r>
              <w:rPr>
                <w:rFonts w:ascii="宋体" w:hAnsi="宋体" w:eastAsia="宋体"/>
                <w:sz w:val="16"/>
              </w:rPr>
              <w:t>采购办公设备费用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FC29">
            <w:pPr>
              <w:jc w:val="center"/>
            </w:pPr>
            <w:r>
              <w:rPr>
                <w:rFonts w:ascii="宋体" w:hAnsi="宋体" w:eastAsia="宋体"/>
                <w:sz w:val="16"/>
              </w:rPr>
              <w:t>&lt;=49420元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8B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DA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B6F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7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3B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7DF1">
            <w:pPr>
              <w:jc w:val="center"/>
            </w:pPr>
            <w:r>
              <w:rPr>
                <w:rFonts w:ascii="宋体" w:hAnsi="宋体" w:eastAsia="宋体"/>
                <w:sz w:val="16"/>
              </w:rPr>
              <w:t>=49420元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00DA">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4DC22">
            <w:pPr>
              <w:jc w:val="center"/>
            </w:pPr>
          </w:p>
        </w:tc>
      </w:tr>
      <w:tr w14:paraId="0045FB82">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BD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E5C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897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CA54">
            <w:pPr>
              <w:jc w:val="center"/>
            </w:pPr>
            <w:r>
              <w:rPr>
                <w:rFonts w:ascii="宋体" w:hAnsi="宋体" w:eastAsia="宋体"/>
                <w:sz w:val="16"/>
              </w:rPr>
              <w:t>采购其他办公用品费用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35BC">
            <w:pPr>
              <w:jc w:val="center"/>
            </w:pPr>
            <w:r>
              <w:rPr>
                <w:rFonts w:ascii="宋体" w:hAnsi="宋体" w:eastAsia="宋体"/>
                <w:sz w:val="16"/>
              </w:rPr>
              <w:t>&lt;=580元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BD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F9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AD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01B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60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4EC6">
            <w:pPr>
              <w:jc w:val="center"/>
            </w:pPr>
            <w:r>
              <w:rPr>
                <w:rFonts w:ascii="宋体" w:hAnsi="宋体" w:eastAsia="宋体"/>
                <w:sz w:val="16"/>
              </w:rPr>
              <w:t>=580元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EB8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E7F61">
            <w:pPr>
              <w:jc w:val="center"/>
            </w:pPr>
          </w:p>
        </w:tc>
      </w:tr>
      <w:tr w14:paraId="021B7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F79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37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6D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3D225">
            <w:pPr>
              <w:jc w:val="center"/>
            </w:pPr>
            <w:r>
              <w:rPr>
                <w:rFonts w:ascii="宋体" w:hAnsi="宋体" w:eastAsia="宋体"/>
                <w:sz w:val="16"/>
              </w:rPr>
              <w:t>为机关办公起到支持作用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26BB">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E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49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3C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524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F2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CF59">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A6D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9901D">
            <w:pPr>
              <w:jc w:val="center"/>
            </w:pPr>
          </w:p>
        </w:tc>
      </w:tr>
      <w:tr w14:paraId="771176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9A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2F2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35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E336">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F4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656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73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B5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28E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E0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4F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14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FB85B">
            <w:pPr>
              <w:jc w:val="center"/>
            </w:pPr>
          </w:p>
        </w:tc>
      </w:tr>
      <w:tr w14:paraId="516BCB6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0042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2BC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0E8A8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13B1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E940106"/>
        </w:tc>
      </w:tr>
    </w:tbl>
    <w:p w14:paraId="2F1826FB">
      <w:r>
        <w:br w:type="page"/>
      </w:r>
    </w:p>
    <w:p w14:paraId="314C2ABF">
      <w:pPr>
        <w:spacing w:line="640" w:lineRule="exact"/>
        <w:ind w:firstLine="640"/>
        <w:jc w:val="both"/>
        <w:outlineLvl w:val="2"/>
      </w:pPr>
      <w:r>
        <w:rPr>
          <w:rFonts w:ascii="黑体" w:hAnsi="黑体" w:eastAsia="黑体"/>
          <w:sz w:val="32"/>
        </w:rPr>
        <w:t>十二、其他需说明的事项</w:t>
      </w:r>
    </w:p>
    <w:p w14:paraId="5B216124">
      <w:pPr>
        <w:spacing w:line="580" w:lineRule="exact"/>
        <w:ind w:firstLine="640"/>
        <w:jc w:val="both"/>
      </w:pPr>
      <w:r>
        <w:rPr>
          <w:rFonts w:ascii="仿宋_GB2312" w:hAnsi="仿宋_GB2312" w:eastAsia="仿宋_GB2312"/>
          <w:b w:val="0"/>
          <w:sz w:val="32"/>
        </w:rPr>
        <w:t>本单位无其他需说明的事项。</w:t>
      </w:r>
    </w:p>
    <w:p w14:paraId="6BFE24B8">
      <w:r>
        <w:br w:type="page"/>
      </w:r>
    </w:p>
    <w:p w14:paraId="090012BF">
      <w:pPr>
        <w:spacing w:line="240" w:lineRule="auto"/>
        <w:jc w:val="center"/>
        <w:outlineLvl w:val="1"/>
      </w:pPr>
      <w:r>
        <w:rPr>
          <w:rFonts w:ascii="黑体" w:hAnsi="黑体" w:eastAsia="黑体"/>
          <w:sz w:val="32"/>
        </w:rPr>
        <w:t>第三部分 专业名词解释</w:t>
      </w:r>
    </w:p>
    <w:p w14:paraId="139C380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457409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564D6F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0F121C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FBB39E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74A59D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00D06F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61E9DD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7DAB15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A14C0B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39E022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DEAE43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3A34B2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253A22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21E6542">
      <w:r>
        <w:br w:type="page"/>
      </w:r>
    </w:p>
    <w:p w14:paraId="03A1BE7D">
      <w:pPr>
        <w:spacing w:line="240" w:lineRule="auto"/>
        <w:jc w:val="center"/>
        <w:outlineLvl w:val="1"/>
      </w:pPr>
      <w:r>
        <w:rPr>
          <w:rFonts w:ascii="黑体" w:hAnsi="黑体" w:eastAsia="黑体"/>
          <w:sz w:val="32"/>
        </w:rPr>
        <w:t>第四部分 部门决算报表（见附表）</w:t>
      </w:r>
    </w:p>
    <w:p w14:paraId="64EF7538">
      <w:pPr>
        <w:spacing w:line="240" w:lineRule="auto"/>
        <w:ind w:firstLine="640"/>
        <w:jc w:val="both"/>
      </w:pPr>
      <w:r>
        <w:rPr>
          <w:rFonts w:ascii="仿宋_GB2312" w:hAnsi="仿宋_GB2312" w:eastAsia="仿宋_GB2312"/>
          <w:b w:val="0"/>
          <w:sz w:val="32"/>
        </w:rPr>
        <w:t>一、《收入支出决算总表》</w:t>
      </w:r>
    </w:p>
    <w:p w14:paraId="1B241BC4">
      <w:pPr>
        <w:spacing w:line="240" w:lineRule="auto"/>
        <w:ind w:firstLine="640"/>
        <w:jc w:val="both"/>
      </w:pPr>
      <w:r>
        <w:rPr>
          <w:rFonts w:ascii="仿宋_GB2312" w:hAnsi="仿宋_GB2312" w:eastAsia="仿宋_GB2312"/>
          <w:b w:val="0"/>
          <w:sz w:val="32"/>
        </w:rPr>
        <w:t>二、《收入决算表》</w:t>
      </w:r>
    </w:p>
    <w:p w14:paraId="247D7995">
      <w:pPr>
        <w:spacing w:line="240" w:lineRule="auto"/>
        <w:ind w:firstLine="640"/>
        <w:jc w:val="both"/>
      </w:pPr>
      <w:r>
        <w:rPr>
          <w:rFonts w:ascii="仿宋_GB2312" w:hAnsi="仿宋_GB2312" w:eastAsia="仿宋_GB2312"/>
          <w:b w:val="0"/>
          <w:sz w:val="32"/>
        </w:rPr>
        <w:t>三、《支出决算表》</w:t>
      </w:r>
    </w:p>
    <w:p w14:paraId="31E579A4">
      <w:pPr>
        <w:spacing w:line="240" w:lineRule="auto"/>
        <w:ind w:firstLine="640"/>
        <w:jc w:val="both"/>
      </w:pPr>
      <w:r>
        <w:rPr>
          <w:rFonts w:ascii="仿宋_GB2312" w:hAnsi="仿宋_GB2312" w:eastAsia="仿宋_GB2312"/>
          <w:b w:val="0"/>
          <w:sz w:val="32"/>
        </w:rPr>
        <w:t>四、《财政拨款收入支出决算总表》</w:t>
      </w:r>
    </w:p>
    <w:p w14:paraId="64DEE2BE">
      <w:pPr>
        <w:spacing w:line="240" w:lineRule="auto"/>
        <w:ind w:firstLine="640"/>
        <w:jc w:val="both"/>
      </w:pPr>
      <w:r>
        <w:rPr>
          <w:rFonts w:ascii="仿宋_GB2312" w:hAnsi="仿宋_GB2312" w:eastAsia="仿宋_GB2312"/>
          <w:b w:val="0"/>
          <w:sz w:val="32"/>
        </w:rPr>
        <w:t>五、《一般公共预算财政拨款支出决算表》</w:t>
      </w:r>
    </w:p>
    <w:p w14:paraId="00818886">
      <w:pPr>
        <w:spacing w:line="240" w:lineRule="auto"/>
        <w:ind w:firstLine="640"/>
        <w:jc w:val="both"/>
      </w:pPr>
      <w:r>
        <w:rPr>
          <w:rFonts w:ascii="仿宋_GB2312" w:hAnsi="仿宋_GB2312" w:eastAsia="仿宋_GB2312"/>
          <w:b w:val="0"/>
          <w:sz w:val="32"/>
        </w:rPr>
        <w:t>六、《一般公共预算财政拨款基本支出决算表》</w:t>
      </w:r>
    </w:p>
    <w:p w14:paraId="536A7C2E">
      <w:pPr>
        <w:spacing w:line="240" w:lineRule="auto"/>
        <w:ind w:firstLine="640"/>
        <w:jc w:val="both"/>
      </w:pPr>
      <w:r>
        <w:rPr>
          <w:rFonts w:ascii="仿宋_GB2312" w:hAnsi="仿宋_GB2312" w:eastAsia="仿宋_GB2312"/>
          <w:b w:val="0"/>
          <w:sz w:val="32"/>
        </w:rPr>
        <w:t>七、《政府性基金预算财政拨款收入支出决算表》</w:t>
      </w:r>
    </w:p>
    <w:p w14:paraId="1B56C0CC">
      <w:pPr>
        <w:spacing w:line="240" w:lineRule="auto"/>
        <w:ind w:firstLine="640"/>
        <w:jc w:val="both"/>
      </w:pPr>
      <w:r>
        <w:rPr>
          <w:rFonts w:ascii="仿宋_GB2312" w:hAnsi="仿宋_GB2312" w:eastAsia="仿宋_GB2312"/>
          <w:b w:val="0"/>
          <w:sz w:val="32"/>
        </w:rPr>
        <w:t>八、《国有资本经营预算财政拨款收入支出决算表》</w:t>
      </w:r>
    </w:p>
    <w:p w14:paraId="160BAA08">
      <w:pPr>
        <w:spacing w:line="240" w:lineRule="auto"/>
        <w:ind w:firstLine="640"/>
        <w:jc w:val="both"/>
      </w:pPr>
      <w:r>
        <w:rPr>
          <w:rFonts w:ascii="仿宋_GB2312" w:hAnsi="仿宋_GB2312" w:eastAsia="仿宋_GB2312"/>
          <w:b w:val="0"/>
          <w:sz w:val="32"/>
        </w:rPr>
        <w:t>九、《财政拨款“三公”经费支出决算表》</w:t>
      </w:r>
    </w:p>
    <w:p w14:paraId="50D1E636">
      <w:pPr>
        <w:spacing w:line="240" w:lineRule="auto"/>
        <w:ind w:firstLine="640"/>
        <w:jc w:val="both"/>
      </w:pPr>
    </w:p>
    <w:p w14:paraId="214DFB59">
      <w:pPr>
        <w:spacing w:line="240" w:lineRule="auto"/>
        <w:ind w:firstLine="640"/>
        <w:jc w:val="both"/>
      </w:pPr>
    </w:p>
    <w:p w14:paraId="23DBA3A8">
      <w:pPr>
        <w:spacing w:line="240" w:lineRule="auto"/>
        <w:ind w:firstLine="640"/>
        <w:jc w:val="both"/>
      </w:pPr>
    </w:p>
    <w:p w14:paraId="6CFB4B37">
      <w:pPr>
        <w:spacing w:line="240" w:lineRule="auto"/>
        <w:ind w:firstLine="640"/>
        <w:jc w:val="both"/>
      </w:pPr>
    </w:p>
    <w:p w14:paraId="545AF9D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1MjNkYjVmZWQ2OTZhMTIzM2Q0N2EwOWRhYTM1NmM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EC03EEF"/>
    <w:rsid w:val="0F9811B3"/>
    <w:rsid w:val="11E15093"/>
    <w:rsid w:val="120E0809"/>
    <w:rsid w:val="19071D6C"/>
    <w:rsid w:val="19B5554D"/>
    <w:rsid w:val="1B8F2D19"/>
    <w:rsid w:val="1C317E4F"/>
    <w:rsid w:val="1C472464"/>
    <w:rsid w:val="1DAF458D"/>
    <w:rsid w:val="1E037596"/>
    <w:rsid w:val="1E086ACE"/>
    <w:rsid w:val="1E4B5CA5"/>
    <w:rsid w:val="1EAA4A5F"/>
    <w:rsid w:val="1F587A0B"/>
    <w:rsid w:val="2064678E"/>
    <w:rsid w:val="20BC0B75"/>
    <w:rsid w:val="20DD6197"/>
    <w:rsid w:val="21F317F2"/>
    <w:rsid w:val="2241392C"/>
    <w:rsid w:val="23BC04D2"/>
    <w:rsid w:val="25275618"/>
    <w:rsid w:val="254F56AA"/>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B019A6"/>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E63D4A"/>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5079</Words>
  <Characters>5899</Characters>
  <Lines>0</Lines>
  <Paragraphs>0</Paragraphs>
  <TotalTime>5</TotalTime>
  <ScaleCrop>false</ScaleCrop>
  <LinksUpToDate>false</LinksUpToDate>
  <CharactersWithSpaces>5907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2025-09-17T04:25:34Z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eyJoZGlkIjoiNTBiYjFiYzY0OWM2ODlhYjA1NDAwODJkOGMwZGNkYTMiLCJ1c2VySWQiOiIzNzI2MDMzNTYifQ==</vt:lpwstr>
  </property>
</Properties>
</file>