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FB3848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英吉沙县农业技术推广中心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1876E2">
      <w:r>
        <w:br w:type="page"/>
      </w:r>
    </w:p>
    <w:p w14:paraId="250767AA">
      <w:pPr>
        <w:spacing w:line="640" w:lineRule="exact"/>
        <w:jc w:val="center"/>
        <w:outlineLvl w:val="1"/>
      </w:pPr>
      <w:r>
        <w:rPr>
          <w:rFonts w:ascii="黑体" w:hAnsi="黑体" w:eastAsia="黑体"/>
          <w:sz w:val="32"/>
        </w:rPr>
        <w:t>第一部分 单位概况</w:t>
      </w:r>
    </w:p>
    <w:p w14:paraId="171EFADF">
      <w:pPr>
        <w:spacing w:line="640" w:lineRule="exact"/>
        <w:ind w:firstLine="640"/>
        <w:jc w:val="both"/>
        <w:outlineLvl w:val="2"/>
      </w:pPr>
      <w:r>
        <w:rPr>
          <w:rFonts w:ascii="黑体" w:hAnsi="黑体" w:eastAsia="黑体"/>
          <w:sz w:val="32"/>
        </w:rPr>
        <w:t>一、主要职能</w:t>
      </w:r>
    </w:p>
    <w:p w14:paraId="4BE6CDED">
      <w:pPr>
        <w:spacing w:line="580" w:lineRule="exact"/>
        <w:ind w:firstLine="640"/>
        <w:jc w:val="both"/>
      </w:pPr>
      <w:r>
        <w:rPr>
          <w:rFonts w:ascii="仿宋_GB2312" w:hAnsi="仿宋_GB2312" w:eastAsia="仿宋_GB2312"/>
          <w:sz w:val="32"/>
        </w:rPr>
        <w:t>围绕我县农业生产进行新技术研究、引进，并经试验、示范成功后，在全县农业生产上推广应用，为农业生产服务。其次承担上级业务单位在我县开展的农业科研、试验、示范、推广项目。</w:t>
      </w:r>
    </w:p>
    <w:p w14:paraId="4B6CA0D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了解掌握全县农业生产发展动态及生产实际中存在的问题，做好农业技术推广服务工作，为领导当好参谋。</w:t>
      </w:r>
    </w:p>
    <w:p w14:paraId="6D418D6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培训县、乡、村级农业技术人员和广大农民群众。</w:t>
      </w:r>
    </w:p>
    <w:p w14:paraId="34472785">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开展农业技术知识科普宣传活动，抓好科技示范乡、示范户，指导农民科技致富。</w:t>
      </w:r>
    </w:p>
    <w:p w14:paraId="6BB3CD3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选用综合性高产高效栽培新技术，开发中低产田，降低成本，增加农业总体收入。</w:t>
      </w:r>
    </w:p>
    <w:p w14:paraId="0F1FCE87">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调查总结农业生产中的先进经验，宣传农民科技致富典型，引导农民向市场经济发展。</w:t>
      </w:r>
    </w:p>
    <w:p w14:paraId="630C8DA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根据当地气候特点，按不同作物的生产环节，提出管理技术措施，进行分类指导。</w:t>
      </w:r>
    </w:p>
    <w:p w14:paraId="647F9F98">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引进各种农作物品种，择优推广。</w:t>
      </w:r>
    </w:p>
    <w:p w14:paraId="66910C6E">
      <w:pPr>
        <w:spacing w:line="640" w:lineRule="exact"/>
        <w:ind w:firstLine="640"/>
        <w:jc w:val="both"/>
        <w:outlineLvl w:val="2"/>
      </w:pPr>
      <w:r>
        <w:rPr>
          <w:rFonts w:ascii="黑体" w:hAnsi="黑体" w:eastAsia="黑体"/>
          <w:sz w:val="32"/>
        </w:rPr>
        <w:t>二、机构设置及人员情况</w:t>
      </w:r>
    </w:p>
    <w:p w14:paraId="1B37D73C">
      <w:pPr>
        <w:spacing w:line="580" w:lineRule="exact"/>
        <w:ind w:firstLine="640"/>
        <w:jc w:val="both"/>
      </w:pPr>
      <w:r>
        <w:rPr>
          <w:rFonts w:ascii="仿宋_GB2312" w:hAnsi="仿宋_GB2312" w:eastAsia="仿宋_GB2312"/>
          <w:sz w:val="32"/>
        </w:rPr>
        <w:t>英吉沙县农业技术推广中心2024年度，实有人数44人，其中：在职人员16人，减少1人；离休人员0人，增加0人；退休人员28人,增加2人。</w:t>
      </w:r>
    </w:p>
    <w:p w14:paraId="68B4639A">
      <w:pPr>
        <w:spacing w:line="580" w:lineRule="exact"/>
        <w:ind w:firstLine="640"/>
        <w:jc w:val="both"/>
      </w:pPr>
      <w:r>
        <w:rPr>
          <w:rFonts w:ascii="仿宋_GB2312" w:hAnsi="仿宋_GB2312" w:eastAsia="仿宋_GB2312"/>
          <w:sz w:val="32"/>
        </w:rPr>
        <w:t>英吉沙县农业技术推广中心无下属预算单位，下设5个科室，分别是：财务室、植保股、土肥股、栽培股、办公室。</w:t>
      </w:r>
    </w:p>
    <w:p w14:paraId="1F234BEB">
      <w:r>
        <w:br w:type="page"/>
      </w:r>
    </w:p>
    <w:p w14:paraId="621F68EF">
      <w:pPr>
        <w:spacing w:line="240" w:lineRule="auto"/>
        <w:jc w:val="center"/>
        <w:outlineLvl w:val="1"/>
      </w:pPr>
      <w:r>
        <w:rPr>
          <w:rFonts w:ascii="黑体" w:hAnsi="黑体" w:eastAsia="黑体"/>
          <w:sz w:val="32"/>
        </w:rPr>
        <w:t>第二部分 部门决算情况说明</w:t>
      </w:r>
    </w:p>
    <w:p w14:paraId="60ED5EF1">
      <w:pPr>
        <w:spacing w:line="640" w:lineRule="exact"/>
        <w:ind w:firstLine="640"/>
        <w:jc w:val="both"/>
        <w:outlineLvl w:val="2"/>
      </w:pPr>
      <w:r>
        <w:rPr>
          <w:rFonts w:ascii="黑体" w:hAnsi="黑体" w:eastAsia="黑体"/>
          <w:sz w:val="32"/>
        </w:rPr>
        <w:t>一、收入支出决算总体情况说明</w:t>
      </w:r>
    </w:p>
    <w:p w14:paraId="070B4CC7">
      <w:pPr>
        <w:spacing w:line="580" w:lineRule="exact"/>
        <w:ind w:firstLine="640"/>
        <w:jc w:val="both"/>
      </w:pPr>
      <w:r>
        <w:rPr>
          <w:rFonts w:ascii="仿宋_GB2312" w:hAnsi="仿宋_GB2312" w:eastAsia="仿宋_GB2312"/>
          <w:b/>
          <w:sz w:val="32"/>
        </w:rPr>
        <w:t>2024年度收入总计646.94万元，</w:t>
      </w:r>
      <w:r>
        <w:rPr>
          <w:rFonts w:ascii="仿宋_GB2312" w:hAnsi="仿宋_GB2312" w:eastAsia="仿宋_GB2312"/>
          <w:b w:val="0"/>
          <w:sz w:val="32"/>
        </w:rPr>
        <w:t>其中：本年收入合计646.94万元，使用非财政拨款结余（含专用结余）0.00万元，年初结转和结余0.00万元。</w:t>
      </w:r>
    </w:p>
    <w:p w14:paraId="68E288DE">
      <w:pPr>
        <w:spacing w:line="580" w:lineRule="exact"/>
        <w:ind w:firstLine="640"/>
        <w:jc w:val="both"/>
      </w:pPr>
      <w:r>
        <w:rPr>
          <w:rFonts w:ascii="仿宋_GB2312" w:hAnsi="仿宋_GB2312" w:eastAsia="仿宋_GB2312"/>
          <w:b/>
          <w:sz w:val="32"/>
        </w:rPr>
        <w:t>2024年度支出总计646.94万元，</w:t>
      </w:r>
      <w:r>
        <w:rPr>
          <w:rFonts w:ascii="仿宋_GB2312" w:hAnsi="仿宋_GB2312" w:eastAsia="仿宋_GB2312"/>
          <w:b w:val="0"/>
          <w:sz w:val="32"/>
        </w:rPr>
        <w:t>其中：本年支出合计646.94万元，结余分配0.00万元，年末结转和结余0.00万元。</w:t>
      </w:r>
    </w:p>
    <w:p w14:paraId="5533B839">
      <w:pPr>
        <w:spacing w:line="580" w:lineRule="exact"/>
        <w:ind w:firstLine="640"/>
        <w:jc w:val="both"/>
      </w:pPr>
      <w:r>
        <w:rPr>
          <w:rFonts w:ascii="仿宋_GB2312" w:hAnsi="仿宋_GB2312" w:eastAsia="仿宋_GB2312"/>
          <w:b w:val="0"/>
          <w:sz w:val="32"/>
        </w:rPr>
        <w:t>收入支出总体与上年相比，增加219.81万元，增长51.46%，主要原因是：本年增加英吉沙县2024年中央农业防灾减灾资金（防灾救灾第三批）、英吉沙县2024年基层农技推广体系改革与建设、英吉沙县2024年化肥减量增效及耕地质量监测与评价、英吉沙县耕地质量监测点建设等项目经费，导致相关经费增加。</w:t>
      </w:r>
    </w:p>
    <w:p w14:paraId="313BD8FF">
      <w:pPr>
        <w:spacing w:line="640" w:lineRule="exact"/>
        <w:ind w:firstLine="640"/>
        <w:jc w:val="both"/>
        <w:outlineLvl w:val="2"/>
      </w:pPr>
      <w:r>
        <w:rPr>
          <w:rFonts w:ascii="黑体" w:hAnsi="黑体" w:eastAsia="黑体"/>
          <w:sz w:val="32"/>
        </w:rPr>
        <w:t>二、收入决算情况说明</w:t>
      </w:r>
    </w:p>
    <w:p w14:paraId="49724D4D">
      <w:pPr>
        <w:spacing w:line="580" w:lineRule="exact"/>
        <w:ind w:firstLine="640"/>
        <w:jc w:val="both"/>
      </w:pPr>
      <w:r>
        <w:rPr>
          <w:rFonts w:ascii="仿宋_GB2312" w:hAnsi="仿宋_GB2312" w:eastAsia="仿宋_GB2312"/>
          <w:b/>
          <w:sz w:val="32"/>
        </w:rPr>
        <w:t>本年收入646.94万元，</w:t>
      </w:r>
      <w:r>
        <w:rPr>
          <w:rFonts w:ascii="仿宋_GB2312" w:hAnsi="仿宋_GB2312" w:eastAsia="仿宋_GB2312"/>
          <w:b w:val="0"/>
          <w:sz w:val="32"/>
        </w:rPr>
        <w:t>其中：财政拨款收入616.94万元，占95.36%；上级补助收入0.00万元，占0.00%；事业收入0.00万元，占0.00%；经营收入0.00万元，占0.00%；附属单位上缴收入0.00万元，占0.00%；其他收入30.00万元，占4.64%。</w:t>
      </w:r>
    </w:p>
    <w:p w14:paraId="5D37483D">
      <w:pPr>
        <w:spacing w:line="640" w:lineRule="exact"/>
        <w:ind w:firstLine="640"/>
        <w:jc w:val="both"/>
        <w:outlineLvl w:val="2"/>
      </w:pPr>
      <w:r>
        <w:rPr>
          <w:rFonts w:ascii="黑体" w:hAnsi="黑体" w:eastAsia="黑体"/>
          <w:sz w:val="32"/>
        </w:rPr>
        <w:t>三、支出决算情况说明</w:t>
      </w:r>
    </w:p>
    <w:p w14:paraId="3ADD1942">
      <w:pPr>
        <w:spacing w:line="580" w:lineRule="exact"/>
        <w:ind w:firstLine="640"/>
        <w:jc w:val="both"/>
      </w:pPr>
      <w:r>
        <w:rPr>
          <w:rFonts w:ascii="仿宋_GB2312" w:hAnsi="仿宋_GB2312" w:eastAsia="仿宋_GB2312"/>
          <w:b/>
          <w:sz w:val="32"/>
        </w:rPr>
        <w:t>本年支出646.94万元，</w:t>
      </w:r>
      <w:r>
        <w:rPr>
          <w:rFonts w:ascii="仿宋_GB2312" w:hAnsi="仿宋_GB2312" w:eastAsia="仿宋_GB2312"/>
          <w:b w:val="0"/>
          <w:sz w:val="32"/>
        </w:rPr>
        <w:t>其中：基本支出390.42万元，占60.35%；项目支出256.52万元，占39.65%；上缴上级支出0.00万元，占0.00%；经营支出0.00万元，占0.00%；对附属单位补助支出0.00万元，占0.00%。</w:t>
      </w:r>
    </w:p>
    <w:p w14:paraId="010E685B">
      <w:pPr>
        <w:spacing w:line="640" w:lineRule="exact"/>
        <w:ind w:firstLine="640"/>
        <w:jc w:val="both"/>
        <w:outlineLvl w:val="2"/>
      </w:pPr>
      <w:r>
        <w:rPr>
          <w:rFonts w:ascii="黑体" w:hAnsi="黑体" w:eastAsia="黑体"/>
          <w:sz w:val="32"/>
        </w:rPr>
        <w:t>四、财政拨款收入支出决算总体情况说明</w:t>
      </w:r>
    </w:p>
    <w:p w14:paraId="255ED8A6">
      <w:pPr>
        <w:spacing w:line="580" w:lineRule="exact"/>
        <w:ind w:firstLine="640"/>
        <w:jc w:val="both"/>
      </w:pPr>
      <w:r>
        <w:rPr>
          <w:rFonts w:ascii="仿宋_GB2312" w:hAnsi="仿宋_GB2312" w:eastAsia="仿宋_GB2312"/>
          <w:b/>
          <w:sz w:val="32"/>
        </w:rPr>
        <w:t>2024年度财政拨款收入总计616.94万元，</w:t>
      </w:r>
      <w:r>
        <w:rPr>
          <w:rFonts w:ascii="仿宋_GB2312" w:hAnsi="仿宋_GB2312" w:eastAsia="仿宋_GB2312"/>
          <w:b w:val="0"/>
          <w:sz w:val="32"/>
        </w:rPr>
        <w:t>其中：年初财政拨款结转和结余0.00万元，本年财政拨款收入616.94万元。</w:t>
      </w:r>
      <w:r>
        <w:rPr>
          <w:rFonts w:ascii="仿宋_GB2312" w:hAnsi="仿宋_GB2312" w:eastAsia="仿宋_GB2312"/>
          <w:b/>
          <w:sz w:val="32"/>
        </w:rPr>
        <w:t>财政拨款支出总计616.94万元，</w:t>
      </w:r>
      <w:r>
        <w:rPr>
          <w:rFonts w:ascii="仿宋_GB2312" w:hAnsi="仿宋_GB2312" w:eastAsia="仿宋_GB2312"/>
          <w:b w:val="0"/>
          <w:sz w:val="32"/>
        </w:rPr>
        <w:t>其中：年末财政拨款结转和结余0.00万元，本年财政拨款支出616.94万元。</w:t>
      </w:r>
    </w:p>
    <w:p w14:paraId="4522856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189.81万元，增长44.44%，主要原因是：本年增加英吉沙县2024年中央农业防灾减灾资金（防灾救灾第三批）、英吉沙县2024年基层农技推广体系改革与建设、英吉沙县2024年化肥减量增效及耕地质量监测与评价、英吉沙县耕地质量监测点建设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399.26万元，决算数616.94万元，预决算差异率54.52%，主要原因是：年中追加英吉沙县2024年中央农业防灾减灾资金（防灾救灾第三批）、英吉沙县2024年基层农技推广体系改革与建设、英吉沙县2024年化肥减量增效及耕地质量监测与评价、英吉沙县耕地质量监测点建设等项目经费，导致预决算差异。</w:t>
      </w:r>
    </w:p>
    <w:p w14:paraId="3EA6FC58">
      <w:pPr>
        <w:spacing w:line="640" w:lineRule="exact"/>
        <w:ind w:firstLine="640"/>
        <w:jc w:val="both"/>
        <w:outlineLvl w:val="2"/>
      </w:pPr>
      <w:r>
        <w:rPr>
          <w:rFonts w:ascii="黑体" w:hAnsi="黑体" w:eastAsia="黑体"/>
          <w:sz w:val="32"/>
        </w:rPr>
        <w:t>五、一般公共预算财政拨款支出决算情况说明</w:t>
      </w:r>
    </w:p>
    <w:p w14:paraId="6515855F">
      <w:pPr>
        <w:spacing w:line="640" w:lineRule="exact"/>
        <w:ind w:firstLine="640"/>
        <w:jc w:val="both"/>
        <w:outlineLvl w:val="3"/>
      </w:pPr>
      <w:r>
        <w:rPr>
          <w:rFonts w:ascii="楷体_GB2312" w:hAnsi="楷体_GB2312" w:eastAsia="楷体_GB2312"/>
          <w:b/>
          <w:sz w:val="32"/>
        </w:rPr>
        <w:t>（一）一般公共预算财政拨款支出决算总体情况</w:t>
      </w:r>
    </w:p>
    <w:p w14:paraId="77BA6DCB">
      <w:pPr>
        <w:spacing w:line="580" w:lineRule="exact"/>
        <w:ind w:firstLine="640"/>
        <w:jc w:val="both"/>
      </w:pPr>
      <w:r>
        <w:rPr>
          <w:rFonts w:ascii="仿宋_GB2312" w:hAnsi="仿宋_GB2312" w:eastAsia="仿宋_GB2312"/>
          <w:b/>
          <w:sz w:val="32"/>
        </w:rPr>
        <w:t>2024年度一般公共预算财政拨款支出587.46万元，</w:t>
      </w:r>
      <w:r>
        <w:rPr>
          <w:rFonts w:ascii="仿宋_GB2312" w:hAnsi="仿宋_GB2312" w:eastAsia="仿宋_GB2312"/>
          <w:b w:val="0"/>
          <w:sz w:val="32"/>
        </w:rPr>
        <w:t>占本年支出合计的90.81%。</w:t>
      </w:r>
      <w:r>
        <w:rPr>
          <w:rFonts w:ascii="仿宋_GB2312" w:hAnsi="仿宋_GB2312" w:eastAsia="仿宋_GB2312"/>
          <w:b/>
          <w:sz w:val="32"/>
        </w:rPr>
        <w:t>与上年相比，</w:t>
      </w:r>
      <w:r>
        <w:rPr>
          <w:rFonts w:ascii="仿宋_GB2312" w:hAnsi="仿宋_GB2312" w:eastAsia="仿宋_GB2312"/>
          <w:b w:val="0"/>
          <w:sz w:val="32"/>
        </w:rPr>
        <w:t>增加160.33万元，增长37.54%，主要原因是：本年增加英吉沙县2024年中央农业防灾减灾资金（防灾救灾第三批）、英吉沙县2024年基层农技推广体系改革与建设、英吉沙县2024年化肥减量增效及耕地质量监测与评价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399.26万元，决算数587.46万元，预决算差异率47.14%，主要原因是：年中追加英吉沙县2024年中央农业防灾减灾资金（防灾救灾第三批）、英吉沙县2024年基层农技推广体系改革与建设、英吉沙县2024年化肥减量增效及耕地质量监测与评价等项目经费，导致预决算差异。</w:t>
      </w:r>
    </w:p>
    <w:p w14:paraId="4A805096">
      <w:pPr>
        <w:spacing w:line="640" w:lineRule="exact"/>
        <w:ind w:firstLine="640"/>
        <w:jc w:val="both"/>
        <w:outlineLvl w:val="3"/>
      </w:pPr>
      <w:r>
        <w:rPr>
          <w:rFonts w:ascii="楷体_GB2312" w:hAnsi="楷体_GB2312" w:eastAsia="楷体_GB2312"/>
          <w:b/>
          <w:sz w:val="32"/>
        </w:rPr>
        <w:t>（二）一般公共预算财政拨款支出决算结构情况</w:t>
      </w:r>
    </w:p>
    <w:p w14:paraId="0FC02BED">
      <w:pPr>
        <w:spacing w:line="580" w:lineRule="exact"/>
        <w:ind w:firstLine="640"/>
        <w:jc w:val="both"/>
      </w:pPr>
      <w:r>
        <w:rPr>
          <w:rFonts w:ascii="仿宋_GB2312" w:hAnsi="仿宋_GB2312" w:eastAsia="仿宋_GB2312"/>
          <w:b w:val="0"/>
          <w:sz w:val="32"/>
        </w:rPr>
        <w:t>1.社会保障和就业支出(类)88.67万元,占15.09%。</w:t>
      </w:r>
    </w:p>
    <w:p w14:paraId="340252B8">
      <w:pPr>
        <w:spacing w:line="580" w:lineRule="exact"/>
        <w:ind w:firstLine="640"/>
        <w:jc w:val="both"/>
      </w:pPr>
      <w:r>
        <w:rPr>
          <w:rFonts w:ascii="仿宋_GB2312" w:hAnsi="仿宋_GB2312" w:eastAsia="仿宋_GB2312"/>
          <w:b w:val="0"/>
          <w:sz w:val="32"/>
        </w:rPr>
        <w:t>2.卫生健康支出(类)14.35万元,占2.44%。</w:t>
      </w:r>
    </w:p>
    <w:p w14:paraId="40DFA0C4">
      <w:pPr>
        <w:spacing w:line="580" w:lineRule="exact"/>
        <w:ind w:firstLine="640"/>
        <w:jc w:val="both"/>
      </w:pPr>
      <w:r>
        <w:rPr>
          <w:rFonts w:ascii="仿宋_GB2312" w:hAnsi="仿宋_GB2312" w:eastAsia="仿宋_GB2312"/>
          <w:b w:val="0"/>
          <w:sz w:val="32"/>
        </w:rPr>
        <w:t>3.农林水支出(类)457.41万元,占77.86%。</w:t>
      </w:r>
    </w:p>
    <w:p w14:paraId="1553A5A1">
      <w:pPr>
        <w:spacing w:line="580" w:lineRule="exact"/>
        <w:ind w:firstLine="640"/>
        <w:jc w:val="both"/>
      </w:pPr>
      <w:r>
        <w:rPr>
          <w:rFonts w:ascii="仿宋_GB2312" w:hAnsi="仿宋_GB2312" w:eastAsia="仿宋_GB2312"/>
          <w:b w:val="0"/>
          <w:sz w:val="32"/>
        </w:rPr>
        <w:t>4.住房保障支出(类)27.02万元,占4.60%。</w:t>
      </w:r>
    </w:p>
    <w:p w14:paraId="39D27199">
      <w:pPr>
        <w:spacing w:line="640" w:lineRule="exact"/>
        <w:ind w:firstLine="640"/>
        <w:jc w:val="both"/>
        <w:outlineLvl w:val="3"/>
      </w:pPr>
      <w:r>
        <w:rPr>
          <w:rFonts w:ascii="楷体_GB2312" w:hAnsi="楷体_GB2312" w:eastAsia="楷体_GB2312"/>
          <w:b/>
          <w:sz w:val="32"/>
        </w:rPr>
        <w:t>（三）一般公共预算财政拨款支出决算具体情况</w:t>
      </w:r>
    </w:p>
    <w:p w14:paraId="31FE4848">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1.社会保障和就业支出(类)行政事业单位养老支出(款)事业单位离退休(项):支出决算数为36.66万元，比上年决算增加10.73万元，增长41.38%,主要原因是：本年退休人员增加，退休费支出增加。</w:t>
      </w:r>
    </w:p>
    <w:p w14:paraId="5860256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33.75万元，比上年决算减少2.43万元，下降6.72%,主要原因是：本年在职人员减少，单位基本养老保险缴费较上年减少。</w:t>
      </w:r>
    </w:p>
    <w:p w14:paraId="414351A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3.社会保障和就业支出(类)行政事业单位养老支出(款)机关事业单位职业年金缴费支出(项):支出决算数为18.26万元，比上年决算增加18.26万元，增长100.00%,主要原因是：本年新增退休人员，职业年金缴费支出增加。</w:t>
      </w:r>
    </w:p>
    <w:p w14:paraId="5B7069F0">
      <w:pPr>
        <w:spacing w:line="580" w:lineRule="exact"/>
        <w:ind w:firstLine="640"/>
        <w:jc w:val="both"/>
      </w:pPr>
      <w:r>
        <w:rPr>
          <w:rFonts w:ascii="仿宋_GB2312" w:hAnsi="仿宋_GB2312" w:eastAsia="仿宋_GB2312"/>
          <w:b w:val="0"/>
          <w:sz w:val="32"/>
        </w:rPr>
        <w:t>4.卫生健康支出(类)行政事业单位医疗(款)事业单位医疗(项):支出决算数为14.35万元，比上年决算增加0.18万元，增长1.27%,主要原因是：本年在职人员工资基数调增，医疗缴费基数上涨，相应支出增加。</w:t>
      </w:r>
    </w:p>
    <w:p w14:paraId="1858AB49">
      <w:pPr>
        <w:spacing w:line="580" w:lineRule="exact"/>
        <w:ind w:firstLine="640"/>
        <w:jc w:val="both"/>
      </w:pPr>
      <w:r>
        <w:rPr>
          <w:rFonts w:ascii="仿宋_GB2312" w:hAnsi="仿宋_GB2312" w:eastAsia="仿宋_GB2312"/>
          <w:b w:val="0"/>
          <w:sz w:val="32"/>
        </w:rPr>
        <w:t>5.农林水支出(类)农业农村(款)科技转化与推广服务(项):支出决算数为300.37万元，比上年决算增加4.30万元，增长1.45%,主要原因是：本年增加戈壁设施农业水-热-湿环境协同控制技术应用团队项目经费，导致相关经费增加。</w:t>
      </w:r>
    </w:p>
    <w:p w14:paraId="385FF15C">
      <w:pPr>
        <w:spacing w:line="580" w:lineRule="exact"/>
        <w:ind w:firstLine="640"/>
        <w:jc w:val="both"/>
      </w:pPr>
      <w:r>
        <w:rPr>
          <w:rFonts w:ascii="仿宋_GB2312" w:hAnsi="仿宋_GB2312" w:eastAsia="仿宋_GB2312"/>
          <w:b w:val="0"/>
          <w:sz w:val="32"/>
        </w:rPr>
        <w:t>6.农林水支出(类)农业农村(款)病虫害控制(项):支出决算数为0.00万元，比上年决算减少10.50万元，下降100.00%,主要原因是：本年减少英吉沙县2023年中央农业防灾减灾和水利救灾资金（第一批）项目经费，导致相关经费减少。</w:t>
      </w:r>
    </w:p>
    <w:p w14:paraId="6EA38F7B">
      <w:pPr>
        <w:spacing w:line="580" w:lineRule="exact"/>
        <w:ind w:firstLine="640"/>
        <w:jc w:val="both"/>
      </w:pPr>
      <w:r>
        <w:rPr>
          <w:rFonts w:ascii="仿宋_GB2312" w:hAnsi="仿宋_GB2312" w:eastAsia="仿宋_GB2312"/>
          <w:b w:val="0"/>
          <w:sz w:val="32"/>
        </w:rPr>
        <w:t>7.农林水支出(类)农业农村(款)防灾救灾(项):支出决算数为24.00万元，比上年决算增加24.00万元，增长100.00%,主要原因是：本年增加英吉沙县2024年中央农业防灾减灾资金（防灾救灾第三批）项目经费，导致相关经费增加。</w:t>
      </w:r>
    </w:p>
    <w:p w14:paraId="0B7E28D1">
      <w:pPr>
        <w:spacing w:line="580" w:lineRule="exact"/>
        <w:ind w:firstLine="640"/>
        <w:jc w:val="both"/>
      </w:pPr>
      <w:r>
        <w:rPr>
          <w:rFonts w:ascii="仿宋_GB2312" w:hAnsi="仿宋_GB2312" w:eastAsia="仿宋_GB2312"/>
          <w:b w:val="0"/>
          <w:sz w:val="32"/>
        </w:rPr>
        <w:t>8.农林水支出(类)农业农村(款)农业生产发展(项):支出决算数为71.20万元，比上年决算增加60.18万元，增长546.10%,主要原因是：本年增加英吉沙县2024年基层农技推广体系改革与建设项目经费，导致相关经费增加。</w:t>
      </w:r>
    </w:p>
    <w:p w14:paraId="7DE35243">
      <w:pPr>
        <w:spacing w:line="580" w:lineRule="exact"/>
        <w:ind w:firstLine="640"/>
        <w:jc w:val="both"/>
      </w:pPr>
      <w:r>
        <w:rPr>
          <w:rFonts w:ascii="仿宋_GB2312" w:hAnsi="仿宋_GB2312" w:eastAsia="仿宋_GB2312"/>
          <w:b w:val="0"/>
          <w:sz w:val="32"/>
        </w:rPr>
        <w:t>9.农林水支出(类)农业农村(款)农业资源保护修复与利用(项):支出决算数为0.00万元，比上年决算减少4.30万元，下降100.00%,主要原因是：本年减少英吉沙县2023年化肥减量增效项目经费，导致相关经费减少。</w:t>
      </w:r>
    </w:p>
    <w:p w14:paraId="487421B9">
      <w:pPr>
        <w:spacing w:line="580" w:lineRule="exact"/>
        <w:ind w:firstLine="640"/>
        <w:jc w:val="both"/>
      </w:pPr>
      <w:r>
        <w:rPr>
          <w:rFonts w:ascii="仿宋_GB2312" w:hAnsi="仿宋_GB2312" w:eastAsia="仿宋_GB2312"/>
          <w:b w:val="0"/>
          <w:sz w:val="32"/>
        </w:rPr>
        <w:t>10.农林水支出(类)农业农村(款)耕地建设与利用(项):支出决算数为61.84万元，比上年决算增加61.84万元，增长100.00%,主要原因是：本年增加英吉沙县2024年化肥减量增效及耕地质量监测与评价项目经费，导致相关经费增加。</w:t>
      </w:r>
    </w:p>
    <w:p w14:paraId="5BC8D4F4">
      <w:pPr>
        <w:spacing w:line="580" w:lineRule="exact"/>
        <w:ind w:firstLine="640"/>
        <w:jc w:val="both"/>
      </w:pPr>
      <w:r>
        <w:rPr>
          <w:rFonts w:ascii="仿宋_GB2312" w:hAnsi="仿宋_GB2312" w:eastAsia="仿宋_GB2312"/>
          <w:b w:val="0"/>
          <w:sz w:val="32"/>
        </w:rPr>
        <w:t>11.住房保障支出(类)住房改革支出(款)住房公积金(项):支出决算数为27.02万元，比上年决算减少1.94万元，下降6.70%,主要原因是：本年在职人员减少，住房公积金缴费较上年减少。</w:t>
      </w:r>
    </w:p>
    <w:p w14:paraId="0F9FC8BB">
      <w:pPr>
        <w:spacing w:line="640" w:lineRule="exact"/>
        <w:ind w:firstLine="640"/>
        <w:jc w:val="both"/>
        <w:outlineLvl w:val="2"/>
      </w:pPr>
      <w:r>
        <w:rPr>
          <w:rFonts w:ascii="黑体" w:hAnsi="黑体" w:eastAsia="黑体"/>
          <w:sz w:val="32"/>
        </w:rPr>
        <w:t>六、一般公共预算财政拨款基本支出决算情况说明</w:t>
      </w:r>
    </w:p>
    <w:p w14:paraId="47602BF3">
      <w:pPr>
        <w:spacing w:line="580" w:lineRule="exact"/>
        <w:ind w:firstLine="640"/>
        <w:jc w:val="both"/>
      </w:pPr>
      <w:r>
        <w:rPr>
          <w:rFonts w:ascii="仿宋_GB2312" w:hAnsi="仿宋_GB2312" w:eastAsia="仿宋_GB2312"/>
          <w:b w:val="0"/>
          <w:sz w:val="32"/>
        </w:rPr>
        <w:t>2024年度一般公共预算财政拨款基本支出390.42万元，其中：</w:t>
      </w:r>
      <w:r>
        <w:rPr>
          <w:rFonts w:ascii="仿宋_GB2312" w:hAnsi="仿宋_GB2312" w:eastAsia="仿宋_GB2312"/>
          <w:b/>
          <w:sz w:val="32"/>
        </w:rPr>
        <w:t>人员经费385.95万元，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1846D2C1">
      <w:pPr>
        <w:spacing w:line="580" w:lineRule="exact"/>
        <w:ind w:firstLine="640"/>
        <w:jc w:val="both"/>
      </w:pPr>
      <w:r>
        <w:rPr>
          <w:rFonts w:ascii="仿宋_GB2312" w:hAnsi="仿宋_GB2312" w:eastAsia="仿宋_GB2312"/>
          <w:b/>
          <w:sz w:val="32"/>
        </w:rPr>
        <w:t>公用经费4.46万元，</w:t>
      </w:r>
      <w:r>
        <w:rPr>
          <w:rFonts w:ascii="仿宋_GB2312" w:hAnsi="仿宋_GB2312" w:eastAsia="仿宋_GB2312"/>
          <w:b w:val="0"/>
          <w:sz w:val="32"/>
        </w:rPr>
        <w:t>包括：办公费、电费、邮电费、差旅费。</w:t>
      </w:r>
    </w:p>
    <w:p w14:paraId="23092E1A">
      <w:pPr>
        <w:spacing w:line="640" w:lineRule="exact"/>
        <w:ind w:firstLine="640"/>
        <w:jc w:val="both"/>
        <w:outlineLvl w:val="2"/>
      </w:pPr>
      <w:r>
        <w:rPr>
          <w:rFonts w:ascii="黑体" w:hAnsi="黑体" w:eastAsia="黑体"/>
          <w:sz w:val="32"/>
        </w:rPr>
        <w:t>七、政府性基金预算财政拨款收入支出决算情况说明</w:t>
      </w:r>
    </w:p>
    <w:p w14:paraId="3830EAD9">
      <w:pPr>
        <w:spacing w:line="580" w:lineRule="exact"/>
        <w:ind w:firstLine="640"/>
        <w:jc w:val="both"/>
      </w:pPr>
      <w:r>
        <w:rPr>
          <w:rFonts w:ascii="仿宋_GB2312" w:hAnsi="仿宋_GB2312" w:eastAsia="仿宋_GB2312"/>
          <w:b/>
          <w:sz w:val="32"/>
        </w:rPr>
        <w:t>2024年度政府性基金预算财政拨款收入总计29.48万元，</w:t>
      </w:r>
      <w:r>
        <w:rPr>
          <w:rFonts w:ascii="仿宋_GB2312" w:hAnsi="仿宋_GB2312" w:eastAsia="仿宋_GB2312"/>
          <w:b w:val="0"/>
          <w:sz w:val="32"/>
        </w:rPr>
        <w:t>其中：年初结转和结余0.00万元，本年收入29.48万元。</w:t>
      </w:r>
      <w:r>
        <w:rPr>
          <w:rFonts w:ascii="仿宋_GB2312" w:hAnsi="仿宋_GB2312" w:eastAsia="仿宋_GB2312"/>
          <w:b/>
          <w:sz w:val="32"/>
        </w:rPr>
        <w:t>政府性基金预算财政拨款支出总计29.48万元，</w:t>
      </w:r>
      <w:r>
        <w:rPr>
          <w:rFonts w:ascii="仿宋_GB2312" w:hAnsi="仿宋_GB2312" w:eastAsia="仿宋_GB2312"/>
          <w:b w:val="0"/>
          <w:sz w:val="32"/>
        </w:rPr>
        <w:t>其中：年末结转和结余0.00万元，本年支出29.48万元。</w:t>
      </w:r>
    </w:p>
    <w:p w14:paraId="3265DB2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增加29.48万元，增长100.00%，主要原因是：本年增加英吉沙县耕地质量监测点建设项目经费，导致相关经费增加。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年初预算数0.00万元，决算数29.48万元，预决算差异率100.00%，主要原因是：年中追加英吉沙县耕地质量监测点建设项目经费，导致预决算差异。</w:t>
      </w:r>
    </w:p>
    <w:p w14:paraId="1E9DE527">
      <w:pPr>
        <w:spacing w:line="580" w:lineRule="exact"/>
        <w:ind w:firstLine="640"/>
        <w:jc w:val="both"/>
      </w:pPr>
      <w:r>
        <w:rPr>
          <w:rFonts w:ascii="仿宋_GB2312" w:hAnsi="仿宋_GB2312" w:eastAsia="仿宋_GB2312"/>
          <w:b w:val="0"/>
          <w:sz w:val="32"/>
        </w:rPr>
        <w:t>政府性基金预算财政拨款支出29.48万元。</w:t>
      </w:r>
    </w:p>
    <w:p w14:paraId="46C6961A">
      <w:pPr>
        <w:spacing w:line="580" w:lineRule="exact"/>
        <w:ind w:firstLine="640"/>
        <w:jc w:val="both"/>
      </w:pPr>
      <w:r>
        <w:rPr>
          <w:rFonts w:ascii="仿宋_GB2312" w:hAnsi="仿宋_GB2312" w:eastAsia="仿宋_GB2312"/>
          <w:b w:val="0"/>
          <w:sz w:val="32"/>
        </w:rPr>
        <w:t>1.城乡社区支出(类)国有土地使用权出让收入安排的支出(款)农业生产发展支出(项):支出决算数为29.48万元，比上年决算增加29.48万元，增长100.00%,主要原因是：本年增加英吉沙县耕地质量监测点建设项目经费，导致相关经费增加。</w:t>
      </w:r>
    </w:p>
    <w:p w14:paraId="1E8766F1">
      <w:pPr>
        <w:spacing w:line="640" w:lineRule="exact"/>
        <w:ind w:firstLine="640"/>
        <w:jc w:val="both"/>
        <w:outlineLvl w:val="2"/>
      </w:pPr>
      <w:r>
        <w:rPr>
          <w:rFonts w:ascii="黑体" w:hAnsi="黑体" w:eastAsia="黑体"/>
          <w:sz w:val="32"/>
        </w:rPr>
        <w:t>八、国有资本经营预算财政拨款收入支出决算情况说明</w:t>
      </w:r>
    </w:p>
    <w:p w14:paraId="20BAB0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6D130F">
      <w:pPr>
        <w:spacing w:line="640" w:lineRule="exact"/>
        <w:ind w:firstLine="640"/>
        <w:jc w:val="both"/>
        <w:outlineLvl w:val="2"/>
      </w:pPr>
      <w:r>
        <w:rPr>
          <w:rFonts w:ascii="黑体" w:hAnsi="黑体" w:eastAsia="黑体"/>
          <w:sz w:val="32"/>
        </w:rPr>
        <w:t>九、财政拨款“三公”经费支出决算情况说明</w:t>
      </w:r>
    </w:p>
    <w:p w14:paraId="15B4C6A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6F16F64">
      <w:pPr>
        <w:spacing w:line="580" w:lineRule="exact"/>
        <w:ind w:firstLine="640"/>
        <w:jc w:val="both"/>
      </w:pPr>
      <w:r>
        <w:rPr>
          <w:rFonts w:ascii="仿宋_GB2312" w:hAnsi="仿宋_GB2312" w:eastAsia="仿宋_GB2312"/>
          <w:b/>
          <w:sz w:val="32"/>
        </w:rPr>
        <w:t>具体情况如下：</w:t>
      </w:r>
    </w:p>
    <w:p w14:paraId="1463825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B5DA9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w:t>
      </w:r>
      <w:r>
        <w:rPr>
          <w:rFonts w:hint="eastAsia" w:ascii="仿宋_GB2312" w:hAnsi="仿宋_GB2312" w:eastAsia="仿宋_GB2312"/>
          <w:b w:val="0"/>
          <w:sz w:val="32"/>
          <w:lang w:val="en-US" w:eastAsia="zh-CN"/>
        </w:rPr>
        <w:t>其他</w:t>
      </w:r>
      <w:r>
        <w:rPr>
          <w:rFonts w:ascii="仿宋_GB2312" w:hAnsi="仿宋_GB2312" w:eastAsia="仿宋_GB2312"/>
          <w:b w:val="0"/>
          <w:sz w:val="32"/>
        </w:rPr>
        <w:t>资金保障。</w:t>
      </w:r>
    </w:p>
    <w:p w14:paraId="60ADA88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3EEF72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D00CF98">
      <w:pPr>
        <w:spacing w:line="640" w:lineRule="exact"/>
        <w:ind w:firstLine="640"/>
        <w:jc w:val="both"/>
        <w:outlineLvl w:val="2"/>
      </w:pPr>
      <w:r>
        <w:rPr>
          <w:rFonts w:ascii="黑体" w:hAnsi="黑体" w:eastAsia="黑体"/>
          <w:sz w:val="32"/>
        </w:rPr>
        <w:t>十、其他重要事项的情况说明</w:t>
      </w:r>
    </w:p>
    <w:p w14:paraId="598EEF93">
      <w:pPr>
        <w:spacing w:line="640" w:lineRule="exact"/>
        <w:ind w:firstLine="640"/>
        <w:jc w:val="both"/>
        <w:outlineLvl w:val="3"/>
      </w:pPr>
      <w:r>
        <w:rPr>
          <w:rFonts w:ascii="楷体_GB2312" w:hAnsi="楷体_GB2312" w:eastAsia="楷体_GB2312"/>
          <w:b/>
          <w:sz w:val="32"/>
        </w:rPr>
        <w:t>（一）机关运行经费及公用经费支出情况</w:t>
      </w:r>
    </w:p>
    <w:p w14:paraId="4AE7555C">
      <w:pPr>
        <w:spacing w:line="580" w:lineRule="exact"/>
        <w:ind w:firstLine="640"/>
        <w:jc w:val="both"/>
      </w:pPr>
      <w:r>
        <w:rPr>
          <w:rFonts w:ascii="仿宋_GB2312" w:hAnsi="仿宋_GB2312" w:eastAsia="仿宋_GB2312"/>
          <w:b w:val="0"/>
          <w:sz w:val="32"/>
        </w:rPr>
        <w:t>2024年度英吉沙县农业技术推广中心（事业单位）公用经费支出4.46万元，比上年增加0.86万元，增长23.89%，主要原因是：本年业务量增加，公用经费增加。</w:t>
      </w:r>
    </w:p>
    <w:p w14:paraId="4265E65C">
      <w:pPr>
        <w:spacing w:line="640" w:lineRule="exact"/>
        <w:ind w:firstLine="640"/>
        <w:jc w:val="both"/>
        <w:outlineLvl w:val="3"/>
      </w:pPr>
      <w:r>
        <w:rPr>
          <w:rFonts w:ascii="楷体_GB2312" w:hAnsi="楷体_GB2312" w:eastAsia="楷体_GB2312"/>
          <w:b/>
          <w:sz w:val="32"/>
        </w:rPr>
        <w:t>（二）政府采购情况</w:t>
      </w:r>
    </w:p>
    <w:p w14:paraId="7FB536F0">
      <w:pPr>
        <w:spacing w:line="580" w:lineRule="exact"/>
        <w:ind w:firstLine="640"/>
        <w:jc w:val="both"/>
      </w:pPr>
      <w:r>
        <w:rPr>
          <w:rFonts w:ascii="仿宋_GB2312" w:hAnsi="仿宋_GB2312" w:eastAsia="仿宋_GB2312"/>
          <w:b w:val="0"/>
          <w:sz w:val="32"/>
        </w:rPr>
        <w:t>2024年度政府采购支出总额43.85万元，其中：政府采购货物支出14.37万元、政府采购工程支出29.48万元、政府采购服务支出0.00万元。</w:t>
      </w:r>
    </w:p>
    <w:p w14:paraId="792BD0D7">
      <w:pPr>
        <w:spacing w:line="580" w:lineRule="exact"/>
        <w:ind w:firstLine="640"/>
        <w:jc w:val="both"/>
      </w:pPr>
      <w:r>
        <w:rPr>
          <w:rFonts w:ascii="仿宋_GB2312" w:hAnsi="仿宋_GB2312" w:eastAsia="仿宋_GB2312"/>
          <w:b w:val="0"/>
          <w:sz w:val="32"/>
        </w:rPr>
        <w:t>授予中小企业合同金额43.85万元，占政府采购支出总额的100.00%，其中：授予小微企业合同金额43.85万元，占政府采购支出总额的100.00%。</w:t>
      </w:r>
    </w:p>
    <w:p w14:paraId="1D53BBB9">
      <w:pPr>
        <w:spacing w:line="640" w:lineRule="exact"/>
        <w:ind w:firstLine="640"/>
        <w:jc w:val="both"/>
        <w:outlineLvl w:val="3"/>
      </w:pPr>
      <w:r>
        <w:rPr>
          <w:rFonts w:ascii="楷体_GB2312" w:hAnsi="楷体_GB2312" w:eastAsia="楷体_GB2312"/>
          <w:b/>
          <w:sz w:val="32"/>
        </w:rPr>
        <w:t>（三）国有资产占用情况说明</w:t>
      </w:r>
    </w:p>
    <w:p w14:paraId="63594F27">
      <w:pPr>
        <w:spacing w:line="580" w:lineRule="exact"/>
        <w:ind w:firstLine="640"/>
        <w:jc w:val="both"/>
      </w:pPr>
      <w:r>
        <w:rPr>
          <w:rFonts w:ascii="仿宋_GB2312" w:hAnsi="仿宋_GB2312" w:eastAsia="仿宋_GB2312"/>
          <w:b w:val="0"/>
          <w:sz w:val="32"/>
        </w:rPr>
        <w:t>截至2024年12月31日，房屋1,560.00平方米，价值193.00万元。车辆2辆，价值29.95万元，其中：副部（省）级及以上领导用车0辆、主要负责人用车0辆、机要通信用车0辆、应急保障用车0辆、执法执勤用车0辆、特种专业技术用车0辆、离退休干部服务用车0辆、其他用车2辆，其他用车主要是：一般业务用车。单价100万元（含）以上设备（不含车辆）0台（套）。</w:t>
      </w:r>
    </w:p>
    <w:p w14:paraId="0D3A25D7">
      <w:pPr>
        <w:spacing w:line="640" w:lineRule="exact"/>
        <w:ind w:firstLine="640"/>
        <w:jc w:val="both"/>
        <w:outlineLvl w:val="2"/>
      </w:pPr>
      <w:r>
        <w:rPr>
          <w:rFonts w:ascii="黑体" w:hAnsi="黑体" w:eastAsia="黑体"/>
          <w:sz w:val="32"/>
        </w:rPr>
        <w:t>十一、预算绩效的情况说明</w:t>
      </w:r>
    </w:p>
    <w:p w14:paraId="7F5B6ED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646.93万元，实际执行总额646.93万元；预算绩效评价项目5个，全年预算数158.84万元，全年执行数155.32万元。预算绩效管理取得的成效：一是确保资金的高效使用，切实发挥财政资金的使用效果。二是严格按照工作职责和相关文件依据，确保专款专用。三是严格控制资金的流出方向，确保资金的合规性。发现的问题及原因：一是绩效评价体系还不够完善。对预算绩效管理的重要性认识不足</w:t>
      </w:r>
      <w:r>
        <w:rPr>
          <w:rFonts w:hint="eastAsia" w:ascii="仿宋_GB2312" w:hAnsi="仿宋_GB2312" w:eastAsia="仿宋_GB2312"/>
          <w:b w:val="0"/>
          <w:sz w:val="32"/>
          <w:lang w:eastAsia="zh-CN"/>
        </w:rPr>
        <w:t>，</w:t>
      </w:r>
      <w:r>
        <w:rPr>
          <w:rFonts w:ascii="仿宋_GB2312" w:hAnsi="仿宋_GB2312" w:eastAsia="仿宋_GB2312"/>
          <w:b w:val="0"/>
          <w:sz w:val="32"/>
        </w:rPr>
        <w:t>对预算绩效管理认识和了解不够深入，预算绩效管理体制没有完善</w:t>
      </w:r>
      <w:r>
        <w:rPr>
          <w:rFonts w:hint="eastAsia" w:ascii="仿宋_GB2312" w:hAnsi="仿宋_GB2312" w:eastAsia="仿宋_GB2312"/>
          <w:b w:val="0"/>
          <w:sz w:val="32"/>
          <w:lang w:eastAsia="zh-CN"/>
        </w:rPr>
        <w:t>地</w:t>
      </w:r>
      <w:r>
        <w:rPr>
          <w:rFonts w:ascii="仿宋_GB2312" w:hAnsi="仿宋_GB2312" w:eastAsia="仿宋_GB2312"/>
          <w:b w:val="0"/>
          <w:sz w:val="32"/>
        </w:rPr>
        <w:t>建立起来；二是管理水平和政策实施效果还不够明显。预算绩效管理队伍薄弱，对预算绩效管理的经验欠缺，工作人员频繁更换，工作人员业务不精通、经验有限，实际操作难，无法做到对预算绩效工作的全面管理。下一步改进措施：一是不断加强绩效管理队伍建设。加强对预算单位绩效专干、财务人员对绩效工作及绩效系统的培训，强化预算绩效管理、成本管理的理念，完善绩效指标，提高整体绩效目标质量，提升预算精细化管理水平；二是继续完善预算绩效管理相关工作制度，建立全过程预算绩效管理链条，有效贯彻落实全面实施绩效管理的精神。具体附整体支出绩效自评表，项目支出绩效自评表和评价报告。</w:t>
      </w:r>
    </w:p>
    <w:p w14:paraId="3FA4C6D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6E3352">
        <w:tblPrEx>
          <w:tblCellMar>
            <w:top w:w="0" w:type="dxa"/>
            <w:left w:w="108" w:type="dxa"/>
            <w:bottom w:w="0" w:type="dxa"/>
            <w:right w:w="108" w:type="dxa"/>
          </w:tblCellMar>
        </w:tblPrEx>
        <w:tc>
          <w:tcPr>
            <w:tcW w:w="8847" w:type="dxa"/>
            <w:gridSpan w:val="9"/>
            <w:vAlign w:val="center"/>
          </w:tcPr>
          <w:p w14:paraId="19A7B1D4">
            <w:pPr>
              <w:jc w:val="center"/>
            </w:pPr>
            <w:r>
              <w:rPr>
                <w:rFonts w:ascii="宋体" w:hAnsi="宋体" w:eastAsia="宋体"/>
                <w:sz w:val="24"/>
              </w:rPr>
              <w:t>单位整体支出绩效自评表</w:t>
            </w:r>
          </w:p>
        </w:tc>
      </w:tr>
      <w:tr w14:paraId="67BBD98E">
        <w:tblPrEx>
          <w:tblCellMar>
            <w:top w:w="0" w:type="dxa"/>
            <w:left w:w="108" w:type="dxa"/>
            <w:bottom w:w="0" w:type="dxa"/>
            <w:right w:w="108" w:type="dxa"/>
          </w:tblCellMar>
        </w:tblPrEx>
        <w:tc>
          <w:tcPr>
            <w:tcW w:w="8847" w:type="dxa"/>
            <w:gridSpan w:val="9"/>
            <w:vAlign w:val="center"/>
          </w:tcPr>
          <w:p w14:paraId="55F9B2DF">
            <w:pPr>
              <w:jc w:val="center"/>
            </w:pPr>
            <w:r>
              <w:rPr>
                <w:rFonts w:ascii="宋体" w:hAnsi="宋体" w:eastAsia="宋体"/>
                <w:sz w:val="24"/>
              </w:rPr>
              <w:t>（2024年度）</w:t>
            </w:r>
          </w:p>
        </w:tc>
      </w:tr>
      <w:tr w14:paraId="64A7C9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526E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E691C5">
            <w:pPr>
              <w:jc w:val="center"/>
            </w:pPr>
            <w:r>
              <w:rPr>
                <w:rFonts w:ascii="宋体" w:hAnsi="宋体" w:eastAsia="宋体"/>
                <w:sz w:val="16"/>
              </w:rPr>
              <w:t>英吉沙县农业技术推广中心</w:t>
            </w:r>
          </w:p>
        </w:tc>
      </w:tr>
      <w:tr w14:paraId="6A0863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CC69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239A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3F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227D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FF02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F37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5BA9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E8D6">
            <w:pPr>
              <w:jc w:val="center"/>
            </w:pPr>
            <w:r>
              <w:rPr>
                <w:rFonts w:ascii="宋体" w:hAnsi="宋体" w:eastAsia="宋体"/>
                <w:sz w:val="16"/>
              </w:rPr>
              <w:t>得分</w:t>
            </w:r>
          </w:p>
        </w:tc>
      </w:tr>
      <w:tr w14:paraId="7E2879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DBE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2D68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84A72">
            <w:pPr>
              <w:jc w:val="center"/>
            </w:pPr>
            <w:r>
              <w:rPr>
                <w:rFonts w:ascii="宋体" w:hAnsi="宋体" w:eastAsia="宋体"/>
                <w:sz w:val="16"/>
              </w:rPr>
              <w:t>399.26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9B46B">
            <w:pPr>
              <w:jc w:val="center"/>
            </w:pPr>
            <w:r>
              <w:rPr>
                <w:rFonts w:ascii="宋体" w:hAnsi="宋体" w:eastAsia="宋体"/>
                <w:sz w:val="16"/>
              </w:rPr>
              <w:t>646.93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3A681">
            <w:pPr>
              <w:jc w:val="center"/>
            </w:pPr>
            <w:r>
              <w:rPr>
                <w:rFonts w:ascii="宋体" w:hAnsi="宋体" w:eastAsia="宋体"/>
                <w:sz w:val="16"/>
              </w:rPr>
              <w:t>646.93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4E6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6EDF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AE422">
            <w:pPr>
              <w:jc w:val="center"/>
            </w:pPr>
            <w:r>
              <w:rPr>
                <w:rFonts w:ascii="宋体" w:hAnsi="宋体" w:eastAsia="宋体"/>
                <w:sz w:val="16"/>
              </w:rPr>
              <w:t>10</w:t>
            </w:r>
          </w:p>
        </w:tc>
      </w:tr>
      <w:tr w14:paraId="3D1398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E34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1BE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16D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65890">
            <w:pPr>
              <w:jc w:val="center"/>
            </w:pPr>
            <w:r>
              <w:rPr>
                <w:rFonts w:ascii="宋体" w:hAnsi="宋体" w:eastAsia="宋体"/>
                <w:sz w:val="16"/>
              </w:rPr>
              <w:t>197.04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BC25">
            <w:pPr>
              <w:jc w:val="center"/>
            </w:pPr>
            <w:r>
              <w:rPr>
                <w:rFonts w:ascii="宋体" w:hAnsi="宋体" w:eastAsia="宋体"/>
                <w:sz w:val="16"/>
              </w:rPr>
              <w:t>197.04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6E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A1AB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7403C">
            <w:pPr>
              <w:jc w:val="center"/>
            </w:pPr>
            <w:r>
              <w:rPr>
                <w:rFonts w:ascii="宋体" w:hAnsi="宋体" w:eastAsia="宋体"/>
                <w:sz w:val="16"/>
              </w:rPr>
              <w:t>—</w:t>
            </w:r>
          </w:p>
        </w:tc>
      </w:tr>
      <w:tr w14:paraId="0D37C9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2C2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3435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2B4B">
            <w:pPr>
              <w:jc w:val="center"/>
            </w:pPr>
            <w:r>
              <w:rPr>
                <w:rFonts w:ascii="宋体" w:hAnsi="宋体" w:eastAsia="宋体"/>
                <w:sz w:val="16"/>
              </w:rPr>
              <w:t>399.26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4983C">
            <w:pPr>
              <w:jc w:val="center"/>
            </w:pPr>
            <w:r>
              <w:rPr>
                <w:rFonts w:ascii="宋体" w:hAnsi="宋体" w:eastAsia="宋体"/>
                <w:sz w:val="16"/>
              </w:rPr>
              <w:t>419.89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8E44B">
            <w:pPr>
              <w:jc w:val="center"/>
            </w:pPr>
            <w:r>
              <w:rPr>
                <w:rFonts w:ascii="宋体" w:hAnsi="宋体" w:eastAsia="宋体"/>
                <w:sz w:val="16"/>
              </w:rPr>
              <w:t>419.89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BE7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6514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1F52">
            <w:pPr>
              <w:jc w:val="center"/>
            </w:pPr>
            <w:r>
              <w:rPr>
                <w:rFonts w:ascii="宋体" w:hAnsi="宋体" w:eastAsia="宋体"/>
                <w:sz w:val="16"/>
              </w:rPr>
              <w:t>—</w:t>
            </w:r>
          </w:p>
        </w:tc>
      </w:tr>
      <w:tr w14:paraId="0C8618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3BB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A9FB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80E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660A7">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00DF8">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73F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6E43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34CBF">
            <w:pPr>
              <w:jc w:val="center"/>
            </w:pPr>
            <w:r>
              <w:rPr>
                <w:rFonts w:ascii="宋体" w:hAnsi="宋体" w:eastAsia="宋体"/>
                <w:sz w:val="16"/>
              </w:rPr>
              <w:t>—</w:t>
            </w:r>
          </w:p>
        </w:tc>
      </w:tr>
      <w:tr w14:paraId="396B94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CA62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4B284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D7E85F">
            <w:pPr>
              <w:jc w:val="center"/>
            </w:pPr>
            <w:r>
              <w:rPr>
                <w:rFonts w:ascii="宋体" w:hAnsi="宋体" w:eastAsia="宋体"/>
                <w:sz w:val="16"/>
              </w:rPr>
              <w:t>实际完成情况</w:t>
            </w:r>
          </w:p>
        </w:tc>
      </w:tr>
      <w:tr w14:paraId="65980D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8D14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4BD7A6">
            <w:pPr>
              <w:jc w:val="both"/>
            </w:pPr>
            <w:r>
              <w:rPr>
                <w:rFonts w:ascii="宋体" w:hAnsi="宋体" w:eastAsia="宋体"/>
                <w:sz w:val="16"/>
              </w:rPr>
              <w:t>认真贯彻落实农业农村工作会议精神，进一步解放思想、求真务实、与时俱进、开拓创新，明确目标，结合自身的工作性质和特点，充分发挥专业技术优势。进一步提高病虫害预测测报准确率达到85%以上和病虫害监测覆盖率达到90%以上，发布病虫害情报信息10期。加快植保新技术的推广普及，在搞好粮、棉、果树等农作物病虫害预测、预报及防治工作的同时，还要做好瓜果、蔬菜等农作物的病虫害监测与防治工作。继续加强我县各乡镇农作物各生育期的栽培管理、田间技术指导150次以上。充分发挥农业技术在农业生产中的主力军作用，切实加强对春耕备耕、三夏、三秋农业生产工作的组织领导，深入农机春耕备耕、三夏、三秋农业生产第一线，做好农技推广政策宣传10次以上与农业技术指导服务农户达到260户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555FE0">
            <w:pPr>
              <w:jc w:val="both"/>
            </w:pPr>
            <w:r>
              <w:rPr>
                <w:rFonts w:ascii="宋体" w:hAnsi="宋体" w:eastAsia="宋体"/>
                <w:sz w:val="16"/>
              </w:rPr>
              <w:t>充分发挥专业技术优势。进一步提高病虫害预测测报准确率达到85%和病虫害监测覆盖率达到90%，发布病虫害情报信息10期。加快植保新技术的推广普及，在搞好粮、棉、果树等农作物病虫害预测、预报及防治工作的同时，还要做好瓜果、蔬菜等农作物的病虫害监测与防治工作。继续加强我县各乡镇农作物各生育期的栽培管理、田间技术指导150次。充分发挥农业技术在农业生产中的主力军作用，切实加强对春耕备耕、三夏、三秋农业生产工作的组织领导，深入农机春耕备耕、三夏、三秋农业生产第一线，做好农技推广政策宣传10次与农业技术指导服务农户达到260户。做好主要农作物栽培技术指导，小麦平均自然产量为446公斤/亩，较2023年增产2.58公斤/亩；正播玉米平均自然产量为613.55公斤/亩，较2023年增产8.84公斤/亩；棉花平均亩产为133.11公斤/亩，较2023年增产5.65公斤/亩；复播玉米平均自然产量为449.6公斤/亩，较2023年增产9.12公斤/亩。在增加农民收入、保证粮食安全等方面取得了明显的社会经济效益。2024农药使用量为83.7954吨，比2023年（使用量为85.5454吨）减少1.75吨，减少率为2％，做到农药零增长。</w:t>
            </w:r>
          </w:p>
        </w:tc>
      </w:tr>
      <w:tr w14:paraId="1EEA76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A20C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80E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03DC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35A5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EE61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FCB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AC9F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C6D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D687B">
            <w:pPr>
              <w:jc w:val="center"/>
            </w:pPr>
            <w:r>
              <w:rPr>
                <w:rFonts w:ascii="宋体" w:hAnsi="宋体" w:eastAsia="宋体"/>
                <w:sz w:val="16"/>
              </w:rPr>
              <w:t>得分</w:t>
            </w:r>
          </w:p>
        </w:tc>
      </w:tr>
      <w:tr w14:paraId="46CD87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2D8A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E6A6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5A8D">
            <w:pPr>
              <w:jc w:val="center"/>
            </w:pPr>
            <w:r>
              <w:rPr>
                <w:rFonts w:ascii="宋体" w:hAnsi="宋体" w:eastAsia="宋体"/>
                <w:sz w:val="16"/>
              </w:rPr>
              <w:t>病虫害预测测报准确率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19236">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F45C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1EDB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911AE">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300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00E06">
            <w:pPr>
              <w:jc w:val="center"/>
            </w:pPr>
            <w:r>
              <w:rPr>
                <w:rFonts w:ascii="宋体" w:hAnsi="宋体" w:eastAsia="宋体"/>
                <w:sz w:val="16"/>
              </w:rPr>
              <w:t>15</w:t>
            </w:r>
          </w:p>
        </w:tc>
      </w:tr>
      <w:tr w14:paraId="58E822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CF4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32C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449F">
            <w:pPr>
              <w:jc w:val="center"/>
            </w:pPr>
            <w:r>
              <w:rPr>
                <w:rFonts w:ascii="宋体" w:hAnsi="宋体" w:eastAsia="宋体"/>
                <w:sz w:val="16"/>
              </w:rPr>
              <w:t>病虫害监测覆盖率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18C9D">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9C11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948E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2134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8CD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347CC">
            <w:pPr>
              <w:jc w:val="center"/>
            </w:pPr>
            <w:r>
              <w:rPr>
                <w:rFonts w:ascii="宋体" w:hAnsi="宋体" w:eastAsia="宋体"/>
                <w:sz w:val="16"/>
              </w:rPr>
              <w:t>15</w:t>
            </w:r>
          </w:p>
        </w:tc>
      </w:tr>
      <w:tr w14:paraId="7BB11B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D9CE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0FA5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69569">
            <w:pPr>
              <w:jc w:val="center"/>
            </w:pPr>
            <w:r>
              <w:rPr>
                <w:rFonts w:ascii="宋体" w:hAnsi="宋体" w:eastAsia="宋体"/>
                <w:sz w:val="16"/>
              </w:rPr>
              <w:t>田间技术指导次数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5AC5">
            <w:pPr>
              <w:jc w:val="center"/>
            </w:pPr>
            <w:r>
              <w:rPr>
                <w:rFonts w:ascii="宋体" w:hAnsi="宋体" w:eastAsia="宋体"/>
                <w:sz w:val="16"/>
              </w:rPr>
              <w:t>&gt;=150次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31F1B">
            <w:pPr>
              <w:jc w:val="center"/>
            </w:pPr>
            <w:r>
              <w:rPr>
                <w:rFonts w:ascii="宋体" w:hAnsi="宋体" w:eastAsia="宋体"/>
                <w:sz w:val="16"/>
              </w:rPr>
              <w:t>2024年工作总结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022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5793">
            <w:pPr>
              <w:jc w:val="center"/>
            </w:pPr>
            <w:r>
              <w:rPr>
                <w:rFonts w:ascii="宋体" w:hAnsi="宋体" w:eastAsia="宋体"/>
                <w:sz w:val="16"/>
              </w:rPr>
              <w:t>=150次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E8E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F01B8">
            <w:pPr>
              <w:jc w:val="center"/>
            </w:pPr>
            <w:r>
              <w:rPr>
                <w:rFonts w:ascii="宋体" w:hAnsi="宋体" w:eastAsia="宋体"/>
                <w:sz w:val="16"/>
              </w:rPr>
              <w:t>20</w:t>
            </w:r>
          </w:p>
        </w:tc>
      </w:tr>
      <w:tr w14:paraId="50F50A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D6F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14F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B889">
            <w:pPr>
              <w:jc w:val="center"/>
            </w:pPr>
            <w:r>
              <w:rPr>
                <w:rFonts w:ascii="宋体" w:hAnsi="宋体" w:eastAsia="宋体"/>
                <w:sz w:val="16"/>
              </w:rPr>
              <w:t>农技推广政策宣传次数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46FAB">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E8AF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4EE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EEDA8">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C90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2813B">
            <w:pPr>
              <w:jc w:val="center"/>
            </w:pPr>
            <w:r>
              <w:rPr>
                <w:rFonts w:ascii="宋体" w:hAnsi="宋体" w:eastAsia="宋体"/>
                <w:sz w:val="16"/>
              </w:rPr>
              <w:t>20</w:t>
            </w:r>
          </w:p>
        </w:tc>
      </w:tr>
      <w:tr w14:paraId="0D7E14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ACF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7B9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0E917">
            <w:pPr>
              <w:jc w:val="center"/>
            </w:pPr>
            <w:r>
              <w:rPr>
                <w:rFonts w:ascii="宋体" w:hAnsi="宋体" w:eastAsia="宋体"/>
                <w:sz w:val="16"/>
              </w:rPr>
              <w:t>农业技术指导服务农户数量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BAADE">
            <w:pPr>
              <w:jc w:val="center"/>
            </w:pPr>
            <w:r>
              <w:rPr>
                <w:rFonts w:ascii="宋体" w:hAnsi="宋体" w:eastAsia="宋体"/>
                <w:sz w:val="16"/>
              </w:rPr>
              <w:t>&gt;=260户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7867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51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6DAED">
            <w:pPr>
              <w:jc w:val="center"/>
            </w:pPr>
            <w:r>
              <w:rPr>
                <w:rFonts w:ascii="宋体" w:hAnsi="宋体" w:eastAsia="宋体"/>
                <w:sz w:val="16"/>
              </w:rPr>
              <w:t>=260户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A27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0784C">
            <w:pPr>
              <w:jc w:val="center"/>
            </w:pPr>
            <w:r>
              <w:rPr>
                <w:rFonts w:ascii="宋体" w:hAnsi="宋体" w:eastAsia="宋体"/>
                <w:sz w:val="16"/>
              </w:rPr>
              <w:t>20</w:t>
            </w:r>
          </w:p>
        </w:tc>
      </w:tr>
    </w:tbl>
    <w:p w14:paraId="74A23681">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619"/>
        <w:gridCol w:w="936"/>
        <w:gridCol w:w="598"/>
        <w:gridCol w:w="598"/>
        <w:gridCol w:w="609"/>
        <w:gridCol w:w="598"/>
        <w:gridCol w:w="598"/>
        <w:gridCol w:w="856"/>
        <w:gridCol w:w="633"/>
        <w:gridCol w:w="569"/>
        <w:gridCol w:w="631"/>
      </w:tblGrid>
      <w:tr w14:paraId="33C5FE67">
        <w:tblPrEx>
          <w:tblCellMar>
            <w:top w:w="0" w:type="dxa"/>
            <w:left w:w="108" w:type="dxa"/>
            <w:bottom w:w="0" w:type="dxa"/>
            <w:right w:w="108" w:type="dxa"/>
          </w:tblCellMar>
        </w:tblPrEx>
        <w:tc>
          <w:tcPr>
            <w:tcW w:w="8848" w:type="dxa"/>
            <w:gridSpan w:val="14"/>
            <w:vAlign w:val="center"/>
          </w:tcPr>
          <w:p w14:paraId="70F1DDA8">
            <w:pPr>
              <w:jc w:val="center"/>
            </w:pPr>
            <w:r>
              <w:rPr>
                <w:rFonts w:ascii="宋体" w:hAnsi="宋体" w:eastAsia="宋体"/>
                <w:sz w:val="24"/>
              </w:rPr>
              <w:t>项目支出绩效自评表</w:t>
            </w:r>
          </w:p>
        </w:tc>
      </w:tr>
      <w:tr w14:paraId="651BB84B">
        <w:tblPrEx>
          <w:tblCellMar>
            <w:top w:w="0" w:type="dxa"/>
            <w:left w:w="108" w:type="dxa"/>
            <w:bottom w:w="0" w:type="dxa"/>
            <w:right w:w="108" w:type="dxa"/>
          </w:tblCellMar>
        </w:tblPrEx>
        <w:tc>
          <w:tcPr>
            <w:tcW w:w="8848" w:type="dxa"/>
            <w:gridSpan w:val="14"/>
            <w:vAlign w:val="center"/>
          </w:tcPr>
          <w:p w14:paraId="29C4AEF7">
            <w:pPr>
              <w:jc w:val="center"/>
            </w:pPr>
            <w:r>
              <w:rPr>
                <w:rFonts w:ascii="宋体" w:hAnsi="宋体" w:eastAsia="宋体"/>
                <w:sz w:val="24"/>
              </w:rPr>
              <w:t>(2024年度)</w:t>
            </w:r>
          </w:p>
        </w:tc>
      </w:tr>
      <w:tr w14:paraId="2B1BB2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59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610D1E">
            <w:pPr>
              <w:jc w:val="center"/>
            </w:pPr>
            <w:r>
              <w:rPr>
                <w:rFonts w:ascii="宋体" w:hAnsi="宋体" w:eastAsia="宋体"/>
                <w:sz w:val="16"/>
              </w:rPr>
              <w:t>2024年度智力援疆创新拓展人才计划戈壁设施农业水-热-湿环境协同控制技术应用团队项目</w:t>
            </w:r>
          </w:p>
        </w:tc>
      </w:tr>
      <w:tr w14:paraId="54F353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0C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776EC">
            <w:pPr>
              <w:jc w:val="center"/>
            </w:pPr>
            <w:r>
              <w:rPr>
                <w:rFonts w:ascii="宋体" w:hAnsi="宋体" w:eastAsia="宋体"/>
                <w:sz w:val="16"/>
              </w:rPr>
              <w:t>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FC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E24C6">
            <w:pPr>
              <w:jc w:val="center"/>
            </w:pPr>
            <w:r>
              <w:rPr>
                <w:rFonts w:ascii="宋体" w:hAnsi="宋体" w:eastAsia="宋体"/>
                <w:sz w:val="16"/>
              </w:rPr>
              <w:t>英吉沙县农业技术推广中心</w:t>
            </w:r>
          </w:p>
        </w:tc>
      </w:tr>
      <w:tr w14:paraId="1F90D4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056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8A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508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946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34F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431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8B7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2638">
            <w:pPr>
              <w:jc w:val="center"/>
            </w:pPr>
            <w:r>
              <w:rPr>
                <w:rFonts w:ascii="宋体" w:hAnsi="宋体" w:eastAsia="宋体"/>
                <w:sz w:val="16"/>
              </w:rPr>
              <w:t>得分</w:t>
            </w:r>
          </w:p>
        </w:tc>
      </w:tr>
      <w:tr w14:paraId="47D9D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CD2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3F7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998C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1A5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2052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E8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3AB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8A3D">
            <w:pPr>
              <w:jc w:val="center"/>
            </w:pPr>
            <w:r>
              <w:rPr>
                <w:rFonts w:ascii="宋体" w:hAnsi="宋体" w:eastAsia="宋体"/>
                <w:sz w:val="16"/>
              </w:rPr>
              <w:t>10.00分</w:t>
            </w:r>
          </w:p>
        </w:tc>
      </w:tr>
      <w:tr w14:paraId="56C81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50A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8B6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5A3D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442F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92D5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4DB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A2A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52A2">
            <w:pPr>
              <w:jc w:val="center"/>
            </w:pPr>
            <w:r>
              <w:rPr>
                <w:rFonts w:ascii="宋体" w:hAnsi="宋体" w:eastAsia="宋体"/>
                <w:sz w:val="16"/>
              </w:rPr>
              <w:t>—</w:t>
            </w:r>
          </w:p>
        </w:tc>
      </w:tr>
      <w:tr w14:paraId="21817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FE1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F2E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A74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391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808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3BC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78C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61B3">
            <w:pPr>
              <w:jc w:val="center"/>
            </w:pPr>
            <w:r>
              <w:rPr>
                <w:rFonts w:ascii="宋体" w:hAnsi="宋体" w:eastAsia="宋体"/>
                <w:sz w:val="16"/>
              </w:rPr>
              <w:t>—</w:t>
            </w:r>
          </w:p>
        </w:tc>
      </w:tr>
      <w:tr w14:paraId="1E54B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C46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D13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46FAE5">
            <w:pPr>
              <w:jc w:val="center"/>
            </w:pPr>
            <w:r>
              <w:rPr>
                <w:rFonts w:ascii="宋体" w:hAnsi="宋体" w:eastAsia="宋体"/>
                <w:sz w:val="16"/>
              </w:rPr>
              <w:t>实际完成情况</w:t>
            </w:r>
          </w:p>
        </w:tc>
      </w:tr>
      <w:tr w14:paraId="6226A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7BC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D15BE7">
            <w:pPr>
              <w:jc w:val="both"/>
            </w:pPr>
            <w:r>
              <w:rPr>
                <w:rFonts w:ascii="宋体" w:hAnsi="宋体" w:eastAsia="宋体"/>
                <w:sz w:val="16"/>
              </w:rPr>
              <w:t>该项目计划投入40万，用于(1)建立戈壁日光温室大棚中主要作物根区的需水-用水平衡模型和生长环境温湿度需求响应模型；(2)形成戈壁日光温室大棚结构-传热设施农业系统1套；(3)提出适用于南疆戈壁日光温室的膜下喷滴灌一体智慧节水耦合技术1套；(4)完成英吉沙县15亩日光温室大棚结构-传热低水耗设施农业产品应用示范；(5)完成英吉沙县30亩日光温室大棚戈壁设施农业协同控制技术应用示范。通过该项目的实施，实现设施农业节能、节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45D68E">
            <w:pPr>
              <w:jc w:val="both"/>
            </w:pPr>
            <w:r>
              <w:rPr>
                <w:rFonts w:hint="eastAsia" w:ascii="宋体" w:hAnsi="宋体"/>
                <w:sz w:val="16"/>
                <w:lang w:eastAsia="zh-CN"/>
              </w:rPr>
              <w:t>截至2024</w:t>
            </w:r>
            <w:r>
              <w:rPr>
                <w:rFonts w:ascii="宋体" w:hAnsi="宋体" w:eastAsia="宋体"/>
                <w:sz w:val="16"/>
              </w:rPr>
              <w:t>年12月31日，该项目执行资金40万元，项目资金执行率为100%，用于(1)形成戈壁日光温室大棚结构-传热设施农业系统1套；(2)提出适用于南疆戈壁日光温室的膜下喷滴灌一体智慧节水耦合技术1套；(3)完成英吉沙县15亩日光温室大棚结构-传热低水耗设施农业产品应用示范；(4)完成英吉沙县45亩日光温室大棚戈壁设施农业协同控制技术应用示范；（5）培养30名人才。通过该项目的实施，实现设施农业节能、节水。</w:t>
            </w:r>
          </w:p>
        </w:tc>
      </w:tr>
      <w:tr w14:paraId="42F0DA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856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20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3A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68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88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48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61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19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B0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08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2D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F8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B33D2">
            <w:pPr>
              <w:jc w:val="center"/>
            </w:pPr>
            <w:r>
              <w:rPr>
                <w:rFonts w:ascii="宋体" w:hAnsi="宋体" w:eastAsia="宋体"/>
                <w:sz w:val="16"/>
              </w:rPr>
              <w:t>偏差原因分析及改进措施</w:t>
            </w:r>
          </w:p>
        </w:tc>
      </w:tr>
      <w:tr w14:paraId="372397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297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AA9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EEF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CFB6">
            <w:pPr>
              <w:jc w:val="center"/>
            </w:pPr>
            <w:r>
              <w:rPr>
                <w:rFonts w:ascii="宋体" w:hAnsi="宋体" w:eastAsia="宋体"/>
                <w:sz w:val="16"/>
              </w:rPr>
              <w:t>培养人才数量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167F">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8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BE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ED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F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6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1173">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B18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8693">
            <w:pPr>
              <w:jc w:val="center"/>
            </w:pPr>
          </w:p>
        </w:tc>
      </w:tr>
      <w:tr w14:paraId="65F18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63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C2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6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DCCB">
            <w:pPr>
              <w:jc w:val="center"/>
            </w:pPr>
            <w:r>
              <w:rPr>
                <w:rFonts w:ascii="宋体" w:hAnsi="宋体" w:eastAsia="宋体"/>
                <w:sz w:val="16"/>
              </w:rPr>
              <w:t>示范面积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D024">
            <w:pPr>
              <w:jc w:val="center"/>
            </w:pPr>
            <w:r>
              <w:rPr>
                <w:rFonts w:ascii="宋体" w:hAnsi="宋体" w:eastAsia="宋体"/>
                <w:sz w:val="16"/>
              </w:rPr>
              <w:t>=45亩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7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90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70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5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A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BFCC">
            <w:pPr>
              <w:jc w:val="center"/>
            </w:pPr>
            <w:r>
              <w:rPr>
                <w:rFonts w:ascii="宋体" w:hAnsi="宋体" w:eastAsia="宋体"/>
                <w:sz w:val="16"/>
              </w:rPr>
              <w:t>=45亩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769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A5643">
            <w:pPr>
              <w:jc w:val="center"/>
            </w:pPr>
          </w:p>
        </w:tc>
      </w:tr>
      <w:tr w14:paraId="22E17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00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56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5C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2370">
            <w:pPr>
              <w:jc w:val="center"/>
            </w:pPr>
            <w:r>
              <w:rPr>
                <w:rFonts w:ascii="宋体" w:hAnsi="宋体" w:eastAsia="宋体"/>
                <w:sz w:val="16"/>
              </w:rPr>
              <w:t>温室大棚结构-传热设施农业系统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754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4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6B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36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0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6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737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BFB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4E3E2">
            <w:pPr>
              <w:jc w:val="center"/>
            </w:pPr>
          </w:p>
        </w:tc>
      </w:tr>
      <w:tr w14:paraId="2F805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05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55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4F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4998">
            <w:pPr>
              <w:jc w:val="center"/>
            </w:pPr>
            <w:r>
              <w:rPr>
                <w:rFonts w:ascii="宋体" w:hAnsi="宋体" w:eastAsia="宋体"/>
                <w:sz w:val="16"/>
              </w:rPr>
              <w:t>膜下喷滴灌一体智慧节水耦合技术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B151">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0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BD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7D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16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7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DA6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98B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29FF">
            <w:pPr>
              <w:jc w:val="center"/>
            </w:pPr>
          </w:p>
        </w:tc>
      </w:tr>
      <w:tr w14:paraId="3423C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5E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6E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FA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951E">
            <w:pPr>
              <w:jc w:val="center"/>
            </w:pPr>
            <w:r>
              <w:rPr>
                <w:rFonts w:ascii="宋体" w:hAnsi="宋体" w:eastAsia="宋体"/>
                <w:sz w:val="16"/>
              </w:rPr>
              <w:t>年度研究项目进度安排执行率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E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D3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80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40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70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55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B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16C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48621">
            <w:pPr>
              <w:jc w:val="center"/>
            </w:pPr>
          </w:p>
        </w:tc>
      </w:tr>
      <w:tr w14:paraId="7AF69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08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21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435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820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D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A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1C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BD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E8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35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5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EA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631C8">
            <w:pPr>
              <w:jc w:val="center"/>
            </w:pPr>
          </w:p>
        </w:tc>
      </w:tr>
      <w:tr w14:paraId="43A46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EE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C2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D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640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12E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2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8E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BD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5F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4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F67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8B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61889">
            <w:pPr>
              <w:jc w:val="center"/>
            </w:pPr>
          </w:p>
        </w:tc>
      </w:tr>
      <w:tr w14:paraId="3BEA3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5D4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45E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DA6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8936">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27B2">
            <w:pPr>
              <w:jc w:val="center"/>
            </w:pPr>
            <w:r>
              <w:rPr>
                <w:rFonts w:ascii="宋体" w:hAnsi="宋体" w:eastAsia="宋体"/>
                <w:sz w:val="16"/>
              </w:rPr>
              <w:t>&lt;=2.9583万元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DA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C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B7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5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9A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B8E8">
            <w:pPr>
              <w:jc w:val="center"/>
            </w:pPr>
            <w:r>
              <w:rPr>
                <w:rFonts w:ascii="宋体" w:hAnsi="宋体" w:eastAsia="宋体"/>
                <w:sz w:val="16"/>
              </w:rPr>
              <w:t>=2.9583万元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87E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FD4E">
            <w:pPr>
              <w:jc w:val="center"/>
            </w:pPr>
          </w:p>
        </w:tc>
      </w:tr>
      <w:tr w14:paraId="171A9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DD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0D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1C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B644">
            <w:pPr>
              <w:jc w:val="center"/>
            </w:pPr>
            <w:r>
              <w:rPr>
                <w:rFonts w:ascii="宋体" w:hAnsi="宋体" w:eastAsia="宋体"/>
                <w:sz w:val="16"/>
              </w:rPr>
              <w:t>机械租赁费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4ECB">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09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A6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B1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5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FD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8865">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F2A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29179">
            <w:pPr>
              <w:jc w:val="center"/>
            </w:pPr>
          </w:p>
        </w:tc>
      </w:tr>
      <w:tr w14:paraId="12D91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9F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AF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01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50DA">
            <w:pPr>
              <w:jc w:val="center"/>
            </w:pPr>
            <w:r>
              <w:rPr>
                <w:rFonts w:ascii="宋体" w:hAnsi="宋体" w:eastAsia="宋体"/>
                <w:sz w:val="16"/>
              </w:rPr>
              <w:t>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142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DF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2F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8C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8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D8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16B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479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6EB68">
            <w:pPr>
              <w:jc w:val="center"/>
            </w:pPr>
          </w:p>
        </w:tc>
      </w:tr>
      <w:tr w14:paraId="3FFD1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68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C3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97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61A1">
            <w:pPr>
              <w:jc w:val="center"/>
            </w:pPr>
            <w:r>
              <w:rPr>
                <w:rFonts w:ascii="宋体" w:hAnsi="宋体" w:eastAsia="宋体"/>
                <w:sz w:val="16"/>
              </w:rPr>
              <w:t>材料印刷费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6AF5">
            <w:pPr>
              <w:jc w:val="center"/>
            </w:pPr>
            <w:r>
              <w:rPr>
                <w:rFonts w:ascii="宋体" w:hAnsi="宋体" w:eastAsia="宋体"/>
                <w:sz w:val="16"/>
              </w:rPr>
              <w:t>&lt;=2万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A3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65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0E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C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29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586E">
            <w:pPr>
              <w:jc w:val="center"/>
            </w:pPr>
            <w:r>
              <w:rPr>
                <w:rFonts w:ascii="宋体" w:hAnsi="宋体" w:eastAsia="宋体"/>
                <w:sz w:val="16"/>
              </w:rPr>
              <w:t>=2万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A8A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7516E">
            <w:pPr>
              <w:jc w:val="center"/>
            </w:pPr>
          </w:p>
        </w:tc>
      </w:tr>
      <w:tr w14:paraId="575AC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BF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40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15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3A3C">
            <w:pPr>
              <w:jc w:val="center"/>
            </w:pPr>
            <w:r>
              <w:rPr>
                <w:rFonts w:ascii="宋体" w:hAnsi="宋体" w:eastAsia="宋体"/>
                <w:sz w:val="16"/>
              </w:rPr>
              <w:t>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A194">
            <w:pPr>
              <w:jc w:val="center"/>
            </w:pPr>
            <w:r>
              <w:rPr>
                <w:rFonts w:ascii="宋体" w:hAnsi="宋体" w:eastAsia="宋体"/>
                <w:sz w:val="16"/>
              </w:rPr>
              <w:t>&lt;=19.8417万元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C9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12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AF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A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EC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73CE">
            <w:pPr>
              <w:jc w:val="center"/>
            </w:pPr>
            <w:r>
              <w:rPr>
                <w:rFonts w:ascii="宋体" w:hAnsi="宋体" w:eastAsia="宋体"/>
                <w:sz w:val="16"/>
              </w:rPr>
              <w:t>=19.8417万元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D1D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F7D73">
            <w:pPr>
              <w:jc w:val="center"/>
            </w:pPr>
          </w:p>
        </w:tc>
      </w:tr>
      <w:tr w14:paraId="185D5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AA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E3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E5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C1E6">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A4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F5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94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F8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F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A8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AD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3C6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1A8EE">
            <w:pPr>
              <w:jc w:val="center"/>
            </w:pPr>
          </w:p>
        </w:tc>
      </w:tr>
      <w:tr w14:paraId="42D9D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B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E4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40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7AEA">
            <w:pPr>
              <w:jc w:val="center"/>
            </w:pPr>
            <w:r>
              <w:rPr>
                <w:rFonts w:ascii="宋体" w:hAnsi="宋体" w:eastAsia="宋体"/>
                <w:sz w:val="16"/>
              </w:rPr>
              <w:t>技术服务费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68E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09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CE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7D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F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44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29F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3D7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CBA0">
            <w:pPr>
              <w:jc w:val="center"/>
            </w:pPr>
          </w:p>
        </w:tc>
      </w:tr>
      <w:tr w14:paraId="45E36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7F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FD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4F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B866">
            <w:pPr>
              <w:jc w:val="center"/>
            </w:pPr>
            <w:r>
              <w:rPr>
                <w:rFonts w:ascii="宋体" w:hAnsi="宋体" w:eastAsia="宋体"/>
                <w:sz w:val="16"/>
              </w:rPr>
              <w:t>提高设施农业节能、节水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0B8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D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F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F4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75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C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BF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8C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06A6">
            <w:pPr>
              <w:jc w:val="center"/>
            </w:pPr>
          </w:p>
        </w:tc>
      </w:tr>
      <w:tr w14:paraId="21280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3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FA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57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042B">
            <w:pPr>
              <w:jc w:val="center"/>
            </w:pPr>
            <w:r>
              <w:rPr>
                <w:rFonts w:ascii="宋体" w:hAnsi="宋体" w:eastAsia="宋体"/>
                <w:sz w:val="16"/>
              </w:rPr>
              <w:t>受益区农户满意度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91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6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64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4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03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C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0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01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F1FCB">
            <w:pPr>
              <w:jc w:val="center"/>
            </w:pPr>
            <w:r>
              <w:rPr>
                <w:rFonts w:ascii="宋体" w:hAnsi="宋体" w:eastAsia="宋体"/>
                <w:sz w:val="16"/>
              </w:rPr>
              <w:t>偏差原因：该项目实施效果较好，满意度较高。</w:t>
            </w:r>
          </w:p>
        </w:tc>
      </w:tr>
      <w:tr w14:paraId="2CA7BCF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881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136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342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B5C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843435C"/>
        </w:tc>
      </w:tr>
    </w:tbl>
    <w:p w14:paraId="3B0D0F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ECBAB35">
        <w:tblPrEx>
          <w:tblCellMar>
            <w:top w:w="0" w:type="dxa"/>
            <w:left w:w="108" w:type="dxa"/>
            <w:bottom w:w="0" w:type="dxa"/>
            <w:right w:w="108" w:type="dxa"/>
          </w:tblCellMar>
        </w:tblPrEx>
        <w:tc>
          <w:tcPr>
            <w:tcW w:w="8848" w:type="dxa"/>
            <w:gridSpan w:val="14"/>
            <w:vAlign w:val="center"/>
          </w:tcPr>
          <w:p w14:paraId="0E649F60">
            <w:pPr>
              <w:jc w:val="center"/>
            </w:pPr>
            <w:r>
              <w:rPr>
                <w:rFonts w:ascii="宋体" w:hAnsi="宋体" w:eastAsia="宋体"/>
                <w:sz w:val="24"/>
              </w:rPr>
              <w:t>项目支出绩效自评表</w:t>
            </w:r>
          </w:p>
        </w:tc>
      </w:tr>
      <w:tr w14:paraId="4D3E5CBB">
        <w:tblPrEx>
          <w:tblCellMar>
            <w:top w:w="0" w:type="dxa"/>
            <w:left w:w="108" w:type="dxa"/>
            <w:bottom w:w="0" w:type="dxa"/>
            <w:right w:w="108" w:type="dxa"/>
          </w:tblCellMar>
        </w:tblPrEx>
        <w:tc>
          <w:tcPr>
            <w:tcW w:w="8848" w:type="dxa"/>
            <w:gridSpan w:val="14"/>
            <w:vAlign w:val="center"/>
          </w:tcPr>
          <w:p w14:paraId="57855707">
            <w:pPr>
              <w:jc w:val="center"/>
            </w:pPr>
            <w:r>
              <w:rPr>
                <w:rFonts w:ascii="宋体" w:hAnsi="宋体" w:eastAsia="宋体"/>
                <w:sz w:val="24"/>
              </w:rPr>
              <w:t>(2024年度)</w:t>
            </w:r>
          </w:p>
        </w:tc>
      </w:tr>
      <w:tr w14:paraId="5575A4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03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A08A8C">
            <w:pPr>
              <w:jc w:val="center"/>
            </w:pPr>
            <w:r>
              <w:rPr>
                <w:rFonts w:ascii="宋体" w:hAnsi="宋体" w:eastAsia="宋体"/>
                <w:sz w:val="16"/>
              </w:rPr>
              <w:t>英吉沙县2024年中央农业防灾减灾资金(防灾救灾第三批)项目</w:t>
            </w:r>
          </w:p>
        </w:tc>
      </w:tr>
      <w:tr w14:paraId="00E30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FD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1091E">
            <w:pPr>
              <w:jc w:val="center"/>
            </w:pPr>
            <w:r>
              <w:rPr>
                <w:rFonts w:ascii="宋体" w:hAnsi="宋体" w:eastAsia="宋体"/>
                <w:sz w:val="16"/>
              </w:rPr>
              <w:t>英吉沙县农业技术推广中心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13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A5506F">
            <w:pPr>
              <w:jc w:val="center"/>
            </w:pPr>
            <w:r>
              <w:rPr>
                <w:rFonts w:ascii="宋体" w:hAnsi="宋体" w:eastAsia="宋体"/>
                <w:sz w:val="16"/>
              </w:rPr>
              <w:t>英吉沙县农业技术推广中心</w:t>
            </w:r>
          </w:p>
        </w:tc>
      </w:tr>
      <w:tr w14:paraId="232806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F05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84C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D7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27C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AB9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BA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4E9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EB04">
            <w:pPr>
              <w:jc w:val="center"/>
            </w:pPr>
            <w:r>
              <w:rPr>
                <w:rFonts w:ascii="宋体" w:hAnsi="宋体" w:eastAsia="宋体"/>
                <w:sz w:val="16"/>
              </w:rPr>
              <w:t>得分</w:t>
            </w:r>
          </w:p>
        </w:tc>
      </w:tr>
      <w:tr w14:paraId="40CB3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8B2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AE1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06CC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466E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A688">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93F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A3B2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1A97">
            <w:pPr>
              <w:jc w:val="center"/>
            </w:pPr>
            <w:r>
              <w:rPr>
                <w:rFonts w:ascii="宋体" w:hAnsi="宋体" w:eastAsia="宋体"/>
                <w:sz w:val="16"/>
              </w:rPr>
              <w:t>10.00分</w:t>
            </w:r>
          </w:p>
        </w:tc>
      </w:tr>
      <w:tr w14:paraId="38611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E48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8EB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94EA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1E33A">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65F59">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4BD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6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7BCA">
            <w:pPr>
              <w:jc w:val="center"/>
            </w:pPr>
            <w:r>
              <w:rPr>
                <w:rFonts w:ascii="宋体" w:hAnsi="宋体" w:eastAsia="宋体"/>
                <w:sz w:val="16"/>
              </w:rPr>
              <w:t>—</w:t>
            </w:r>
          </w:p>
        </w:tc>
      </w:tr>
      <w:tr w14:paraId="588BD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A0C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C10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96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F8D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39A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DD3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FDC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FCC8">
            <w:pPr>
              <w:jc w:val="center"/>
            </w:pPr>
            <w:r>
              <w:rPr>
                <w:rFonts w:ascii="宋体" w:hAnsi="宋体" w:eastAsia="宋体"/>
                <w:sz w:val="16"/>
              </w:rPr>
              <w:t>—</w:t>
            </w:r>
          </w:p>
        </w:tc>
      </w:tr>
      <w:tr w14:paraId="282DE7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ECF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90D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54F401">
            <w:pPr>
              <w:jc w:val="center"/>
            </w:pPr>
            <w:r>
              <w:rPr>
                <w:rFonts w:ascii="宋体" w:hAnsi="宋体" w:eastAsia="宋体"/>
                <w:sz w:val="16"/>
              </w:rPr>
              <w:t>实际完成情况</w:t>
            </w:r>
          </w:p>
        </w:tc>
      </w:tr>
      <w:tr w14:paraId="78CAC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164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D3D97">
            <w:pPr>
              <w:jc w:val="both"/>
            </w:pPr>
            <w:r>
              <w:rPr>
                <w:rFonts w:ascii="宋体" w:hAnsi="宋体" w:eastAsia="宋体"/>
                <w:sz w:val="16"/>
              </w:rPr>
              <w:t>该项目计划投入资金24万元，用于采购杀虫剂，完成25万亩监测防治任务，其中小麦15万亩，玉米10万亩。重点做好小麦和玉米蚜虫、棉铃虫、玉米螟等害虫的防治。开展粮食作物病虫绿色防控与统防统治融合示范,推广</w:t>
            </w:r>
            <w:r>
              <w:rPr>
                <w:rFonts w:hint="eastAsia" w:ascii="宋体" w:hAnsi="宋体"/>
                <w:sz w:val="16"/>
                <w:lang w:eastAsia="zh-CN"/>
              </w:rPr>
              <w:t>精选浆粒</w:t>
            </w:r>
            <w:r>
              <w:rPr>
                <w:rFonts w:ascii="宋体" w:hAnsi="宋体" w:eastAsia="宋体"/>
                <w:sz w:val="16"/>
              </w:rPr>
              <w:t>+药剂拌种+穗期一喷多防等绿色防控技术模式,辐射带动绿色防控技术大面积推广应用和统防统治专业服务能力提升。项目的实施提高</w:t>
            </w:r>
            <w:r>
              <w:rPr>
                <w:rFonts w:hint="eastAsia" w:ascii="宋体" w:hAnsi="宋体"/>
                <w:sz w:val="16"/>
                <w:lang w:eastAsia="zh-CN"/>
              </w:rPr>
              <w:t>粮食作物病虫害绿色</w:t>
            </w:r>
            <w:r>
              <w:rPr>
                <w:rFonts w:ascii="宋体" w:hAnsi="宋体" w:eastAsia="宋体"/>
                <w:sz w:val="16"/>
              </w:rPr>
              <w:t>防控统防统治覆盖率,助力农药减量控害,保障粮食生产安全。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38B26">
            <w:pPr>
              <w:jc w:val="both"/>
            </w:pPr>
            <w:r>
              <w:rPr>
                <w:rFonts w:hint="eastAsia" w:ascii="宋体" w:hAnsi="宋体"/>
                <w:sz w:val="16"/>
                <w:lang w:eastAsia="zh-CN"/>
              </w:rPr>
              <w:t>截至</w:t>
            </w:r>
            <w:r>
              <w:rPr>
                <w:rFonts w:ascii="宋体" w:hAnsi="宋体" w:eastAsia="宋体"/>
                <w:sz w:val="16"/>
              </w:rPr>
              <w:t>2024年12月31日，该项目执行资金24万元，用于25万亩监测防治任务，其中小麦15万亩，玉米10万亩。重点做好小麦和玉米蚜虫、棉铃虫、玉米螟等害虫的防治。开展粮食作物病虫绿色防控与统防统治融合示范,推广</w:t>
            </w:r>
            <w:r>
              <w:rPr>
                <w:rFonts w:hint="eastAsia" w:ascii="宋体" w:hAnsi="宋体"/>
                <w:sz w:val="16"/>
                <w:lang w:eastAsia="zh-CN"/>
              </w:rPr>
              <w:t>精选浆粒</w:t>
            </w:r>
            <w:r>
              <w:rPr>
                <w:rFonts w:ascii="宋体" w:hAnsi="宋体" w:eastAsia="宋体"/>
                <w:sz w:val="16"/>
              </w:rPr>
              <w:t>+药剂拌种+穗期一喷多防等绿色防控技术模式,辐射带动绿色防控技术大面积推广应用和统防统治专业服务能力提升。项目的实施提高</w:t>
            </w:r>
            <w:r>
              <w:rPr>
                <w:rFonts w:hint="eastAsia" w:ascii="宋体" w:hAnsi="宋体"/>
                <w:sz w:val="16"/>
                <w:lang w:eastAsia="zh-CN"/>
              </w:rPr>
              <w:t>粮食作物病虫害绿色</w:t>
            </w:r>
            <w:r>
              <w:rPr>
                <w:rFonts w:ascii="宋体" w:hAnsi="宋体" w:eastAsia="宋体"/>
                <w:sz w:val="16"/>
              </w:rPr>
              <w:t>防控统防统治覆盖率,助力农药减量控害,保障粮食生产安全。</w:t>
            </w:r>
          </w:p>
        </w:tc>
      </w:tr>
      <w:tr w14:paraId="42CD19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6C6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3F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35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BB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351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7B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C5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30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FB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DD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D6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BD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81C0C">
            <w:pPr>
              <w:jc w:val="center"/>
            </w:pPr>
            <w:r>
              <w:rPr>
                <w:rFonts w:ascii="宋体" w:hAnsi="宋体" w:eastAsia="宋体"/>
                <w:sz w:val="16"/>
              </w:rPr>
              <w:t>偏差原因分析及改进措施</w:t>
            </w:r>
          </w:p>
        </w:tc>
      </w:tr>
      <w:tr w14:paraId="6DA26A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BA8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E8A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3EC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439A">
            <w:pPr>
              <w:jc w:val="center"/>
            </w:pPr>
            <w:r>
              <w:rPr>
                <w:rFonts w:ascii="宋体" w:hAnsi="宋体" w:eastAsia="宋体"/>
                <w:sz w:val="16"/>
              </w:rPr>
              <w:t>小麦重大病虫</w:t>
            </w:r>
            <w:r>
              <w:rPr>
                <w:rFonts w:hint="eastAsia" w:ascii="宋体" w:hAnsi="宋体"/>
                <w:sz w:val="16"/>
                <w:lang w:eastAsia="zh-CN"/>
              </w:rPr>
              <w:t>疫情防控</w:t>
            </w:r>
            <w:r>
              <w:rPr>
                <w:rFonts w:ascii="宋体" w:hAnsi="宋体" w:eastAsia="宋体"/>
                <w:sz w:val="16"/>
              </w:rPr>
              <w:t>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FB08">
            <w:pPr>
              <w:jc w:val="center"/>
            </w:pPr>
            <w:r>
              <w:rPr>
                <w:rFonts w:ascii="宋体" w:hAnsi="宋体" w:eastAsia="宋体"/>
                <w:sz w:val="16"/>
              </w:rPr>
              <w:t>&gt;=15万亩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F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F245">
            <w:pPr>
              <w:jc w:val="center"/>
            </w:pPr>
            <w:r>
              <w:rPr>
                <w:rFonts w:ascii="宋体" w:hAnsi="宋体" w:eastAsia="宋体"/>
                <w:sz w:val="16"/>
              </w:rPr>
              <w:t>0.4万亩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4F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4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5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8E0A">
            <w:pPr>
              <w:jc w:val="center"/>
            </w:pPr>
            <w:r>
              <w:rPr>
                <w:rFonts w:ascii="宋体" w:hAnsi="宋体" w:eastAsia="宋体"/>
                <w:sz w:val="16"/>
              </w:rPr>
              <w: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3F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6BA4D">
            <w:pPr>
              <w:jc w:val="center"/>
            </w:pPr>
          </w:p>
        </w:tc>
      </w:tr>
      <w:tr w14:paraId="2C628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08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CD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8D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AFCE">
            <w:pPr>
              <w:jc w:val="center"/>
            </w:pPr>
            <w:r>
              <w:rPr>
                <w:rFonts w:ascii="宋体" w:hAnsi="宋体" w:eastAsia="宋体"/>
                <w:sz w:val="16"/>
              </w:rPr>
              <w:t>玉米重大病虫</w:t>
            </w:r>
            <w:r>
              <w:rPr>
                <w:rFonts w:hint="eastAsia" w:ascii="宋体" w:hAnsi="宋体"/>
                <w:sz w:val="16"/>
                <w:lang w:eastAsia="zh-CN"/>
              </w:rPr>
              <w:t>疫情防控</w:t>
            </w:r>
            <w:r>
              <w:rPr>
                <w:rFonts w:ascii="宋体" w:hAnsi="宋体" w:eastAsia="宋体"/>
                <w:sz w:val="16"/>
              </w:rPr>
              <w:t>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0529">
            <w:pPr>
              <w:jc w:val="center"/>
            </w:pPr>
            <w:r>
              <w:rPr>
                <w:rFonts w:ascii="宋体" w:hAnsi="宋体" w:eastAsia="宋体"/>
                <w:sz w:val="16"/>
              </w:rPr>
              <w:t>&gt;=10万亩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5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D11B">
            <w:pPr>
              <w:jc w:val="center"/>
            </w:pPr>
            <w:r>
              <w:rPr>
                <w:rFonts w:ascii="宋体" w:hAnsi="宋体" w:eastAsia="宋体"/>
                <w:sz w:val="16"/>
              </w:rPr>
              <w:t>0.3万亩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CA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7E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F4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BC37">
            <w:pPr>
              <w:jc w:val="center"/>
            </w:pPr>
            <w:r>
              <w:rPr>
                <w:rFonts w:ascii="宋体" w:hAnsi="宋体" w:eastAsia="宋体"/>
                <w:sz w:val="16"/>
              </w:rPr>
              <w:t>=10万亩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4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F1091">
            <w:pPr>
              <w:jc w:val="center"/>
            </w:pPr>
          </w:p>
        </w:tc>
      </w:tr>
      <w:tr w14:paraId="3C9A0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C7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6F9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960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21B9">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0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F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A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10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67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7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5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1EB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033B1">
            <w:pPr>
              <w:jc w:val="center"/>
            </w:pPr>
          </w:p>
        </w:tc>
      </w:tr>
      <w:tr w14:paraId="210B5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D8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9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25C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9DCE">
            <w:pPr>
              <w:jc w:val="center"/>
            </w:pPr>
            <w:r>
              <w:rPr>
                <w:rFonts w:ascii="宋体" w:hAnsi="宋体" w:eastAsia="宋体"/>
                <w:sz w:val="16"/>
              </w:rPr>
              <w:t>项目实施区统防统治覆盖率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FED5">
            <w:pPr>
              <w:jc w:val="center"/>
            </w:pPr>
            <w:r>
              <w:rPr>
                <w:rFonts w:ascii="宋体" w:hAnsi="宋体" w:eastAsia="宋体"/>
                <w:sz w:val="16"/>
              </w:rPr>
              <w:t>&gt;=49%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B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F9D7">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BA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B5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B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4AF4">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F53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9E67">
            <w:pPr>
              <w:jc w:val="center"/>
            </w:pPr>
          </w:p>
        </w:tc>
      </w:tr>
      <w:tr w14:paraId="64E67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16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3B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7C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479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BD1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D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61BD">
            <w:pPr>
              <w:jc w:val="center"/>
            </w:pPr>
            <w:r>
              <w:rPr>
                <w:rFonts w:ascii="宋体" w:hAnsi="宋体" w:eastAsia="宋体"/>
                <w:sz w:val="16"/>
              </w:rPr>
              <w:t>2023年11月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F2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6E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74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EF6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83F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163AE">
            <w:pPr>
              <w:jc w:val="center"/>
            </w:pPr>
          </w:p>
        </w:tc>
      </w:tr>
      <w:tr w14:paraId="72EC4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AE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82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A8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E8FF">
            <w:pPr>
              <w:jc w:val="center"/>
            </w:pPr>
            <w:r>
              <w:rPr>
                <w:rFonts w:ascii="宋体" w:hAnsi="宋体" w:eastAsia="宋体"/>
                <w:sz w:val="16"/>
              </w:rPr>
              <w:t>采购杀虫剂成本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D8EF">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4E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A0D6">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E2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4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B1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6F94">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CF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DFA0F">
            <w:pPr>
              <w:jc w:val="center"/>
            </w:pPr>
          </w:p>
        </w:tc>
      </w:tr>
      <w:tr w14:paraId="0772D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A8A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A3B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B1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4818">
            <w:pPr>
              <w:jc w:val="center"/>
            </w:pPr>
            <w:r>
              <w:rPr>
                <w:rFonts w:ascii="宋体" w:hAnsi="宋体" w:eastAsia="宋体"/>
                <w:sz w:val="16"/>
              </w:rPr>
              <w:t>有效遏制病虫害爆发流行成灾，保障粮食安全和农业生产安全效果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F2F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DB7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C47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DB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10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7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39A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65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1A1B">
            <w:pPr>
              <w:jc w:val="center"/>
            </w:pPr>
          </w:p>
        </w:tc>
      </w:tr>
      <w:tr w14:paraId="71511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52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8D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B4A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94F2">
            <w:pPr>
              <w:jc w:val="center"/>
            </w:pPr>
            <w:r>
              <w:rPr>
                <w:rFonts w:ascii="宋体" w:hAnsi="宋体" w:eastAsia="宋体"/>
                <w:sz w:val="16"/>
              </w:rPr>
              <w:t>强化绿色防控、统防统治,推进农药使用减量化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62E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0C4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EA0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D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68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F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E3E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16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F9E82">
            <w:pPr>
              <w:jc w:val="center"/>
            </w:pPr>
          </w:p>
        </w:tc>
      </w:tr>
      <w:tr w14:paraId="3DE4D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09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DE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16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42D9">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9A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1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2E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E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60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6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0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7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26C80">
            <w:pPr>
              <w:jc w:val="center"/>
            </w:pPr>
            <w:r>
              <w:rPr>
                <w:rFonts w:ascii="宋体" w:hAnsi="宋体" w:eastAsia="宋体"/>
                <w:sz w:val="16"/>
              </w:rPr>
              <w:t>偏差原因：该项目提升了防治组织的服务能力和水平，受益农户的满意度较高。改进措施：持续跟进，继续保持</w:t>
            </w:r>
          </w:p>
        </w:tc>
      </w:tr>
      <w:tr w14:paraId="54286E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7E5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FF2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512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F30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97D331"/>
        </w:tc>
      </w:tr>
    </w:tbl>
    <w:p w14:paraId="336217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0CEB623">
        <w:tblPrEx>
          <w:tblCellMar>
            <w:top w:w="0" w:type="dxa"/>
            <w:left w:w="108" w:type="dxa"/>
            <w:bottom w:w="0" w:type="dxa"/>
            <w:right w:w="108" w:type="dxa"/>
          </w:tblCellMar>
        </w:tblPrEx>
        <w:tc>
          <w:tcPr>
            <w:tcW w:w="8848" w:type="dxa"/>
            <w:gridSpan w:val="14"/>
            <w:vAlign w:val="center"/>
          </w:tcPr>
          <w:p w14:paraId="79312D19">
            <w:pPr>
              <w:jc w:val="center"/>
            </w:pPr>
            <w:r>
              <w:rPr>
                <w:rFonts w:ascii="宋体" w:hAnsi="宋体" w:eastAsia="宋体"/>
                <w:sz w:val="24"/>
              </w:rPr>
              <w:t>项目支出绩效自评表</w:t>
            </w:r>
          </w:p>
        </w:tc>
      </w:tr>
      <w:tr w14:paraId="3286C6C9">
        <w:tblPrEx>
          <w:tblCellMar>
            <w:top w:w="0" w:type="dxa"/>
            <w:left w:w="108" w:type="dxa"/>
            <w:bottom w:w="0" w:type="dxa"/>
            <w:right w:w="108" w:type="dxa"/>
          </w:tblCellMar>
        </w:tblPrEx>
        <w:tc>
          <w:tcPr>
            <w:tcW w:w="8848" w:type="dxa"/>
            <w:gridSpan w:val="14"/>
            <w:vAlign w:val="center"/>
          </w:tcPr>
          <w:p w14:paraId="0F56F7F9">
            <w:pPr>
              <w:jc w:val="center"/>
            </w:pPr>
            <w:r>
              <w:rPr>
                <w:rFonts w:ascii="宋体" w:hAnsi="宋体" w:eastAsia="宋体"/>
                <w:sz w:val="24"/>
              </w:rPr>
              <w:t>(2024年度)</w:t>
            </w:r>
          </w:p>
        </w:tc>
      </w:tr>
      <w:tr w14:paraId="173915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08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8E638F">
            <w:pPr>
              <w:jc w:val="center"/>
            </w:pPr>
            <w:r>
              <w:rPr>
                <w:rFonts w:ascii="宋体" w:hAnsi="宋体" w:eastAsia="宋体"/>
                <w:sz w:val="16"/>
              </w:rPr>
              <w:t>英吉沙县2024年化肥减量增效及耕地质量监测与评价项目</w:t>
            </w:r>
          </w:p>
        </w:tc>
      </w:tr>
      <w:tr w14:paraId="3DB1A6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8A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2B513">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B6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C9351">
            <w:pPr>
              <w:jc w:val="center"/>
            </w:pPr>
            <w:r>
              <w:rPr>
                <w:rFonts w:ascii="宋体" w:hAnsi="宋体" w:eastAsia="宋体"/>
                <w:sz w:val="16"/>
              </w:rPr>
              <w:t>英吉沙县农业技术推广中心</w:t>
            </w:r>
          </w:p>
        </w:tc>
      </w:tr>
      <w:tr w14:paraId="3F737A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55C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0A0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F39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A8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32E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F04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B2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12D0">
            <w:pPr>
              <w:jc w:val="center"/>
            </w:pPr>
            <w:r>
              <w:rPr>
                <w:rFonts w:ascii="宋体" w:hAnsi="宋体" w:eastAsia="宋体"/>
                <w:sz w:val="16"/>
              </w:rPr>
              <w:t>得分</w:t>
            </w:r>
          </w:p>
        </w:tc>
      </w:tr>
      <w:tr w14:paraId="3640B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93B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577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9D6F">
            <w:pPr>
              <w:jc w:val="center"/>
            </w:pPr>
            <w:r>
              <w:rPr>
                <w:rFonts w:ascii="宋体" w:hAnsi="宋体" w:eastAsia="宋体"/>
                <w:sz w:val="16"/>
              </w:rPr>
              <w:t>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8BAA">
            <w:pPr>
              <w:jc w:val="center"/>
            </w:pPr>
            <w:r>
              <w:rPr>
                <w:rFonts w:ascii="宋体" w:hAnsi="宋体" w:eastAsia="宋体"/>
                <w:sz w:val="16"/>
              </w:rPr>
              <w:t>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ECD74">
            <w:pPr>
              <w:jc w:val="center"/>
            </w:pPr>
            <w:r>
              <w:rPr>
                <w:rFonts w:ascii="宋体" w:hAnsi="宋体" w:eastAsia="宋体"/>
                <w:sz w:val="16"/>
              </w:rPr>
              <w:t>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2F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B3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A4A0">
            <w:pPr>
              <w:jc w:val="center"/>
            </w:pPr>
            <w:r>
              <w:rPr>
                <w:rFonts w:ascii="宋体" w:hAnsi="宋体" w:eastAsia="宋体"/>
                <w:sz w:val="16"/>
              </w:rPr>
              <w:t>10.00分</w:t>
            </w:r>
          </w:p>
        </w:tc>
      </w:tr>
      <w:tr w14:paraId="6651B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1EC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B0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1B48">
            <w:pPr>
              <w:jc w:val="center"/>
            </w:pPr>
            <w:r>
              <w:rPr>
                <w:rFonts w:ascii="宋体" w:hAnsi="宋体" w:eastAsia="宋体"/>
                <w:sz w:val="16"/>
              </w:rPr>
              <w:t>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55B84">
            <w:pPr>
              <w:jc w:val="center"/>
            </w:pPr>
            <w:r>
              <w:rPr>
                <w:rFonts w:ascii="宋体" w:hAnsi="宋体" w:eastAsia="宋体"/>
                <w:sz w:val="16"/>
              </w:rPr>
              <w:t>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910EA">
            <w:pPr>
              <w:jc w:val="center"/>
            </w:pPr>
            <w:r>
              <w:rPr>
                <w:rFonts w:ascii="宋体" w:hAnsi="宋体" w:eastAsia="宋体"/>
                <w:sz w:val="16"/>
              </w:rPr>
              <w:t>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C7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85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23D5">
            <w:pPr>
              <w:jc w:val="center"/>
            </w:pPr>
            <w:r>
              <w:rPr>
                <w:rFonts w:ascii="宋体" w:hAnsi="宋体" w:eastAsia="宋体"/>
                <w:sz w:val="16"/>
              </w:rPr>
              <w:t>—</w:t>
            </w:r>
          </w:p>
        </w:tc>
      </w:tr>
      <w:tr w14:paraId="6E53A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22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397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3F9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87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3C3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0D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10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F01B">
            <w:pPr>
              <w:jc w:val="center"/>
            </w:pPr>
            <w:r>
              <w:rPr>
                <w:rFonts w:ascii="宋体" w:hAnsi="宋体" w:eastAsia="宋体"/>
                <w:sz w:val="16"/>
              </w:rPr>
              <w:t>—</w:t>
            </w:r>
          </w:p>
        </w:tc>
      </w:tr>
      <w:tr w14:paraId="3323A5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3D5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F61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C32655">
            <w:pPr>
              <w:jc w:val="center"/>
            </w:pPr>
            <w:r>
              <w:rPr>
                <w:rFonts w:ascii="宋体" w:hAnsi="宋体" w:eastAsia="宋体"/>
                <w:sz w:val="16"/>
              </w:rPr>
              <w:t>实际完成情况</w:t>
            </w:r>
          </w:p>
        </w:tc>
      </w:tr>
      <w:tr w14:paraId="12965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23B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B3F49">
            <w:pPr>
              <w:jc w:val="both"/>
            </w:pPr>
            <w:r>
              <w:rPr>
                <w:rFonts w:ascii="宋体" w:hAnsi="宋体" w:eastAsia="宋体"/>
                <w:sz w:val="16"/>
              </w:rPr>
              <w:t>该项目计划投入资金1.84万元，用于测土配方施肥基础工作1.30万元，耕地质量等级调查检测评价0.54万元。开展130户农户施肥情况和肥料使用效果调查监测。做好取土化验，在完善更新县域养分数据库的基础上，借助大数据分析等手段，深入挖掘测土配方施肥数据，依托智能化施肥推荐专家系统（如NE系统，二维码附后）等，生成本区域主要农作物施肥方案。通过秸秆粉碎还田，施用农家肥、商品有机肥等有机养分，有机肥替代部分化肥，实现有机无机结合。项目的实施，实施科学施肥增效，巩固拓展测土配方施肥基础工作，有效促进耕地质量提升和资源可持续利用，支撑粮油等主要农作物大面积单产提升和农业绿色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CDB5C0">
            <w:pPr>
              <w:jc w:val="both"/>
            </w:pPr>
            <w:r>
              <w:rPr>
                <w:rFonts w:hint="eastAsia" w:ascii="宋体" w:hAnsi="宋体"/>
                <w:sz w:val="16"/>
                <w:lang w:eastAsia="zh-CN"/>
              </w:rPr>
              <w:t>截至</w:t>
            </w:r>
            <w:r>
              <w:rPr>
                <w:rFonts w:ascii="宋体" w:hAnsi="宋体" w:eastAsia="宋体"/>
                <w:sz w:val="16"/>
              </w:rPr>
              <w:t>2024年12月31日，该项目实际完成支付1.84万元。用于开展130户农户施肥情况和肥料使用效果调查监测。做好取土化验，在完善更新县域养分数据库的基础上，借助大数据分析等手段，深入挖掘测土配方施肥数据，依托智能化施肥推荐专家系统（如NE系统，二维码附后）等，生成本区域主要农作物施肥方案。支撑粮油等主要农作物大面积单产提升和农业绿色高质量发展。</w:t>
            </w:r>
          </w:p>
        </w:tc>
      </w:tr>
      <w:tr w14:paraId="574795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2CF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19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00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E2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30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F4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E8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B8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1E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BB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41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F6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AF66F">
            <w:pPr>
              <w:jc w:val="center"/>
            </w:pPr>
            <w:r>
              <w:rPr>
                <w:rFonts w:ascii="宋体" w:hAnsi="宋体" w:eastAsia="宋体"/>
                <w:sz w:val="16"/>
              </w:rPr>
              <w:t>偏差原因分析及改进措施</w:t>
            </w:r>
          </w:p>
        </w:tc>
      </w:tr>
      <w:tr w14:paraId="27F6B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C08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2920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52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FB77">
            <w:pPr>
              <w:jc w:val="center"/>
            </w:pPr>
            <w:r>
              <w:rPr>
                <w:rFonts w:ascii="宋体" w:hAnsi="宋体" w:eastAsia="宋体"/>
                <w:sz w:val="16"/>
              </w:rPr>
              <w:t>农户施肥情况和肥料使用效果调查监测户数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EA3B">
            <w:pPr>
              <w:jc w:val="center"/>
            </w:pPr>
            <w:r>
              <w:rPr>
                <w:rFonts w:ascii="宋体" w:hAnsi="宋体" w:eastAsia="宋体"/>
                <w:sz w:val="16"/>
              </w:rPr>
              <w:t>&gt;=130户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7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1E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11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3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D8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F378">
            <w:pPr>
              <w:jc w:val="center"/>
            </w:pPr>
            <w:r>
              <w:rPr>
                <w:rFonts w:ascii="宋体" w:hAnsi="宋体" w:eastAsia="宋体"/>
                <w:sz w:val="16"/>
              </w:rPr>
              <w:t>=130户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8E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E00D">
            <w:pPr>
              <w:jc w:val="center"/>
            </w:pPr>
          </w:p>
        </w:tc>
      </w:tr>
      <w:tr w14:paraId="64C42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23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F8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BE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7D5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4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1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2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EC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0B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D4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B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DE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05461">
            <w:pPr>
              <w:jc w:val="center"/>
            </w:pPr>
          </w:p>
        </w:tc>
      </w:tr>
      <w:tr w14:paraId="0F1B7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32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C1D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4E8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8DC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7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7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83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3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E0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57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8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AC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15C2">
            <w:pPr>
              <w:jc w:val="center"/>
            </w:pPr>
          </w:p>
        </w:tc>
      </w:tr>
      <w:tr w14:paraId="473FF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FD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10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89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1BF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273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1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7F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8C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F7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4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432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12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A258D">
            <w:pPr>
              <w:jc w:val="center"/>
            </w:pPr>
          </w:p>
        </w:tc>
      </w:tr>
      <w:tr w14:paraId="59209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1B7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1A1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9BB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CC97">
            <w:pPr>
              <w:jc w:val="center"/>
            </w:pPr>
            <w:r>
              <w:rPr>
                <w:rFonts w:ascii="宋体" w:hAnsi="宋体" w:eastAsia="宋体"/>
                <w:sz w:val="16"/>
              </w:rPr>
              <w:t>测土配方施肥基础工作费成本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CDED">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22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9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A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1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AD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A461">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1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E83DF">
            <w:pPr>
              <w:jc w:val="center"/>
            </w:pPr>
          </w:p>
        </w:tc>
      </w:tr>
      <w:tr w14:paraId="294C1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94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64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56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6C12">
            <w:pPr>
              <w:jc w:val="center"/>
            </w:pPr>
            <w:r>
              <w:rPr>
                <w:rFonts w:ascii="宋体" w:hAnsi="宋体" w:eastAsia="宋体"/>
                <w:sz w:val="16"/>
              </w:rPr>
              <w:t>耕地质量等级调查检测评价工作费成本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7727">
            <w:pPr>
              <w:jc w:val="center"/>
            </w:pPr>
            <w:r>
              <w:rPr>
                <w:rFonts w:ascii="宋体" w:hAnsi="宋体" w:eastAsia="宋体"/>
                <w:sz w:val="16"/>
              </w:rPr>
              <w:t>&lt;=0.54万元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2A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A6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13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E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E2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F30B">
            <w:pPr>
              <w:jc w:val="center"/>
            </w:pPr>
            <w:r>
              <w:rPr>
                <w:rFonts w:ascii="宋体" w:hAnsi="宋体" w:eastAsia="宋体"/>
                <w:sz w:val="16"/>
              </w:rPr>
              <w: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FA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CE28">
            <w:pPr>
              <w:jc w:val="center"/>
            </w:pPr>
          </w:p>
        </w:tc>
      </w:tr>
      <w:tr w14:paraId="5B78F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3C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038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30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B5C3">
            <w:pPr>
              <w:jc w:val="center"/>
            </w:pPr>
            <w:r>
              <w:rPr>
                <w:rFonts w:ascii="宋体" w:hAnsi="宋体" w:eastAsia="宋体"/>
                <w:sz w:val="16"/>
              </w:rPr>
              <w:t>实施科学施肥增效，巩固拓展测土配方施肥基础工作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864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6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0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B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61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0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DF1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4D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44836">
            <w:pPr>
              <w:jc w:val="center"/>
            </w:pPr>
          </w:p>
        </w:tc>
      </w:tr>
      <w:tr w14:paraId="49F78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0A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F0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5CC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E8ED">
            <w:pPr>
              <w:jc w:val="center"/>
            </w:pPr>
            <w:r>
              <w:rPr>
                <w:rFonts w:ascii="宋体" w:hAnsi="宋体" w:eastAsia="宋体"/>
                <w:sz w:val="16"/>
              </w:rPr>
              <w:t>促进耕地质量提升和资源可持续利用，支撑粮油等主要农作物大面积单产提升和农业绿色高质量发展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B9A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6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7F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2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B9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6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566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79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0E1D">
            <w:pPr>
              <w:jc w:val="center"/>
            </w:pPr>
          </w:p>
        </w:tc>
      </w:tr>
      <w:tr w14:paraId="17A3911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8E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36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CD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92E7">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72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0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A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9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2E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F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4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BC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A1051">
            <w:pPr>
              <w:jc w:val="center"/>
            </w:pPr>
            <w:r>
              <w:rPr>
                <w:rFonts w:ascii="宋体" w:hAnsi="宋体" w:eastAsia="宋体"/>
                <w:sz w:val="16"/>
              </w:rPr>
              <w:t>偏差原因：该项目实施效果较好，满意度较高。</w:t>
            </w:r>
          </w:p>
        </w:tc>
      </w:tr>
      <w:tr w14:paraId="306E058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CC2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4CE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EDE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A49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4D8925"/>
        </w:tc>
      </w:tr>
    </w:tbl>
    <w:p w14:paraId="3BAAE2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336BE5C0">
        <w:tblPrEx>
          <w:tblCellMar>
            <w:top w:w="0" w:type="dxa"/>
            <w:left w:w="108" w:type="dxa"/>
            <w:bottom w:w="0" w:type="dxa"/>
            <w:right w:w="108" w:type="dxa"/>
          </w:tblCellMar>
        </w:tblPrEx>
        <w:tc>
          <w:tcPr>
            <w:tcW w:w="8848" w:type="dxa"/>
            <w:gridSpan w:val="14"/>
            <w:vAlign w:val="center"/>
          </w:tcPr>
          <w:p w14:paraId="17D0BD80">
            <w:pPr>
              <w:jc w:val="center"/>
            </w:pPr>
            <w:r>
              <w:rPr>
                <w:rFonts w:ascii="宋体" w:hAnsi="宋体" w:eastAsia="宋体"/>
                <w:sz w:val="24"/>
              </w:rPr>
              <w:t>项目支出绩效自评表</w:t>
            </w:r>
          </w:p>
        </w:tc>
      </w:tr>
      <w:tr w14:paraId="2C62E0B9">
        <w:tblPrEx>
          <w:tblCellMar>
            <w:top w:w="0" w:type="dxa"/>
            <w:left w:w="108" w:type="dxa"/>
            <w:bottom w:w="0" w:type="dxa"/>
            <w:right w:w="108" w:type="dxa"/>
          </w:tblCellMar>
        </w:tblPrEx>
        <w:tc>
          <w:tcPr>
            <w:tcW w:w="8848" w:type="dxa"/>
            <w:gridSpan w:val="14"/>
            <w:vAlign w:val="center"/>
          </w:tcPr>
          <w:p w14:paraId="460C4886">
            <w:pPr>
              <w:jc w:val="center"/>
            </w:pPr>
            <w:r>
              <w:rPr>
                <w:rFonts w:ascii="宋体" w:hAnsi="宋体" w:eastAsia="宋体"/>
                <w:sz w:val="24"/>
              </w:rPr>
              <w:t>(2024年度)</w:t>
            </w:r>
          </w:p>
        </w:tc>
      </w:tr>
      <w:tr w14:paraId="0FF5FA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65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8FE8F5">
            <w:pPr>
              <w:jc w:val="center"/>
            </w:pPr>
            <w:r>
              <w:rPr>
                <w:rFonts w:ascii="宋体" w:hAnsi="宋体" w:eastAsia="宋体"/>
                <w:sz w:val="16"/>
              </w:rPr>
              <w:t>英吉沙县耕地质量监测点建设项目</w:t>
            </w:r>
          </w:p>
        </w:tc>
      </w:tr>
      <w:tr w14:paraId="04D657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98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7CED6">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E2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2BB77">
            <w:pPr>
              <w:jc w:val="center"/>
            </w:pPr>
            <w:r>
              <w:rPr>
                <w:rFonts w:ascii="宋体" w:hAnsi="宋体" w:eastAsia="宋体"/>
                <w:sz w:val="16"/>
              </w:rPr>
              <w:t>英吉沙县农业技术推广中心</w:t>
            </w:r>
          </w:p>
        </w:tc>
      </w:tr>
      <w:tr w14:paraId="5DEB87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E64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FF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BF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6A9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30A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F50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E5F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19CA">
            <w:pPr>
              <w:jc w:val="center"/>
            </w:pPr>
            <w:r>
              <w:rPr>
                <w:rFonts w:ascii="宋体" w:hAnsi="宋体" w:eastAsia="宋体"/>
                <w:sz w:val="16"/>
              </w:rPr>
              <w:t>得分</w:t>
            </w:r>
          </w:p>
        </w:tc>
      </w:tr>
      <w:tr w14:paraId="39A14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D43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C4B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68CD1">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0C449">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4C075">
            <w:pPr>
              <w:jc w:val="center"/>
            </w:pPr>
            <w:r>
              <w:rPr>
                <w:rFonts w:ascii="宋体" w:hAnsi="宋体" w:eastAsia="宋体"/>
                <w:sz w:val="16"/>
              </w:rPr>
              <w:t>29.48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F1F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F377D">
            <w:pPr>
              <w:jc w:val="center"/>
            </w:pPr>
            <w:r>
              <w:rPr>
                <w:rFonts w:ascii="宋体" w:hAnsi="宋体" w:eastAsia="宋体"/>
                <w:sz w:val="16"/>
              </w:rPr>
              <w:t>89.33%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612B">
            <w:pPr>
              <w:jc w:val="center"/>
            </w:pPr>
            <w:r>
              <w:rPr>
                <w:rFonts w:ascii="宋体" w:hAnsi="宋体" w:eastAsia="宋体"/>
                <w:sz w:val="16"/>
              </w:rPr>
              <w:t>7.33分</w:t>
            </w:r>
          </w:p>
        </w:tc>
      </w:tr>
      <w:tr w14:paraId="0A123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21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ED1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AE700">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1ED4">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4F57">
            <w:pPr>
              <w:jc w:val="center"/>
            </w:pPr>
            <w:r>
              <w:rPr>
                <w:rFonts w:ascii="宋体" w:hAnsi="宋体" w:eastAsia="宋体"/>
                <w:sz w:val="16"/>
              </w:rPr>
              <w:t>29.48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FF7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2CB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466E">
            <w:pPr>
              <w:jc w:val="center"/>
            </w:pPr>
            <w:r>
              <w:rPr>
                <w:rFonts w:ascii="宋体" w:hAnsi="宋体" w:eastAsia="宋体"/>
                <w:sz w:val="16"/>
              </w:rPr>
              <w:t>—</w:t>
            </w:r>
          </w:p>
        </w:tc>
      </w:tr>
      <w:tr w14:paraId="5307E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7FD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DCE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B9A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0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7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80D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54A0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1C39">
            <w:pPr>
              <w:jc w:val="center"/>
            </w:pPr>
            <w:r>
              <w:rPr>
                <w:rFonts w:ascii="宋体" w:hAnsi="宋体" w:eastAsia="宋体"/>
                <w:sz w:val="16"/>
              </w:rPr>
              <w:t>—</w:t>
            </w:r>
          </w:p>
        </w:tc>
      </w:tr>
      <w:tr w14:paraId="527CF5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F83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D41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9CD02C">
            <w:pPr>
              <w:jc w:val="center"/>
            </w:pPr>
            <w:r>
              <w:rPr>
                <w:rFonts w:ascii="宋体" w:hAnsi="宋体" w:eastAsia="宋体"/>
                <w:sz w:val="16"/>
              </w:rPr>
              <w:t>实际完成情况</w:t>
            </w:r>
          </w:p>
        </w:tc>
      </w:tr>
      <w:tr w14:paraId="5D9F7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F35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03ACF">
            <w:pPr>
              <w:jc w:val="both"/>
            </w:pPr>
            <w:r>
              <w:rPr>
                <w:rFonts w:ascii="宋体" w:hAnsi="宋体" w:eastAsia="宋体"/>
                <w:sz w:val="16"/>
              </w:rPr>
              <w:t>该项目总投资33万元，主要开展建设10个监测点，按照国家相关技术规程，统一调查、采样、检测、监测与评价方法，确保耕地质量监测规范实施。按照属地管理、监测点经费由县财政协调解决。由英吉沙县农业技术推广中心负责本县内耕地质量监测点的建设与管理，做好监测点的日常维护工作。收集、汇总、分析耕地质量监测数据，</w:t>
            </w:r>
            <w:r>
              <w:rPr>
                <w:rFonts w:hint="eastAsia" w:ascii="宋体" w:hAnsi="宋体"/>
                <w:sz w:val="16"/>
                <w:lang w:eastAsia="zh-CN"/>
              </w:rPr>
              <w:t>撰写</w:t>
            </w:r>
            <w:r>
              <w:rPr>
                <w:rFonts w:ascii="宋体" w:hAnsi="宋体" w:eastAsia="宋体"/>
                <w:sz w:val="16"/>
              </w:rPr>
              <w:t>耕地质量监测报告。优化完善耕地质量监测网络，建立英吉沙县耕地质量监测数据库，培养一支素质高、能力强的耕地质量监测队伍，切实发挥耕地质量监测对耕地质量建设与保护的基础支撑作用。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FC5F4">
            <w:pPr>
              <w:jc w:val="both"/>
            </w:pPr>
            <w:r>
              <w:rPr>
                <w:rFonts w:hint="eastAsia" w:ascii="宋体" w:hAnsi="宋体"/>
                <w:sz w:val="16"/>
                <w:lang w:eastAsia="zh-CN"/>
              </w:rPr>
              <w:t>截至</w:t>
            </w:r>
            <w:r>
              <w:rPr>
                <w:rFonts w:ascii="宋体" w:hAnsi="宋体" w:eastAsia="宋体"/>
                <w:sz w:val="16"/>
              </w:rPr>
              <w:t>2024年12月31日，该项目执行资金29.458万元，项目资金执行率为89.3%，主要用于建设10个监测点，按照国家相关技术规程，统一调查、采样、检测、监测与评价方法，确保耕地质量监测规范实施。</w:t>
            </w:r>
          </w:p>
        </w:tc>
      </w:tr>
      <w:tr w14:paraId="699378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C81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33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87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36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73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B3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67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05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E5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71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DB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3E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DD98A">
            <w:pPr>
              <w:jc w:val="center"/>
            </w:pPr>
            <w:r>
              <w:rPr>
                <w:rFonts w:ascii="宋体" w:hAnsi="宋体" w:eastAsia="宋体"/>
                <w:sz w:val="16"/>
              </w:rPr>
              <w:t>偏差原因分析及改进措施</w:t>
            </w:r>
          </w:p>
        </w:tc>
      </w:tr>
      <w:tr w14:paraId="169D4A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935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D664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CB9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21A2">
            <w:pPr>
              <w:jc w:val="center"/>
            </w:pPr>
            <w:r>
              <w:rPr>
                <w:rFonts w:ascii="宋体" w:hAnsi="宋体" w:eastAsia="宋体"/>
                <w:sz w:val="16"/>
              </w:rPr>
              <w:t>地区级监测点数量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ACC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5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CA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E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2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AB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24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FC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DB43A">
            <w:pPr>
              <w:jc w:val="center"/>
            </w:pPr>
          </w:p>
        </w:tc>
      </w:tr>
      <w:tr w14:paraId="6A64E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22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CF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29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A390">
            <w:pPr>
              <w:jc w:val="center"/>
            </w:pPr>
            <w:r>
              <w:rPr>
                <w:rFonts w:ascii="宋体" w:hAnsi="宋体" w:eastAsia="宋体"/>
                <w:sz w:val="16"/>
              </w:rPr>
              <w:t>县级监测点数量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3725">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D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59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3E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6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3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3BFC">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CF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41A40">
            <w:pPr>
              <w:jc w:val="center"/>
            </w:pPr>
          </w:p>
        </w:tc>
      </w:tr>
      <w:tr w14:paraId="4D212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F9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B0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E0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7B2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2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C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78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2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BB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E9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EA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92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CC091">
            <w:pPr>
              <w:jc w:val="center"/>
            </w:pPr>
          </w:p>
        </w:tc>
      </w:tr>
      <w:tr w14:paraId="6DD8F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17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56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3E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E0F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F1E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6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2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D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3A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9C4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C02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56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B4C2">
            <w:pPr>
              <w:jc w:val="center"/>
            </w:pPr>
          </w:p>
        </w:tc>
      </w:tr>
      <w:tr w14:paraId="5F29C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E1B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56E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DA9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68CC">
            <w:pPr>
              <w:jc w:val="center"/>
            </w:pPr>
            <w:r>
              <w:rPr>
                <w:rFonts w:ascii="宋体" w:hAnsi="宋体" w:eastAsia="宋体"/>
                <w:sz w:val="16"/>
              </w:rPr>
              <w:t>地区级监测点成本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DC73">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32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D9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DB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E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4E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57B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94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9ED19">
            <w:pPr>
              <w:jc w:val="center"/>
            </w:pPr>
          </w:p>
        </w:tc>
      </w:tr>
      <w:tr w14:paraId="11457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F7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12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DF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13F3">
            <w:pPr>
              <w:jc w:val="center"/>
            </w:pPr>
            <w:r>
              <w:rPr>
                <w:rFonts w:ascii="宋体" w:hAnsi="宋体" w:eastAsia="宋体"/>
                <w:sz w:val="16"/>
              </w:rPr>
              <w:t>县级监测点成本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BAFF">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9B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CB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30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B7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45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9E63">
            <w:pPr>
              <w:jc w:val="center"/>
            </w:pPr>
            <w:r>
              <w:rPr>
                <w:rFonts w:ascii="宋体" w:hAnsi="宋体" w:eastAsia="宋体"/>
                <w:sz w:val="16"/>
              </w:rPr>
              <w:t>=23.48万元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FDFB">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997F2">
            <w:pPr>
              <w:jc w:val="center"/>
            </w:pPr>
            <w:r>
              <w:rPr>
                <w:rFonts w:ascii="宋体" w:hAnsi="宋体" w:eastAsia="宋体"/>
                <w:sz w:val="16"/>
              </w:rPr>
              <w:t>偏差原因：支付审批手续还未完成，完成后立即进行支付。</w:t>
            </w:r>
          </w:p>
        </w:tc>
      </w:tr>
      <w:tr w14:paraId="56F9E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9F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9E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58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A265">
            <w:pPr>
              <w:jc w:val="center"/>
            </w:pPr>
            <w:r>
              <w:rPr>
                <w:rFonts w:ascii="宋体" w:hAnsi="宋体" w:eastAsia="宋体"/>
                <w:sz w:val="16"/>
              </w:rPr>
              <w:t>发挥耕地质量监测对耕地质量建设与保护的基础支撑作用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16A3">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6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96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8E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E2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D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DD01">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FC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1251">
            <w:pPr>
              <w:jc w:val="center"/>
            </w:pPr>
          </w:p>
        </w:tc>
      </w:tr>
      <w:tr w14:paraId="3B2A0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7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06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5B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9733">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4F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75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F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3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D5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32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F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7D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AE10">
            <w:pPr>
              <w:jc w:val="center"/>
            </w:pPr>
            <w:r>
              <w:rPr>
                <w:rFonts w:ascii="宋体" w:hAnsi="宋体" w:eastAsia="宋体"/>
                <w:sz w:val="16"/>
              </w:rPr>
              <w:t>偏差原因：该项目</w:t>
            </w:r>
            <w:r>
              <w:rPr>
                <w:rFonts w:hint="eastAsia" w:ascii="宋体" w:hAnsi="宋体"/>
                <w:sz w:val="16"/>
                <w:lang w:val="en-US" w:eastAsia="zh-CN"/>
              </w:rPr>
              <w:t>实施</w:t>
            </w:r>
            <w:bookmarkStart w:id="0" w:name="_GoBack"/>
            <w:bookmarkEnd w:id="0"/>
            <w:r>
              <w:rPr>
                <w:rFonts w:ascii="宋体" w:hAnsi="宋体" w:eastAsia="宋体"/>
                <w:sz w:val="16"/>
              </w:rPr>
              <w:t>效果较好，满意度较高。</w:t>
            </w:r>
          </w:p>
        </w:tc>
      </w:tr>
      <w:tr w14:paraId="08175C1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A19E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4E4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3876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29B5">
            <w:pPr>
              <w:jc w:val="center"/>
            </w:pPr>
            <w:r>
              <w:rPr>
                <w:rFonts w:ascii="宋体" w:hAnsi="宋体" w:eastAsia="宋体"/>
                <w:sz w:val="16"/>
              </w:rPr>
              <w:t>94.07分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A67348"/>
        </w:tc>
      </w:tr>
    </w:tbl>
    <w:p w14:paraId="19BA32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05C3E07">
        <w:tblPrEx>
          <w:tblCellMar>
            <w:top w:w="0" w:type="dxa"/>
            <w:left w:w="108" w:type="dxa"/>
            <w:bottom w:w="0" w:type="dxa"/>
            <w:right w:w="108" w:type="dxa"/>
          </w:tblCellMar>
        </w:tblPrEx>
        <w:tc>
          <w:tcPr>
            <w:tcW w:w="8848" w:type="dxa"/>
            <w:gridSpan w:val="14"/>
            <w:vAlign w:val="center"/>
          </w:tcPr>
          <w:p w14:paraId="7BC85412">
            <w:pPr>
              <w:jc w:val="center"/>
            </w:pPr>
            <w:r>
              <w:rPr>
                <w:rFonts w:ascii="宋体" w:hAnsi="宋体" w:eastAsia="宋体"/>
                <w:sz w:val="24"/>
              </w:rPr>
              <w:t>项目支出绩效自评表</w:t>
            </w:r>
          </w:p>
        </w:tc>
      </w:tr>
      <w:tr w14:paraId="05E67C3C">
        <w:tblPrEx>
          <w:tblCellMar>
            <w:top w:w="0" w:type="dxa"/>
            <w:left w:w="108" w:type="dxa"/>
            <w:bottom w:w="0" w:type="dxa"/>
            <w:right w:w="108" w:type="dxa"/>
          </w:tblCellMar>
        </w:tblPrEx>
        <w:tc>
          <w:tcPr>
            <w:tcW w:w="8848" w:type="dxa"/>
            <w:gridSpan w:val="14"/>
            <w:vAlign w:val="center"/>
          </w:tcPr>
          <w:p w14:paraId="0C8975ED">
            <w:pPr>
              <w:jc w:val="center"/>
            </w:pPr>
            <w:r>
              <w:rPr>
                <w:rFonts w:ascii="宋体" w:hAnsi="宋体" w:eastAsia="宋体"/>
                <w:sz w:val="24"/>
              </w:rPr>
              <w:t>(2024年度)</w:t>
            </w:r>
          </w:p>
        </w:tc>
      </w:tr>
      <w:tr w14:paraId="1D7C33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69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3F8A50">
            <w:pPr>
              <w:jc w:val="center"/>
            </w:pPr>
            <w:r>
              <w:rPr>
                <w:rFonts w:ascii="宋体" w:hAnsi="宋体" w:eastAsia="宋体"/>
                <w:sz w:val="16"/>
              </w:rPr>
              <w:t>2024年中央耕地建设与利用资金（英吉沙县第三次全国土壤普查）项目</w:t>
            </w:r>
          </w:p>
        </w:tc>
      </w:tr>
      <w:tr w14:paraId="29BEF6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08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7F0F3">
            <w:pPr>
              <w:jc w:val="center"/>
            </w:pPr>
            <w:r>
              <w:rPr>
                <w:rFonts w:ascii="宋体" w:hAnsi="宋体" w:eastAsia="宋体"/>
                <w:sz w:val="16"/>
              </w:rPr>
              <w:t>英吉沙县农业技术推广中心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AB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AEF11F">
            <w:pPr>
              <w:jc w:val="center"/>
            </w:pPr>
            <w:r>
              <w:rPr>
                <w:rFonts w:ascii="宋体" w:hAnsi="宋体" w:eastAsia="宋体"/>
                <w:sz w:val="16"/>
              </w:rPr>
              <w:t>英吉沙县农业技术推广中心</w:t>
            </w:r>
          </w:p>
        </w:tc>
      </w:tr>
      <w:tr w14:paraId="56C673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0C1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8F6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D51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B3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530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4C7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BD3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16B9">
            <w:pPr>
              <w:jc w:val="center"/>
            </w:pPr>
            <w:r>
              <w:rPr>
                <w:rFonts w:ascii="宋体" w:hAnsi="宋体" w:eastAsia="宋体"/>
                <w:sz w:val="16"/>
              </w:rPr>
              <w:t>得分</w:t>
            </w:r>
          </w:p>
        </w:tc>
      </w:tr>
      <w:tr w14:paraId="2ACBE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A1D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3A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95EAA">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67BB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9CD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0F2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0C2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DA07">
            <w:pPr>
              <w:jc w:val="center"/>
            </w:pPr>
            <w:r>
              <w:rPr>
                <w:rFonts w:ascii="宋体" w:hAnsi="宋体" w:eastAsia="宋体"/>
                <w:sz w:val="16"/>
              </w:rPr>
              <w:t>10.00分</w:t>
            </w:r>
          </w:p>
        </w:tc>
      </w:tr>
      <w:tr w14:paraId="1AD72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29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E7E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40C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95A1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FE70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4A4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86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6FD0">
            <w:pPr>
              <w:jc w:val="center"/>
            </w:pPr>
            <w:r>
              <w:rPr>
                <w:rFonts w:ascii="宋体" w:hAnsi="宋体" w:eastAsia="宋体"/>
                <w:sz w:val="16"/>
              </w:rPr>
              <w:t>—</w:t>
            </w:r>
          </w:p>
        </w:tc>
      </w:tr>
      <w:tr w14:paraId="7FCB4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FA9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3B1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161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92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8D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A02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865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B2CC">
            <w:pPr>
              <w:jc w:val="center"/>
            </w:pPr>
            <w:r>
              <w:rPr>
                <w:rFonts w:ascii="宋体" w:hAnsi="宋体" w:eastAsia="宋体"/>
                <w:sz w:val="16"/>
              </w:rPr>
              <w:t>—</w:t>
            </w:r>
          </w:p>
        </w:tc>
      </w:tr>
      <w:tr w14:paraId="521FDD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8DB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D43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D8C0D">
            <w:pPr>
              <w:jc w:val="center"/>
            </w:pPr>
            <w:r>
              <w:rPr>
                <w:rFonts w:ascii="宋体" w:hAnsi="宋体" w:eastAsia="宋体"/>
                <w:sz w:val="16"/>
              </w:rPr>
              <w:t>实际完成情况</w:t>
            </w:r>
          </w:p>
        </w:tc>
      </w:tr>
      <w:tr w14:paraId="41F73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6C5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88FAE">
            <w:pPr>
              <w:jc w:val="both"/>
            </w:pPr>
            <w:r>
              <w:rPr>
                <w:rFonts w:ascii="宋体" w:hAnsi="宋体" w:eastAsia="宋体"/>
                <w:sz w:val="16"/>
              </w:rPr>
              <w:t>该项目计划投入资金60万元，按照统一的土壤三普样点布设结果和技术规程规范要求，年底前完成外业调查采样和内业检测化验任务。主要用于外业调查采样与制样420个、样品流转420个、制内业检测化验420个，其中外业调查采样与制样11.51万元、样品流转0.67万元、制内业检测化验47.82万元。高质量开展外业调查采样、内业检测化验、启动县级成果编制等工作，对全县土壤进行“全面体检”，摸清英吉沙县土壤质量家底。该项目的实施，为守住耕地红线、保护生态环境、优化农业生产布局、推进农业高质量发展奠定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1E8F2">
            <w:pPr>
              <w:jc w:val="both"/>
            </w:pPr>
            <w:r>
              <w:rPr>
                <w:rFonts w:hint="eastAsia" w:ascii="宋体" w:hAnsi="宋体"/>
                <w:sz w:val="16"/>
                <w:lang w:eastAsia="zh-CN"/>
              </w:rPr>
              <w:t>截至</w:t>
            </w:r>
            <w:r>
              <w:rPr>
                <w:rFonts w:ascii="宋体" w:hAnsi="宋体" w:eastAsia="宋体"/>
                <w:sz w:val="16"/>
              </w:rPr>
              <w:t>2024年12月31日，该项目执行资金60万元，主要用于外业调查采样与制样420个、样品流转420个、制内业检测化验420个，其中外业调查采样与制样11.51万元、样品流转0.67万元、制内业检测化验47.82万元。高质量开展外业调查采样、内业检测化验、启动县级成果编制等工作，对全县土壤进行“全面体检”，摸清英吉沙县土壤质量家底。该项目的实施，为守住耕地红线、保护生态环境、优化农业生产布局、推进农业高质量发展奠定坚实基础。项目资金都已支付完毕。</w:t>
            </w:r>
          </w:p>
        </w:tc>
      </w:tr>
      <w:tr w14:paraId="067656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486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00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BD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0C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981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0D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82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71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A8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04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D9C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2D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9C50F">
            <w:pPr>
              <w:jc w:val="center"/>
            </w:pPr>
            <w:r>
              <w:rPr>
                <w:rFonts w:ascii="宋体" w:hAnsi="宋体" w:eastAsia="宋体"/>
                <w:sz w:val="16"/>
              </w:rPr>
              <w:t>偏差原因分析及改进措施</w:t>
            </w:r>
          </w:p>
        </w:tc>
      </w:tr>
      <w:tr w14:paraId="5BDE28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9E5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EA7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C2A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F224">
            <w:pPr>
              <w:jc w:val="center"/>
            </w:pPr>
            <w:r>
              <w:rPr>
                <w:rFonts w:ascii="宋体" w:hAnsi="宋体" w:eastAsia="宋体"/>
                <w:sz w:val="16"/>
              </w:rPr>
              <w:t>采取土样数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3D22">
            <w:pPr>
              <w:jc w:val="center"/>
            </w:pPr>
            <w:r>
              <w:rPr>
                <w:rFonts w:ascii="宋体" w:hAnsi="宋体" w:eastAsia="宋体"/>
                <w:sz w:val="16"/>
              </w:rPr>
              <w:t>&gt;=420个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5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7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71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A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E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B8A8">
            <w:pPr>
              <w:jc w:val="center"/>
            </w:pPr>
            <w:r>
              <w:rPr>
                <w:rFonts w:ascii="宋体" w:hAnsi="宋体" w:eastAsia="宋体"/>
                <w:sz w:val="16"/>
              </w:rPr>
              <w: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43B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CDD04">
            <w:pPr>
              <w:jc w:val="center"/>
            </w:pPr>
          </w:p>
        </w:tc>
      </w:tr>
      <w:tr w14:paraId="158C9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C7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DB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B5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2CF9">
            <w:pPr>
              <w:jc w:val="center"/>
            </w:pPr>
            <w:r>
              <w:rPr>
                <w:rFonts w:ascii="宋体" w:hAnsi="宋体" w:eastAsia="宋体"/>
                <w:sz w:val="16"/>
              </w:rPr>
              <w:t>流转样品数量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4E2A">
            <w:pPr>
              <w:jc w:val="center"/>
            </w:pPr>
            <w:r>
              <w:rPr>
                <w:rFonts w:ascii="宋体" w:hAnsi="宋体" w:eastAsia="宋体"/>
                <w:sz w:val="16"/>
              </w:rPr>
              <w:t>&gt;=420个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3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D7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CA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3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6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275B">
            <w:pPr>
              <w:jc w:val="center"/>
            </w:pPr>
            <w:r>
              <w:rPr>
                <w:rFonts w:ascii="宋体" w:hAnsi="宋体" w:eastAsia="宋体"/>
                <w:sz w:val="16"/>
              </w:rPr>
              <w: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BA8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FBEE">
            <w:pPr>
              <w:jc w:val="center"/>
            </w:pPr>
          </w:p>
        </w:tc>
      </w:tr>
      <w:tr w14:paraId="6F1C0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35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80E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E3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4E10">
            <w:pPr>
              <w:jc w:val="center"/>
            </w:pPr>
            <w:r>
              <w:rPr>
                <w:rFonts w:ascii="宋体" w:hAnsi="宋体" w:eastAsia="宋体"/>
                <w:sz w:val="16"/>
              </w:rPr>
              <w:t>检测化验土样数量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C2C0">
            <w:pPr>
              <w:jc w:val="center"/>
            </w:pPr>
            <w:r>
              <w:rPr>
                <w:rFonts w:ascii="宋体" w:hAnsi="宋体" w:eastAsia="宋体"/>
                <w:sz w:val="16"/>
              </w:rPr>
              <w:t>&gt;=420个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C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B9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A7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C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5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DF65">
            <w:pPr>
              <w:jc w:val="center"/>
            </w:pPr>
            <w:r>
              <w:rPr>
                <w:rFonts w:ascii="宋体" w:hAnsi="宋体" w:eastAsia="宋体"/>
                <w:sz w:val="16"/>
              </w:rPr>
              <w: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294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C42F">
            <w:pPr>
              <w:jc w:val="center"/>
            </w:pPr>
          </w:p>
        </w:tc>
      </w:tr>
      <w:tr w14:paraId="4272B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19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26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6D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BA6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E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8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C4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AF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D82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63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7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53D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DFF9">
            <w:pPr>
              <w:jc w:val="center"/>
            </w:pPr>
          </w:p>
        </w:tc>
      </w:tr>
      <w:tr w14:paraId="7B3CD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68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993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A2B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373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6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6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2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89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BB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54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A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36E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D226">
            <w:pPr>
              <w:jc w:val="center"/>
            </w:pPr>
          </w:p>
        </w:tc>
      </w:tr>
      <w:tr w14:paraId="710F6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DB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4C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33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0AA5">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BFC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2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A8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43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5B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FC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F5D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5F0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8B99E">
            <w:pPr>
              <w:jc w:val="center"/>
            </w:pPr>
          </w:p>
        </w:tc>
      </w:tr>
      <w:tr w14:paraId="79D5B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21C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E73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1A0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73E9">
            <w:pPr>
              <w:jc w:val="center"/>
            </w:pPr>
            <w:r>
              <w:rPr>
                <w:rFonts w:ascii="宋体" w:hAnsi="宋体" w:eastAsia="宋体"/>
                <w:sz w:val="16"/>
              </w:rPr>
              <w:t>外业调查采样与制样费成本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618F">
            <w:pPr>
              <w:jc w:val="center"/>
            </w:pPr>
            <w:r>
              <w:rPr>
                <w:rFonts w:ascii="宋体" w:hAnsi="宋体" w:eastAsia="宋体"/>
                <w:sz w:val="16"/>
              </w:rPr>
              <w:t>&lt;=11.51万元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E8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19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46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8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B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AB92">
            <w:pPr>
              <w:jc w:val="center"/>
            </w:pPr>
            <w:r>
              <w:rPr>
                <w:rFonts w:ascii="宋体" w:hAnsi="宋体" w:eastAsia="宋体"/>
                <w:sz w:val="16"/>
              </w:rPr>
              <w:t>=11.51万元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E2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2C6AE">
            <w:pPr>
              <w:jc w:val="center"/>
            </w:pPr>
          </w:p>
        </w:tc>
      </w:tr>
      <w:tr w14:paraId="3489B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8D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49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91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86CD">
            <w:pPr>
              <w:jc w:val="center"/>
            </w:pPr>
            <w:r>
              <w:rPr>
                <w:rFonts w:ascii="宋体" w:hAnsi="宋体" w:eastAsia="宋体"/>
                <w:sz w:val="16"/>
              </w:rPr>
              <w:t>样品流转费成本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F64E">
            <w:pPr>
              <w:jc w:val="center"/>
            </w:pPr>
            <w:r>
              <w:rPr>
                <w:rFonts w:ascii="宋体" w:hAnsi="宋体" w:eastAsia="宋体"/>
                <w:sz w:val="16"/>
              </w:rPr>
              <w:t>&lt;=0.67万元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14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11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98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13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41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1672">
            <w:pPr>
              <w:jc w:val="center"/>
            </w:pPr>
            <w:r>
              <w:rPr>
                <w:rFonts w:ascii="宋体" w:hAnsi="宋体" w:eastAsia="宋体"/>
                <w:sz w:val="16"/>
              </w:rPr>
              <w:t>=0.67万元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4E1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FF69A">
            <w:pPr>
              <w:jc w:val="center"/>
            </w:pPr>
          </w:p>
        </w:tc>
      </w:tr>
      <w:tr w14:paraId="4541B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DB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A8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16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0B20">
            <w:pPr>
              <w:jc w:val="center"/>
            </w:pPr>
            <w:r>
              <w:rPr>
                <w:rFonts w:ascii="宋体" w:hAnsi="宋体" w:eastAsia="宋体"/>
                <w:sz w:val="16"/>
              </w:rPr>
              <w:t>制内业检测化验费成本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B8D4">
            <w:pPr>
              <w:jc w:val="center"/>
            </w:pPr>
            <w:r>
              <w:rPr>
                <w:rFonts w:ascii="宋体" w:hAnsi="宋体" w:eastAsia="宋体"/>
                <w:sz w:val="16"/>
              </w:rPr>
              <w:t>&lt;=47.82万元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72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47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2A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4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3F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0E02">
            <w:pPr>
              <w:jc w:val="center"/>
            </w:pPr>
            <w:r>
              <w:rPr>
                <w:rFonts w:ascii="宋体" w:hAnsi="宋体" w:eastAsia="宋体"/>
                <w:sz w:val="16"/>
              </w:rPr>
              <w:t>=47.82万元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5A4B">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D0C17">
            <w:pPr>
              <w:jc w:val="center"/>
            </w:pPr>
          </w:p>
        </w:tc>
      </w:tr>
      <w:tr w14:paraId="6A214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2D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41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F3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C26A">
            <w:pPr>
              <w:jc w:val="center"/>
            </w:pPr>
            <w:r>
              <w:rPr>
                <w:rFonts w:ascii="宋体" w:hAnsi="宋体" w:eastAsia="宋体"/>
                <w:sz w:val="16"/>
              </w:rPr>
              <w:t>为守住耕地红线、保护生态环境、优化农业生产布局、推进农业高质量发展奠定坚实基础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85D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9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2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D7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B8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A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151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B9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FAE39">
            <w:pPr>
              <w:jc w:val="center"/>
            </w:pPr>
          </w:p>
        </w:tc>
      </w:tr>
      <w:tr w14:paraId="7F38D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D7F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53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94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D21D">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B9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90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92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4E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EC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9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0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56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BDD60">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一方面：建立常态化满意度调查机制，定期收集群众意见建议；根据反馈及时改进服务，提升服务质量和水平。另外一方面：对偏差进行深入分析，充分了解受益对象的需求变化，明确造成实际完成值高于预期的具体原因，以便在未来的项目中更好地把握和预测。</w:t>
            </w:r>
          </w:p>
        </w:tc>
      </w:tr>
      <w:tr w14:paraId="315FB52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3C7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13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F8BF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2DD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56F847C"/>
        </w:tc>
      </w:tr>
    </w:tbl>
    <w:p w14:paraId="0DFF8779">
      <w:r>
        <w:br w:type="page"/>
      </w:r>
    </w:p>
    <w:p w14:paraId="2B173598">
      <w:pPr>
        <w:spacing w:line="640" w:lineRule="exact"/>
        <w:ind w:firstLine="640"/>
        <w:jc w:val="both"/>
        <w:outlineLvl w:val="2"/>
      </w:pPr>
      <w:r>
        <w:rPr>
          <w:rFonts w:ascii="黑体" w:hAnsi="黑体" w:eastAsia="黑体"/>
          <w:sz w:val="32"/>
        </w:rPr>
        <w:t>十二、其他需说明的事项</w:t>
      </w:r>
    </w:p>
    <w:p w14:paraId="48E86DBA">
      <w:pPr>
        <w:spacing w:line="580" w:lineRule="exact"/>
        <w:ind w:firstLine="640"/>
        <w:jc w:val="both"/>
      </w:pPr>
      <w:r>
        <w:rPr>
          <w:rFonts w:ascii="仿宋_GB2312" w:hAnsi="仿宋_GB2312" w:eastAsia="仿宋_GB2312"/>
          <w:b w:val="0"/>
          <w:sz w:val="32"/>
        </w:rPr>
        <w:t>本单位无其他需说明的事项。</w:t>
      </w:r>
    </w:p>
    <w:p w14:paraId="1F36DDC0">
      <w:r>
        <w:br w:type="page"/>
      </w:r>
    </w:p>
    <w:p w14:paraId="5823864A">
      <w:pPr>
        <w:spacing w:line="240" w:lineRule="auto"/>
        <w:jc w:val="center"/>
        <w:outlineLvl w:val="1"/>
      </w:pPr>
      <w:r>
        <w:rPr>
          <w:rFonts w:ascii="黑体" w:hAnsi="黑体" w:eastAsia="黑体"/>
          <w:sz w:val="32"/>
        </w:rPr>
        <w:t>第三部分 专业名词解释</w:t>
      </w:r>
    </w:p>
    <w:p w14:paraId="1770143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B4996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C48C23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ABCFB1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D0C44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70B06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220B31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16400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A8D23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A635B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86013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4593B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DB844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77A92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BF6896F">
      <w:r>
        <w:br w:type="page"/>
      </w:r>
    </w:p>
    <w:p w14:paraId="63209EC0">
      <w:pPr>
        <w:spacing w:line="240" w:lineRule="auto"/>
        <w:jc w:val="center"/>
        <w:outlineLvl w:val="1"/>
      </w:pPr>
      <w:r>
        <w:rPr>
          <w:rFonts w:ascii="黑体" w:hAnsi="黑体" w:eastAsia="黑体"/>
          <w:sz w:val="32"/>
        </w:rPr>
        <w:t>第四部分 部门决算报表（见附表）</w:t>
      </w:r>
    </w:p>
    <w:p w14:paraId="7E40B621">
      <w:pPr>
        <w:spacing w:line="240" w:lineRule="auto"/>
        <w:ind w:firstLine="640"/>
        <w:jc w:val="both"/>
      </w:pPr>
      <w:r>
        <w:rPr>
          <w:rFonts w:ascii="仿宋_GB2312" w:hAnsi="仿宋_GB2312" w:eastAsia="仿宋_GB2312"/>
          <w:b w:val="0"/>
          <w:sz w:val="32"/>
        </w:rPr>
        <w:t>一、《收入支出决算总表》</w:t>
      </w:r>
    </w:p>
    <w:p w14:paraId="72582915">
      <w:pPr>
        <w:spacing w:line="240" w:lineRule="auto"/>
        <w:ind w:firstLine="640"/>
        <w:jc w:val="both"/>
      </w:pPr>
      <w:r>
        <w:rPr>
          <w:rFonts w:ascii="仿宋_GB2312" w:hAnsi="仿宋_GB2312" w:eastAsia="仿宋_GB2312"/>
          <w:b w:val="0"/>
          <w:sz w:val="32"/>
        </w:rPr>
        <w:t>二、《收入决算表》</w:t>
      </w:r>
    </w:p>
    <w:p w14:paraId="0295CAB6">
      <w:pPr>
        <w:spacing w:line="240" w:lineRule="auto"/>
        <w:ind w:firstLine="640"/>
        <w:jc w:val="both"/>
      </w:pPr>
      <w:r>
        <w:rPr>
          <w:rFonts w:ascii="仿宋_GB2312" w:hAnsi="仿宋_GB2312" w:eastAsia="仿宋_GB2312"/>
          <w:b w:val="0"/>
          <w:sz w:val="32"/>
        </w:rPr>
        <w:t>三、《支出决算表》</w:t>
      </w:r>
    </w:p>
    <w:p w14:paraId="47918EB6">
      <w:pPr>
        <w:spacing w:line="240" w:lineRule="auto"/>
        <w:ind w:firstLine="640"/>
        <w:jc w:val="both"/>
      </w:pPr>
      <w:r>
        <w:rPr>
          <w:rFonts w:ascii="仿宋_GB2312" w:hAnsi="仿宋_GB2312" w:eastAsia="仿宋_GB2312"/>
          <w:b w:val="0"/>
          <w:sz w:val="32"/>
        </w:rPr>
        <w:t>四、《财政拨款收入支出决算总表》</w:t>
      </w:r>
    </w:p>
    <w:p w14:paraId="29B9D12D">
      <w:pPr>
        <w:spacing w:line="240" w:lineRule="auto"/>
        <w:ind w:firstLine="640"/>
        <w:jc w:val="both"/>
      </w:pPr>
      <w:r>
        <w:rPr>
          <w:rFonts w:ascii="仿宋_GB2312" w:hAnsi="仿宋_GB2312" w:eastAsia="仿宋_GB2312"/>
          <w:b w:val="0"/>
          <w:sz w:val="32"/>
        </w:rPr>
        <w:t>五、《一般公共预算财政拨款支出决算表》</w:t>
      </w:r>
    </w:p>
    <w:p w14:paraId="586077B7">
      <w:pPr>
        <w:spacing w:line="240" w:lineRule="auto"/>
        <w:ind w:firstLine="640"/>
        <w:jc w:val="both"/>
      </w:pPr>
      <w:r>
        <w:rPr>
          <w:rFonts w:ascii="仿宋_GB2312" w:hAnsi="仿宋_GB2312" w:eastAsia="仿宋_GB2312"/>
          <w:b w:val="0"/>
          <w:sz w:val="32"/>
        </w:rPr>
        <w:t>六、《一般公共预算财政拨款基本支出决算表》</w:t>
      </w:r>
    </w:p>
    <w:p w14:paraId="71CE0070">
      <w:pPr>
        <w:spacing w:line="240" w:lineRule="auto"/>
        <w:ind w:firstLine="640"/>
        <w:jc w:val="both"/>
      </w:pPr>
      <w:r>
        <w:rPr>
          <w:rFonts w:ascii="仿宋_GB2312" w:hAnsi="仿宋_GB2312" w:eastAsia="仿宋_GB2312"/>
          <w:b w:val="0"/>
          <w:sz w:val="32"/>
        </w:rPr>
        <w:t>七、《政府性基金预算财政拨款收入支出决算表》</w:t>
      </w:r>
    </w:p>
    <w:p w14:paraId="0838611D">
      <w:pPr>
        <w:spacing w:line="240" w:lineRule="auto"/>
        <w:ind w:firstLine="640"/>
        <w:jc w:val="both"/>
      </w:pPr>
      <w:r>
        <w:rPr>
          <w:rFonts w:ascii="仿宋_GB2312" w:hAnsi="仿宋_GB2312" w:eastAsia="仿宋_GB2312"/>
          <w:b w:val="0"/>
          <w:sz w:val="32"/>
        </w:rPr>
        <w:t>八、《国有资本经营预算财政拨款收入支出决算表》</w:t>
      </w:r>
    </w:p>
    <w:p w14:paraId="52EB8231">
      <w:pPr>
        <w:spacing w:line="240" w:lineRule="auto"/>
        <w:ind w:firstLine="640"/>
        <w:jc w:val="both"/>
      </w:pPr>
      <w:r>
        <w:rPr>
          <w:rFonts w:ascii="仿宋_GB2312" w:hAnsi="仿宋_GB2312" w:eastAsia="仿宋_GB2312"/>
          <w:b w:val="0"/>
          <w:sz w:val="32"/>
        </w:rPr>
        <w:t>九、《财政拨款“三公”经费支出决算表》</w:t>
      </w:r>
    </w:p>
    <w:p w14:paraId="14A415B3">
      <w:pPr>
        <w:spacing w:line="240" w:lineRule="auto"/>
        <w:ind w:firstLine="640"/>
        <w:jc w:val="both"/>
      </w:pPr>
    </w:p>
    <w:p w14:paraId="0BA34367">
      <w:pPr>
        <w:spacing w:line="240" w:lineRule="auto"/>
        <w:ind w:firstLine="640"/>
        <w:jc w:val="both"/>
      </w:pPr>
    </w:p>
    <w:p w14:paraId="14AFCA28">
      <w:pPr>
        <w:spacing w:line="240" w:lineRule="auto"/>
        <w:ind w:firstLine="640"/>
        <w:jc w:val="both"/>
      </w:pPr>
    </w:p>
    <w:p w14:paraId="32D49F6B">
      <w:pPr>
        <w:spacing w:line="240" w:lineRule="auto"/>
        <w:ind w:firstLine="640"/>
        <w:jc w:val="both"/>
      </w:pPr>
    </w:p>
    <w:p w14:paraId="0984602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jNkYjVmZWQ2OTZhMTIzM2Q0N2EwOWRhYTM1NmMifQ=="/>
  </w:docVars>
  <w:rsids>
    <w:rsidRoot w:val="00000000"/>
    <w:rsid w:val="021B7195"/>
    <w:rsid w:val="02DD687B"/>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397278"/>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C31847"/>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6600</Words>
  <Characters>7675</Characters>
  <Lines>0</Lines>
  <Paragraphs>0</Paragraphs>
  <TotalTime>6</TotalTime>
  <ScaleCrop>false</ScaleCrop>
  <LinksUpToDate>false</LinksUpToDate>
  <CharactersWithSpaces>7683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2025-09-17T04:21:45Z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