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6F19A7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英吉沙县人工影响天气工作中心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5C6BE6C">
      <w:r>
        <w:br w:type="page"/>
      </w:r>
    </w:p>
    <w:p w14:paraId="78C613CB">
      <w:pPr>
        <w:spacing w:line="640" w:lineRule="exact"/>
        <w:jc w:val="center"/>
        <w:outlineLvl w:val="1"/>
      </w:pPr>
      <w:r>
        <w:rPr>
          <w:rFonts w:ascii="黑体" w:hAnsi="黑体" w:eastAsia="黑体"/>
          <w:sz w:val="32"/>
        </w:rPr>
        <w:t>第一部分 单位概况</w:t>
      </w:r>
    </w:p>
    <w:p w14:paraId="1B2CF081">
      <w:pPr>
        <w:spacing w:line="640" w:lineRule="exact"/>
        <w:ind w:firstLine="640"/>
        <w:jc w:val="both"/>
        <w:outlineLvl w:val="2"/>
      </w:pPr>
      <w:r>
        <w:rPr>
          <w:rFonts w:ascii="黑体" w:hAnsi="黑体" w:eastAsia="黑体"/>
          <w:sz w:val="32"/>
        </w:rPr>
        <w:t>一、主要职能</w:t>
      </w:r>
    </w:p>
    <w:p w14:paraId="576522B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监测与探测方面：对气象要素和云物理特征进行监测：通过多种气象监测设备，如气象雷达、卫星云图接收设备、探空仪等，实时获取温度、湿度、气压、风向、风速以及云的类型、高度、厚度、含水量等信息，为人工影响天气作业提供基础数据。天气系统的探测与分析：追踪和分析可能影响作业区域的天气系统，包括冷锋、暖锋、气旋、反气旋等的移动路径、强度变化等，评估这些天气系统对云系发展和降水形成的潜在影响。</w:t>
      </w:r>
    </w:p>
    <w:p w14:paraId="4904D2F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作业实施方面：制定人工影响天气作业计划：根据农业生产、水资源管理、森林防火、重大活动保障等需求，结合气象监测和预报信息，制定详细的人工影响天气作业方案，包括作业的时间、地点、方式和作业量等。实施人工增雨（雪）作业：在合适的云层条件下，利用飞机、高炮、火箭等作业工具，将催化剂（如碘化银、干冰等）播撒到云层中，促进云层中水汽的凝结和冰晶的增长，从而增加降水量或提前引发降雪。实施人工防雹作业：在多雹灾地区，当监测到可能产生冰雹的强对流云时，及时进行人工防雹作业。通过向雹云发射炮弹或火箭弹，在云层中产生过量的冰晶，使雹胚竞争有限的水汽资源，抑制冰雹的生长，或者破坏雹云的结构，降低其成雹能力，从而减轻雹灾对农作物和其他设施的危害。</w:t>
      </w:r>
    </w:p>
    <w:p w14:paraId="6D4EFFC5">
      <w:pPr>
        <w:spacing w:line="640" w:lineRule="exact"/>
        <w:ind w:firstLine="640"/>
        <w:jc w:val="both"/>
        <w:outlineLvl w:val="2"/>
      </w:pPr>
      <w:r>
        <w:rPr>
          <w:rFonts w:ascii="黑体" w:hAnsi="黑体" w:eastAsia="黑体"/>
          <w:sz w:val="32"/>
        </w:rPr>
        <w:t>二、机构设置及人员情况</w:t>
      </w:r>
    </w:p>
    <w:p w14:paraId="43B40A4D">
      <w:pPr>
        <w:spacing w:line="580" w:lineRule="exact"/>
        <w:ind w:firstLine="640"/>
        <w:jc w:val="both"/>
      </w:pPr>
      <w:r>
        <w:rPr>
          <w:rFonts w:ascii="仿宋_GB2312" w:hAnsi="仿宋_GB2312" w:eastAsia="仿宋_GB2312"/>
          <w:sz w:val="32"/>
        </w:rPr>
        <w:t>英吉沙县人工影响天气工作中心2024年度，实有人数2人，其中：在职人员2人，增加0人；离休人员0人，增加0人；退休人员0人,增加0人。</w:t>
      </w:r>
    </w:p>
    <w:p w14:paraId="72D2B1CD">
      <w:pPr>
        <w:spacing w:line="580" w:lineRule="exact"/>
        <w:ind w:firstLine="640"/>
        <w:jc w:val="both"/>
      </w:pPr>
      <w:r>
        <w:rPr>
          <w:rFonts w:ascii="仿宋_GB2312" w:hAnsi="仿宋_GB2312" w:eastAsia="仿宋_GB2312"/>
          <w:sz w:val="32"/>
        </w:rPr>
        <w:t>英吉沙县人工影响天气工作中心无下属预算单位，下设1个科室，分别是：综合办公室。</w:t>
      </w:r>
    </w:p>
    <w:p w14:paraId="72275DDA">
      <w:r>
        <w:br w:type="page"/>
      </w:r>
    </w:p>
    <w:p w14:paraId="4A1CADEA">
      <w:pPr>
        <w:spacing w:line="240" w:lineRule="auto"/>
        <w:jc w:val="center"/>
        <w:outlineLvl w:val="1"/>
      </w:pPr>
      <w:r>
        <w:rPr>
          <w:rFonts w:ascii="黑体" w:hAnsi="黑体" w:eastAsia="黑体"/>
          <w:sz w:val="32"/>
        </w:rPr>
        <w:t>第二部分 部门决算情况说明</w:t>
      </w:r>
    </w:p>
    <w:p w14:paraId="3AFEF878">
      <w:pPr>
        <w:spacing w:line="640" w:lineRule="exact"/>
        <w:ind w:firstLine="640"/>
        <w:jc w:val="both"/>
        <w:outlineLvl w:val="2"/>
      </w:pPr>
      <w:r>
        <w:rPr>
          <w:rFonts w:ascii="黑体" w:hAnsi="黑体" w:eastAsia="黑体"/>
          <w:sz w:val="32"/>
        </w:rPr>
        <w:t>一、收入支出决算总体情况说明</w:t>
      </w:r>
    </w:p>
    <w:p w14:paraId="1F457823">
      <w:pPr>
        <w:spacing w:line="580" w:lineRule="exact"/>
        <w:ind w:firstLine="640"/>
        <w:jc w:val="both"/>
      </w:pPr>
      <w:r>
        <w:rPr>
          <w:rFonts w:ascii="仿宋_GB2312" w:hAnsi="仿宋_GB2312" w:eastAsia="仿宋_GB2312"/>
          <w:b/>
          <w:sz w:val="32"/>
        </w:rPr>
        <w:t>2024年度收入总计31.37万元，</w:t>
      </w:r>
      <w:r>
        <w:rPr>
          <w:rFonts w:ascii="仿宋_GB2312" w:hAnsi="仿宋_GB2312" w:eastAsia="仿宋_GB2312"/>
          <w:b w:val="0"/>
          <w:sz w:val="32"/>
        </w:rPr>
        <w:t>其中：本年收入合计31.37万元，使用非财政拨款结余（含专用结余）0.00万元，年初结转和结余0.00万元。</w:t>
      </w:r>
    </w:p>
    <w:p w14:paraId="38B4EA97">
      <w:pPr>
        <w:spacing w:line="580" w:lineRule="exact"/>
        <w:ind w:firstLine="640"/>
        <w:jc w:val="both"/>
      </w:pPr>
      <w:r>
        <w:rPr>
          <w:rFonts w:ascii="仿宋_GB2312" w:hAnsi="仿宋_GB2312" w:eastAsia="仿宋_GB2312"/>
          <w:b/>
          <w:sz w:val="32"/>
        </w:rPr>
        <w:t>2024年度支出总计31.37万元，</w:t>
      </w:r>
      <w:r>
        <w:rPr>
          <w:rFonts w:ascii="仿宋_GB2312" w:hAnsi="仿宋_GB2312" w:eastAsia="仿宋_GB2312"/>
          <w:b w:val="0"/>
          <w:sz w:val="32"/>
        </w:rPr>
        <w:t>其中：本年支出合计31.37万元，结余分配0.00万元，年末结转和结余0.00万元。</w:t>
      </w:r>
    </w:p>
    <w:p w14:paraId="31FFC4FF">
      <w:pPr>
        <w:spacing w:line="580" w:lineRule="exact"/>
        <w:ind w:firstLine="640"/>
        <w:jc w:val="both"/>
      </w:pPr>
      <w:r>
        <w:rPr>
          <w:rFonts w:ascii="仿宋_GB2312" w:hAnsi="仿宋_GB2312" w:eastAsia="仿宋_GB2312"/>
          <w:b w:val="0"/>
          <w:sz w:val="32"/>
        </w:rPr>
        <w:t>收入支出总体与上年相比，增加4.05万元，增长14.82%，主要原因是：本年在职人员工资调增，社保、公积金基数调增，人员经费增加。</w:t>
      </w:r>
    </w:p>
    <w:p w14:paraId="69FC90C9">
      <w:pPr>
        <w:spacing w:line="640" w:lineRule="exact"/>
        <w:ind w:firstLine="640"/>
        <w:jc w:val="both"/>
        <w:outlineLvl w:val="2"/>
      </w:pPr>
      <w:r>
        <w:rPr>
          <w:rFonts w:ascii="黑体" w:hAnsi="黑体" w:eastAsia="黑体"/>
          <w:sz w:val="32"/>
        </w:rPr>
        <w:t>二、收入决算情况说明</w:t>
      </w:r>
    </w:p>
    <w:p w14:paraId="53516592">
      <w:pPr>
        <w:spacing w:line="580" w:lineRule="exact"/>
        <w:ind w:firstLine="640"/>
        <w:jc w:val="both"/>
      </w:pPr>
      <w:r>
        <w:rPr>
          <w:rFonts w:ascii="仿宋_GB2312" w:hAnsi="仿宋_GB2312" w:eastAsia="仿宋_GB2312"/>
          <w:b/>
          <w:sz w:val="32"/>
        </w:rPr>
        <w:t>本年收入31.37万元，</w:t>
      </w:r>
      <w:r>
        <w:rPr>
          <w:rFonts w:ascii="仿宋_GB2312" w:hAnsi="仿宋_GB2312" w:eastAsia="仿宋_GB2312"/>
          <w:b w:val="0"/>
          <w:sz w:val="32"/>
        </w:rPr>
        <w:t>其中：财政拨款收入31.37万元，占100.00%；上级补助收入0.00万元，占0.00%；事业收入0.00万元，占0.00%；经营收入0.00万元，占0.00%；附属单位上缴收入0.00万元，占0.00%；其他收入0.00万元，占0.00%。</w:t>
      </w:r>
    </w:p>
    <w:p w14:paraId="453AD7E9">
      <w:pPr>
        <w:spacing w:line="640" w:lineRule="exact"/>
        <w:ind w:firstLine="640"/>
        <w:jc w:val="both"/>
        <w:outlineLvl w:val="2"/>
      </w:pPr>
      <w:r>
        <w:rPr>
          <w:rFonts w:ascii="黑体" w:hAnsi="黑体" w:eastAsia="黑体"/>
          <w:sz w:val="32"/>
        </w:rPr>
        <w:t>三、支出决算情况说明</w:t>
      </w:r>
    </w:p>
    <w:p w14:paraId="2D3E593C">
      <w:pPr>
        <w:spacing w:line="580" w:lineRule="exact"/>
        <w:ind w:firstLine="640"/>
        <w:jc w:val="both"/>
      </w:pPr>
      <w:r>
        <w:rPr>
          <w:rFonts w:ascii="仿宋_GB2312" w:hAnsi="仿宋_GB2312" w:eastAsia="仿宋_GB2312"/>
          <w:b/>
          <w:sz w:val="32"/>
        </w:rPr>
        <w:t>本年支出31.37万元，</w:t>
      </w:r>
      <w:r>
        <w:rPr>
          <w:rFonts w:ascii="仿宋_GB2312" w:hAnsi="仿宋_GB2312" w:eastAsia="仿宋_GB2312"/>
          <w:b w:val="0"/>
          <w:sz w:val="32"/>
        </w:rPr>
        <w:t>其中：基本支出31.37万元，占100.00%；项目支出0.00万元，占0.00%；上缴上级支出0.00万元，占0.00%；经营支出0.00万元，占0.00%；对附属单位补助支出0.00万元，占0.00%。</w:t>
      </w:r>
    </w:p>
    <w:p w14:paraId="7FC9BAD1">
      <w:pPr>
        <w:spacing w:line="640" w:lineRule="exact"/>
        <w:ind w:firstLine="640"/>
        <w:jc w:val="both"/>
        <w:outlineLvl w:val="2"/>
      </w:pPr>
      <w:r>
        <w:rPr>
          <w:rFonts w:ascii="黑体" w:hAnsi="黑体" w:eastAsia="黑体"/>
          <w:sz w:val="32"/>
        </w:rPr>
        <w:t>四、财政拨款收入支出决算总体情况说明</w:t>
      </w:r>
    </w:p>
    <w:p w14:paraId="566A413B">
      <w:pPr>
        <w:spacing w:line="580" w:lineRule="exact"/>
        <w:ind w:firstLine="640"/>
        <w:jc w:val="both"/>
      </w:pPr>
      <w:r>
        <w:rPr>
          <w:rFonts w:ascii="仿宋_GB2312" w:hAnsi="仿宋_GB2312" w:eastAsia="仿宋_GB2312"/>
          <w:b/>
          <w:sz w:val="32"/>
        </w:rPr>
        <w:t>2024年度财政拨款收入总计31.37万元，</w:t>
      </w:r>
      <w:r>
        <w:rPr>
          <w:rFonts w:ascii="仿宋_GB2312" w:hAnsi="仿宋_GB2312" w:eastAsia="仿宋_GB2312"/>
          <w:b w:val="0"/>
          <w:sz w:val="32"/>
        </w:rPr>
        <w:t>其中：年初财政拨款结转和结余0.00万元，本年财政拨款收入31.37万元。</w:t>
      </w:r>
      <w:r>
        <w:rPr>
          <w:rFonts w:ascii="仿宋_GB2312" w:hAnsi="仿宋_GB2312" w:eastAsia="仿宋_GB2312"/>
          <w:b/>
          <w:sz w:val="32"/>
        </w:rPr>
        <w:t>财政拨款支出总计31.37万元，</w:t>
      </w:r>
      <w:r>
        <w:rPr>
          <w:rFonts w:ascii="仿宋_GB2312" w:hAnsi="仿宋_GB2312" w:eastAsia="仿宋_GB2312"/>
          <w:b w:val="0"/>
          <w:sz w:val="32"/>
        </w:rPr>
        <w:t>其中：年末财政拨款结转和结余0.00万元，本年财政拨款支出31.37万元。</w:t>
      </w:r>
    </w:p>
    <w:p w14:paraId="084C41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增加4.05万元，增长14.82%，主要原因是：本年在职人员工资调增，社保、公积金基数调增，人员经费增加。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年初预算数30.39万元，决算数31.37万元，预决算差异率3.22%，主要原因是：年中追加人员工资、社保、公积金基数调增部分资金，导致预决算存在差异。</w:t>
      </w:r>
    </w:p>
    <w:p w14:paraId="7C199142">
      <w:pPr>
        <w:spacing w:line="640" w:lineRule="exact"/>
        <w:ind w:firstLine="640"/>
        <w:jc w:val="both"/>
        <w:outlineLvl w:val="2"/>
      </w:pPr>
      <w:r>
        <w:rPr>
          <w:rFonts w:ascii="黑体" w:hAnsi="黑体" w:eastAsia="黑体"/>
          <w:sz w:val="32"/>
        </w:rPr>
        <w:t>五、一般公共预算财政拨款支出决算情况说明</w:t>
      </w:r>
    </w:p>
    <w:p w14:paraId="7D1A4266">
      <w:pPr>
        <w:spacing w:line="640" w:lineRule="exact"/>
        <w:ind w:firstLine="640"/>
        <w:jc w:val="both"/>
        <w:outlineLvl w:val="3"/>
      </w:pPr>
      <w:r>
        <w:rPr>
          <w:rFonts w:ascii="楷体_GB2312" w:hAnsi="楷体_GB2312" w:eastAsia="楷体_GB2312"/>
          <w:b/>
          <w:sz w:val="32"/>
        </w:rPr>
        <w:t>（一）一般公共预算财政拨款支出决算总体情况</w:t>
      </w:r>
    </w:p>
    <w:p w14:paraId="604080F1">
      <w:pPr>
        <w:spacing w:line="580" w:lineRule="exact"/>
        <w:ind w:firstLine="640"/>
        <w:jc w:val="both"/>
      </w:pPr>
      <w:r>
        <w:rPr>
          <w:rFonts w:ascii="仿宋_GB2312" w:hAnsi="仿宋_GB2312" w:eastAsia="仿宋_GB2312"/>
          <w:b/>
          <w:sz w:val="32"/>
        </w:rPr>
        <w:t>2024年度一般公共预算财政拨款支出31.37万元，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增加4.05万元，增长14.82%，主要原因是：本年在职人员工资调增，社保、公积金基数调增，人员经费增加。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年初预算数30.39万元，决算数31.37万元，预决算差异率3.22%，主要原因是：年中追加人员工资、社保、公积金基数调增部分资金，导致预决算存在差异。</w:t>
      </w:r>
    </w:p>
    <w:p w14:paraId="05AE2744">
      <w:pPr>
        <w:spacing w:line="640" w:lineRule="exact"/>
        <w:ind w:firstLine="640"/>
        <w:jc w:val="both"/>
        <w:outlineLvl w:val="3"/>
      </w:pPr>
      <w:r>
        <w:rPr>
          <w:rFonts w:ascii="楷体_GB2312" w:hAnsi="楷体_GB2312" w:eastAsia="楷体_GB2312"/>
          <w:b/>
          <w:sz w:val="32"/>
        </w:rPr>
        <w:t>（二）一般公共预算财政拨款支出决算结构情况</w:t>
      </w:r>
    </w:p>
    <w:p w14:paraId="7F11B7B1">
      <w:pPr>
        <w:spacing w:line="580" w:lineRule="exact"/>
        <w:ind w:firstLine="640"/>
        <w:jc w:val="both"/>
      </w:pPr>
      <w:r>
        <w:rPr>
          <w:rFonts w:ascii="仿宋_GB2312" w:hAnsi="仿宋_GB2312" w:eastAsia="仿宋_GB2312"/>
          <w:b w:val="0"/>
          <w:sz w:val="32"/>
        </w:rPr>
        <w:t>1.一般公共服务支出(类)0.52万元,占1.66%。</w:t>
      </w:r>
    </w:p>
    <w:p w14:paraId="6219EE13">
      <w:pPr>
        <w:spacing w:line="580" w:lineRule="exact"/>
        <w:ind w:firstLine="640"/>
        <w:jc w:val="both"/>
      </w:pPr>
      <w:r>
        <w:rPr>
          <w:rFonts w:ascii="仿宋_GB2312" w:hAnsi="仿宋_GB2312" w:eastAsia="仿宋_GB2312"/>
          <w:b w:val="0"/>
          <w:sz w:val="32"/>
        </w:rPr>
        <w:t>2.社会保障和就业支出(类)3.16万元,占10.07%。</w:t>
      </w:r>
    </w:p>
    <w:p w14:paraId="0BC4DA13">
      <w:pPr>
        <w:spacing w:line="580" w:lineRule="exact"/>
        <w:ind w:firstLine="640"/>
        <w:jc w:val="both"/>
      </w:pPr>
      <w:r>
        <w:rPr>
          <w:rFonts w:ascii="仿宋_GB2312" w:hAnsi="仿宋_GB2312" w:eastAsia="仿宋_GB2312"/>
          <w:b w:val="0"/>
          <w:sz w:val="32"/>
        </w:rPr>
        <w:t>3.卫生健康支出(类)1.36万元,占4.34%。</w:t>
      </w:r>
    </w:p>
    <w:p w14:paraId="2A73C487">
      <w:pPr>
        <w:spacing w:line="580" w:lineRule="exact"/>
        <w:ind w:firstLine="640"/>
        <w:jc w:val="both"/>
      </w:pPr>
      <w:r>
        <w:rPr>
          <w:rFonts w:ascii="仿宋_GB2312" w:hAnsi="仿宋_GB2312" w:eastAsia="仿宋_GB2312"/>
          <w:b w:val="0"/>
          <w:sz w:val="32"/>
        </w:rPr>
        <w:t>4.自然资源海洋气象等支出(类)23.74万元,占75.68%。</w:t>
      </w:r>
    </w:p>
    <w:p w14:paraId="3E4F2E6E">
      <w:pPr>
        <w:spacing w:line="580" w:lineRule="exact"/>
        <w:ind w:firstLine="640"/>
        <w:jc w:val="both"/>
      </w:pPr>
      <w:r>
        <w:rPr>
          <w:rFonts w:ascii="仿宋_GB2312" w:hAnsi="仿宋_GB2312" w:eastAsia="仿宋_GB2312"/>
          <w:b w:val="0"/>
          <w:sz w:val="32"/>
        </w:rPr>
        <w:t>5.住房保障支出(类)2.58万元,占8.22%。</w:t>
      </w:r>
    </w:p>
    <w:p w14:paraId="602410F9">
      <w:pPr>
        <w:spacing w:line="640" w:lineRule="exact"/>
        <w:ind w:firstLine="640"/>
        <w:jc w:val="both"/>
        <w:outlineLvl w:val="3"/>
      </w:pPr>
      <w:r>
        <w:rPr>
          <w:rFonts w:ascii="楷体_GB2312" w:hAnsi="楷体_GB2312" w:eastAsia="楷体_GB2312"/>
          <w:b/>
          <w:sz w:val="32"/>
        </w:rPr>
        <w:t>（三）一般公共预算财政拨款支出决算具体情况</w:t>
      </w:r>
    </w:p>
    <w:p w14:paraId="28E1D2BA">
      <w:pPr>
        <w:spacing w:line="580" w:lineRule="exact"/>
        <w:ind w:firstLine="640"/>
        <w:jc w:val="both"/>
      </w:pPr>
      <w:r>
        <w:rPr>
          <w:rFonts w:ascii="仿宋_GB2312" w:hAnsi="仿宋_GB2312" w:eastAsia="仿宋_GB2312"/>
          <w:b w:val="0"/>
          <w:sz w:val="32"/>
        </w:rPr>
        <w:t>1.一般公共服务支出(类)统计信息事务(款)事业运行(项):支出决算数为0.52万元，比上年决算增加0.52万元，增长100.00%,主要原因是：本年功能科目调整，事业人员基本工资经费本年单独列支，导致经费较上年增加。</w:t>
      </w:r>
    </w:p>
    <w:p w14:paraId="31701EE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3.16万元，比上年决算增加0.72万元，增长29.51%,主要原因是：本年在职人员工资基数调增，养老缴费基数上涨，相应支出增加。</w:t>
      </w:r>
    </w:p>
    <w:p w14:paraId="260993A0">
      <w:pPr>
        <w:spacing w:line="580" w:lineRule="exact"/>
        <w:ind w:firstLine="640"/>
        <w:jc w:val="both"/>
      </w:pPr>
      <w:r>
        <w:rPr>
          <w:rFonts w:ascii="仿宋_GB2312" w:hAnsi="仿宋_GB2312" w:eastAsia="仿宋_GB2312"/>
          <w:b w:val="0"/>
          <w:sz w:val="32"/>
        </w:rPr>
        <w:t>3.卫生健康支出(类)行政事业单位医疗(款)事业单位医疗(项):支出决算数为1.36万元，比上年决算增加0.20万元，增长17.24%,主要原因是：本年在职人员工资基数调增，医疗缴费基数上涨，相应支出增加。</w:t>
      </w:r>
    </w:p>
    <w:p w14:paraId="0AD48487">
      <w:pPr>
        <w:spacing w:line="580" w:lineRule="exact"/>
        <w:ind w:firstLine="640"/>
        <w:jc w:val="both"/>
      </w:pPr>
      <w:r>
        <w:rPr>
          <w:rFonts w:ascii="仿宋_GB2312" w:hAnsi="仿宋_GB2312" w:eastAsia="仿宋_GB2312"/>
          <w:b w:val="0"/>
          <w:sz w:val="32"/>
        </w:rPr>
        <w:t>4.自然资源海洋气象等支出(类)气象事务(款)气象事业机构(项):支出决算数为23.74万元，比上年决算增加2.12万元，增长9.81%,主要原因是：本年在职人员工资调增，人员经费增加。</w:t>
      </w:r>
    </w:p>
    <w:p w14:paraId="462F0F65">
      <w:pPr>
        <w:spacing w:line="580" w:lineRule="exact"/>
        <w:ind w:firstLine="640"/>
        <w:jc w:val="both"/>
      </w:pPr>
      <w:r>
        <w:rPr>
          <w:rFonts w:ascii="仿宋_GB2312" w:hAnsi="仿宋_GB2312" w:eastAsia="仿宋_GB2312"/>
          <w:b w:val="0"/>
          <w:sz w:val="32"/>
        </w:rPr>
        <w:t>5.住房保障支出(类)住房改革支出(款)住房公积金(项):支出决算数为2.58万元，比上年决算增加0.48万元，增长22.86%,主要原因是：本年在职人员工资基数调增，公积金缴费基数上涨，相应支出增加。</w:t>
      </w:r>
    </w:p>
    <w:p w14:paraId="5EA9C37D">
      <w:pPr>
        <w:spacing w:line="640" w:lineRule="exact"/>
        <w:ind w:firstLine="640"/>
        <w:jc w:val="both"/>
        <w:outlineLvl w:val="2"/>
      </w:pPr>
      <w:r>
        <w:rPr>
          <w:rFonts w:ascii="黑体" w:hAnsi="黑体" w:eastAsia="黑体"/>
          <w:sz w:val="32"/>
        </w:rPr>
        <w:t>六、一般公共预算财政拨款基本支出决算情况说明</w:t>
      </w:r>
    </w:p>
    <w:p w14:paraId="5C96F089">
      <w:pPr>
        <w:spacing w:line="580" w:lineRule="exact"/>
        <w:ind w:firstLine="640"/>
        <w:jc w:val="both"/>
      </w:pPr>
      <w:r>
        <w:rPr>
          <w:rFonts w:ascii="仿宋_GB2312" w:hAnsi="仿宋_GB2312" w:eastAsia="仿宋_GB2312"/>
          <w:b w:val="0"/>
          <w:sz w:val="32"/>
        </w:rPr>
        <w:t>2024年度一般公共预算财政拨款基本支出31.37万元，其中：</w:t>
      </w:r>
      <w:r>
        <w:rPr>
          <w:rFonts w:ascii="仿宋_GB2312" w:hAnsi="仿宋_GB2312" w:eastAsia="仿宋_GB2312"/>
          <w:b/>
          <w:sz w:val="32"/>
        </w:rPr>
        <w:t>人员经费30.95万元，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7A4F921B">
      <w:pPr>
        <w:spacing w:line="580" w:lineRule="exact"/>
        <w:ind w:firstLine="640"/>
        <w:jc w:val="both"/>
      </w:pPr>
      <w:r>
        <w:rPr>
          <w:rFonts w:ascii="仿宋_GB2312" w:hAnsi="仿宋_GB2312" w:eastAsia="仿宋_GB2312"/>
          <w:b/>
          <w:sz w:val="32"/>
        </w:rPr>
        <w:t>公用经费0.43万元，</w:t>
      </w:r>
      <w:r>
        <w:rPr>
          <w:rFonts w:ascii="仿宋_GB2312" w:hAnsi="仿宋_GB2312" w:eastAsia="仿宋_GB2312"/>
          <w:b w:val="0"/>
          <w:sz w:val="32"/>
        </w:rPr>
        <w:t>包括：办公费、差旅费。</w:t>
      </w:r>
    </w:p>
    <w:p w14:paraId="0E93F036">
      <w:pPr>
        <w:spacing w:line="640" w:lineRule="exact"/>
        <w:ind w:firstLine="640"/>
        <w:jc w:val="both"/>
        <w:outlineLvl w:val="2"/>
      </w:pPr>
      <w:r>
        <w:rPr>
          <w:rFonts w:ascii="黑体" w:hAnsi="黑体" w:eastAsia="黑体"/>
          <w:sz w:val="32"/>
        </w:rPr>
        <w:t>七、政府性基金预算财政拨款收入支出决算情况说明</w:t>
      </w:r>
    </w:p>
    <w:p w14:paraId="0B97DA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9C81004">
      <w:pPr>
        <w:spacing w:line="640" w:lineRule="exact"/>
        <w:ind w:firstLine="640"/>
        <w:jc w:val="both"/>
        <w:outlineLvl w:val="2"/>
      </w:pPr>
      <w:r>
        <w:rPr>
          <w:rFonts w:ascii="黑体" w:hAnsi="黑体" w:eastAsia="黑体"/>
          <w:sz w:val="32"/>
        </w:rPr>
        <w:t>八、国有资本经营预算财政拨款收入支出决算情况说明</w:t>
      </w:r>
    </w:p>
    <w:p w14:paraId="1854AED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DA8A8C7">
      <w:pPr>
        <w:spacing w:line="640" w:lineRule="exact"/>
        <w:ind w:firstLine="640"/>
        <w:jc w:val="both"/>
        <w:outlineLvl w:val="2"/>
      </w:pPr>
      <w:r>
        <w:rPr>
          <w:rFonts w:ascii="黑体" w:hAnsi="黑体" w:eastAsia="黑体"/>
          <w:sz w:val="32"/>
        </w:rPr>
        <w:t>九、财政拨款“三公”经费支出决算情况说明</w:t>
      </w:r>
    </w:p>
    <w:p w14:paraId="1E6E7C0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A01893E">
      <w:pPr>
        <w:spacing w:line="580" w:lineRule="exact"/>
        <w:ind w:firstLine="640"/>
        <w:jc w:val="both"/>
      </w:pPr>
      <w:r>
        <w:rPr>
          <w:rFonts w:ascii="仿宋_GB2312" w:hAnsi="仿宋_GB2312" w:eastAsia="仿宋_GB2312"/>
          <w:b/>
          <w:sz w:val="32"/>
        </w:rPr>
        <w:t>具体情况如下：</w:t>
      </w:r>
    </w:p>
    <w:p w14:paraId="64227DA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B762D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EA715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7D01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3B7366">
      <w:pPr>
        <w:spacing w:line="640" w:lineRule="exact"/>
        <w:ind w:firstLine="640"/>
        <w:jc w:val="both"/>
        <w:outlineLvl w:val="2"/>
      </w:pPr>
      <w:r>
        <w:rPr>
          <w:rFonts w:ascii="黑体" w:hAnsi="黑体" w:eastAsia="黑体"/>
          <w:sz w:val="32"/>
        </w:rPr>
        <w:t>十、其他重要事项的情况说明</w:t>
      </w:r>
    </w:p>
    <w:p w14:paraId="186944EB">
      <w:pPr>
        <w:spacing w:line="640" w:lineRule="exact"/>
        <w:ind w:firstLine="640"/>
        <w:jc w:val="both"/>
        <w:outlineLvl w:val="3"/>
      </w:pPr>
      <w:r>
        <w:rPr>
          <w:rFonts w:ascii="楷体_GB2312" w:hAnsi="楷体_GB2312" w:eastAsia="楷体_GB2312"/>
          <w:b/>
          <w:sz w:val="32"/>
        </w:rPr>
        <w:t>（一）机关运行经费及公用经费支出情况</w:t>
      </w:r>
    </w:p>
    <w:p w14:paraId="2E367CE9">
      <w:pPr>
        <w:spacing w:line="580" w:lineRule="exact"/>
        <w:ind w:firstLine="640"/>
        <w:jc w:val="both"/>
      </w:pPr>
      <w:r>
        <w:rPr>
          <w:rFonts w:ascii="仿宋_GB2312" w:hAnsi="仿宋_GB2312" w:eastAsia="仿宋_GB2312"/>
          <w:b w:val="0"/>
          <w:sz w:val="32"/>
        </w:rPr>
        <w:t>2024年度英吉沙县人工影响天气工作中心（事业单位）公用经费支出0.43万元，比上年增加0.41万元，增长2,050.00%，主要原因是：本年业务量增加，公用经费增加。</w:t>
      </w:r>
    </w:p>
    <w:p w14:paraId="1ED78ED1">
      <w:pPr>
        <w:spacing w:line="640" w:lineRule="exact"/>
        <w:ind w:firstLine="640"/>
        <w:jc w:val="both"/>
        <w:outlineLvl w:val="3"/>
      </w:pPr>
      <w:r>
        <w:rPr>
          <w:rFonts w:ascii="楷体_GB2312" w:hAnsi="楷体_GB2312" w:eastAsia="楷体_GB2312"/>
          <w:b/>
          <w:sz w:val="32"/>
        </w:rPr>
        <w:t>（二）政府采购情况</w:t>
      </w:r>
    </w:p>
    <w:p w14:paraId="3782BF8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EF33C7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008700F">
      <w:pPr>
        <w:spacing w:line="640" w:lineRule="exact"/>
        <w:ind w:firstLine="640"/>
        <w:jc w:val="both"/>
        <w:outlineLvl w:val="3"/>
      </w:pPr>
      <w:r>
        <w:rPr>
          <w:rFonts w:ascii="楷体_GB2312" w:hAnsi="楷体_GB2312" w:eastAsia="楷体_GB2312"/>
          <w:b/>
          <w:sz w:val="32"/>
        </w:rPr>
        <w:t>（三）国有资产占用情况说明</w:t>
      </w:r>
    </w:p>
    <w:p w14:paraId="0F5EB83A">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6A88FA">
      <w:pPr>
        <w:spacing w:line="640" w:lineRule="exact"/>
        <w:ind w:firstLine="640"/>
        <w:jc w:val="both"/>
        <w:outlineLvl w:val="2"/>
      </w:pPr>
      <w:r>
        <w:rPr>
          <w:rFonts w:ascii="黑体" w:hAnsi="黑体" w:eastAsia="黑体"/>
          <w:sz w:val="32"/>
        </w:rPr>
        <w:t>十一、预算绩效的情况说明</w:t>
      </w:r>
    </w:p>
    <w:p w14:paraId="66C08A2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31.37万元，实际执行总额31.37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无项目绩效自评表。具体附整体支出绩效自评表。</w:t>
      </w:r>
    </w:p>
    <w:p w14:paraId="77DE5B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F5F63E">
        <w:tblPrEx>
          <w:tblCellMar>
            <w:top w:w="0" w:type="dxa"/>
            <w:left w:w="108" w:type="dxa"/>
            <w:bottom w:w="0" w:type="dxa"/>
            <w:right w:w="108" w:type="dxa"/>
          </w:tblCellMar>
        </w:tblPrEx>
        <w:tc>
          <w:tcPr>
            <w:tcW w:w="8847" w:type="dxa"/>
            <w:gridSpan w:val="9"/>
            <w:vAlign w:val="center"/>
          </w:tcPr>
          <w:p w14:paraId="27B4B487">
            <w:pPr>
              <w:jc w:val="center"/>
            </w:pPr>
            <w:r>
              <w:rPr>
                <w:rFonts w:ascii="宋体" w:hAnsi="宋体" w:eastAsia="宋体"/>
                <w:sz w:val="24"/>
              </w:rPr>
              <w:t>单位整体支出绩效自评表</w:t>
            </w:r>
          </w:p>
        </w:tc>
      </w:tr>
      <w:tr w14:paraId="1D938BA5">
        <w:tblPrEx>
          <w:tblCellMar>
            <w:top w:w="0" w:type="dxa"/>
            <w:left w:w="108" w:type="dxa"/>
            <w:bottom w:w="0" w:type="dxa"/>
            <w:right w:w="108" w:type="dxa"/>
          </w:tblCellMar>
        </w:tblPrEx>
        <w:tc>
          <w:tcPr>
            <w:tcW w:w="8847" w:type="dxa"/>
            <w:gridSpan w:val="9"/>
            <w:vAlign w:val="center"/>
          </w:tcPr>
          <w:p w14:paraId="6B358215">
            <w:pPr>
              <w:jc w:val="center"/>
            </w:pPr>
            <w:r>
              <w:rPr>
                <w:rFonts w:ascii="宋体" w:hAnsi="宋体" w:eastAsia="宋体"/>
                <w:sz w:val="24"/>
              </w:rPr>
              <w:t>（2024年度）</w:t>
            </w:r>
          </w:p>
        </w:tc>
      </w:tr>
      <w:tr w14:paraId="1D3994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81D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A9002C">
            <w:pPr>
              <w:jc w:val="center"/>
            </w:pPr>
            <w:r>
              <w:rPr>
                <w:rFonts w:ascii="宋体" w:hAnsi="宋体" w:eastAsia="宋体"/>
                <w:sz w:val="16"/>
              </w:rPr>
              <w:t>英吉沙县人工影响天气工作中心</w:t>
            </w:r>
          </w:p>
        </w:tc>
      </w:tr>
      <w:tr w14:paraId="592B17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5D56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C0F7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FE0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8EE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BB3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AB2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DE65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96DD">
            <w:pPr>
              <w:jc w:val="center"/>
            </w:pPr>
            <w:r>
              <w:rPr>
                <w:rFonts w:ascii="宋体" w:hAnsi="宋体" w:eastAsia="宋体"/>
                <w:sz w:val="16"/>
              </w:rPr>
              <w:t>得分</w:t>
            </w:r>
          </w:p>
        </w:tc>
      </w:tr>
      <w:tr w14:paraId="51DE68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9AF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6B9D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DE4D9">
            <w:pPr>
              <w:jc w:val="center"/>
            </w:pPr>
            <w:r>
              <w:rPr>
                <w:rFonts w:ascii="宋体" w:hAnsi="宋体" w:eastAsia="宋体"/>
                <w:sz w:val="16"/>
              </w:rPr>
              <w:t>30.39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0F040">
            <w:pPr>
              <w:jc w:val="center"/>
            </w:pPr>
            <w:r>
              <w:rPr>
                <w:rFonts w:ascii="宋体" w:hAnsi="宋体" w:eastAsia="宋体"/>
                <w:sz w:val="16"/>
              </w:rPr>
              <w:t>31.37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A4E1">
            <w:pPr>
              <w:jc w:val="center"/>
            </w:pPr>
            <w:r>
              <w:rPr>
                <w:rFonts w:ascii="宋体" w:hAnsi="宋体" w:eastAsia="宋体"/>
                <w:sz w:val="16"/>
              </w:rPr>
              <w:t>31.37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DF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4D0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E89CA">
            <w:pPr>
              <w:jc w:val="center"/>
            </w:pPr>
            <w:r>
              <w:rPr>
                <w:rFonts w:ascii="宋体" w:hAnsi="宋体" w:eastAsia="宋体"/>
                <w:sz w:val="16"/>
              </w:rPr>
              <w:t>10</w:t>
            </w:r>
          </w:p>
        </w:tc>
      </w:tr>
      <w:tr w14:paraId="4AE5BF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A7E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F293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5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F2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C0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0D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1E5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FD286">
            <w:pPr>
              <w:jc w:val="center"/>
            </w:pPr>
            <w:r>
              <w:rPr>
                <w:rFonts w:ascii="宋体" w:hAnsi="宋体" w:eastAsia="宋体"/>
                <w:sz w:val="16"/>
              </w:rPr>
              <w:t>—</w:t>
            </w:r>
          </w:p>
        </w:tc>
      </w:tr>
      <w:tr w14:paraId="215F56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C47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46F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249C1">
            <w:pPr>
              <w:jc w:val="center"/>
            </w:pPr>
            <w:r>
              <w:rPr>
                <w:rFonts w:ascii="宋体" w:hAnsi="宋体" w:eastAsia="宋体"/>
                <w:sz w:val="16"/>
              </w:rPr>
              <w:t>30.39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74F96">
            <w:pPr>
              <w:jc w:val="center"/>
            </w:pPr>
            <w:r>
              <w:rPr>
                <w:rFonts w:ascii="宋体" w:hAnsi="宋体" w:eastAsia="宋体"/>
                <w:sz w:val="16"/>
              </w:rPr>
              <w:t>31.37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9A587">
            <w:pPr>
              <w:jc w:val="center"/>
            </w:pPr>
            <w:r>
              <w:rPr>
                <w:rFonts w:ascii="宋体" w:hAnsi="宋体" w:eastAsia="宋体"/>
                <w:sz w:val="16"/>
              </w:rPr>
              <w:t>31.37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6AD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67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F76C">
            <w:pPr>
              <w:jc w:val="center"/>
            </w:pPr>
            <w:r>
              <w:rPr>
                <w:rFonts w:ascii="宋体" w:hAnsi="宋体" w:eastAsia="宋体"/>
                <w:sz w:val="16"/>
              </w:rPr>
              <w:t>—</w:t>
            </w:r>
          </w:p>
        </w:tc>
      </w:tr>
      <w:tr w14:paraId="3B6227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C9E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2FB1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3F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4E4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E8F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9A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76E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51B7C">
            <w:pPr>
              <w:jc w:val="center"/>
            </w:pPr>
            <w:r>
              <w:rPr>
                <w:rFonts w:ascii="宋体" w:hAnsi="宋体" w:eastAsia="宋体"/>
                <w:sz w:val="16"/>
              </w:rPr>
              <w:t>—</w:t>
            </w:r>
          </w:p>
        </w:tc>
      </w:tr>
      <w:tr w14:paraId="2EF68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433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D08D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BC280">
            <w:pPr>
              <w:jc w:val="center"/>
            </w:pPr>
            <w:r>
              <w:rPr>
                <w:rFonts w:ascii="宋体" w:hAnsi="宋体" w:eastAsia="宋体"/>
                <w:sz w:val="16"/>
              </w:rPr>
              <w:t>实际完成情况</w:t>
            </w:r>
          </w:p>
        </w:tc>
      </w:tr>
      <w:tr w14:paraId="06316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DCF2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9C5675">
            <w:pPr>
              <w:jc w:val="both"/>
            </w:pPr>
            <w:r>
              <w:rPr>
                <w:rFonts w:ascii="宋体" w:hAnsi="宋体" w:eastAsia="宋体"/>
                <w:sz w:val="16"/>
              </w:rPr>
              <w:t>2024年，党委将以</w:t>
            </w:r>
            <w:r>
              <w:rPr>
                <w:rFonts w:hint="eastAsia" w:ascii="宋体" w:hAnsi="宋体"/>
                <w:sz w:val="16"/>
                <w:lang w:eastAsia="zh-CN"/>
              </w:rPr>
              <w:t>党的二十大精神为</w:t>
            </w:r>
            <w:r>
              <w:rPr>
                <w:rFonts w:ascii="宋体" w:hAnsi="宋体" w:eastAsia="宋体"/>
                <w:sz w:val="16"/>
              </w:rPr>
              <w:t>引领，坚定坚决贯彻落实自治区党委、地委、县委扩大会议精神和重大决策部署，</w:t>
            </w:r>
            <w:r>
              <w:rPr>
                <w:rFonts w:hint="eastAsia" w:ascii="宋体" w:hAnsi="宋体"/>
                <w:sz w:val="16"/>
                <w:lang w:eastAsia="zh-CN"/>
              </w:rPr>
              <w:t>坚定拥护“两个确立”、坚决做到“两个维护”</w:t>
            </w:r>
            <w:r>
              <w:rPr>
                <w:rFonts w:ascii="宋体" w:hAnsi="宋体" w:eastAsia="宋体"/>
                <w:sz w:val="16"/>
              </w:rPr>
              <w:t>，继续以社会主义长治久安为工作重点，为进一步规范和加强人工影响天气作业管理，依据《人工影响天气管理条例》等法律法规，结合我县人工影响天气作业需求。保障人工影响天气作业正常开展，有效提升人工影响天气服务质量。完善人工影响天气工作机制,进一步加强人工影响天气业务能力建设9提 升作业科技含量</w:t>
            </w:r>
            <w:bookmarkStart w:id="0" w:name="_GoBack"/>
            <w:bookmarkEnd w:id="0"/>
            <w:r>
              <w:rPr>
                <w:rFonts w:ascii="宋体" w:hAnsi="宋体" w:eastAsia="宋体"/>
                <w:sz w:val="16"/>
              </w:rPr>
              <w:t>着力做好 202镇 年人工增雨 (雷 )、 防雹、改善空气质量9等 气象保障服务不少于20次 人工影响天气科研 2次 人员岗前培训覆盖率 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C4F1D">
            <w:pPr>
              <w:jc w:val="both"/>
            </w:pPr>
            <w:r>
              <w:rPr>
                <w:rFonts w:hint="eastAsia" w:ascii="宋体" w:hAnsi="宋体"/>
                <w:sz w:val="16"/>
                <w:lang w:eastAsia="zh-CN"/>
              </w:rPr>
              <w:t>截至2024</w:t>
            </w:r>
            <w:r>
              <w:rPr>
                <w:rFonts w:ascii="宋体" w:hAnsi="宋体" w:eastAsia="宋体"/>
                <w:sz w:val="16"/>
              </w:rPr>
              <w:t>年12月，我工作中心对作业人员岗前培训覆盖率以及培训率达到100%，完成2次人工影响天气科研工作，同时开展了34次人工影响天气作业次数，规范生产保障率达到100%，保障我县人工影响天气作业正常开展，有效提升人工影响天气服务质量。</w:t>
            </w:r>
          </w:p>
        </w:tc>
      </w:tr>
      <w:tr w14:paraId="2BC159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DE1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C7B5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842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4986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EB7D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4C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164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539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45FB5">
            <w:pPr>
              <w:jc w:val="center"/>
            </w:pPr>
            <w:r>
              <w:rPr>
                <w:rFonts w:ascii="宋体" w:hAnsi="宋体" w:eastAsia="宋体"/>
                <w:sz w:val="16"/>
              </w:rPr>
              <w:t>得分</w:t>
            </w:r>
          </w:p>
        </w:tc>
      </w:tr>
      <w:tr w14:paraId="245BF3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2C67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D206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40BF">
            <w:pPr>
              <w:jc w:val="center"/>
            </w:pPr>
            <w:r>
              <w:rPr>
                <w:rFonts w:ascii="宋体" w:hAnsi="宋体" w:eastAsia="宋体"/>
                <w:sz w:val="16"/>
              </w:rPr>
              <w:t>开展人工影响天气作业次数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5EB0">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4BF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D1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28FC">
            <w:pPr>
              <w:jc w:val="center"/>
            </w:pPr>
            <w:r>
              <w:rPr>
                <w:rFonts w:ascii="宋体" w:hAnsi="宋体" w:eastAsia="宋体"/>
                <w:sz w:val="16"/>
              </w:rPr>
              <w:t>=34次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103EF">
            <w:pPr>
              <w:jc w:val="center"/>
            </w:pPr>
            <w:r>
              <w:rPr>
                <w:rFonts w:ascii="宋体" w:hAnsi="宋体" w:eastAsia="宋体"/>
                <w:sz w:val="16"/>
              </w:rPr>
              <w:t>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BCE3">
            <w:pPr>
              <w:jc w:val="center"/>
            </w:pPr>
            <w:r>
              <w:rPr>
                <w:rFonts w:ascii="宋体" w:hAnsi="宋体" w:eastAsia="宋体"/>
                <w:sz w:val="16"/>
              </w:rPr>
              <w:t>20</w:t>
            </w:r>
          </w:p>
        </w:tc>
      </w:tr>
      <w:tr w14:paraId="25D5E6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0C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711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B5BA9">
            <w:pPr>
              <w:jc w:val="center"/>
            </w:pPr>
            <w:r>
              <w:rPr>
                <w:rFonts w:ascii="宋体" w:hAnsi="宋体" w:eastAsia="宋体"/>
                <w:sz w:val="16"/>
              </w:rPr>
              <w:t>人工影响天气科研次数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054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828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21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28C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06C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B62D1">
            <w:pPr>
              <w:jc w:val="center"/>
            </w:pPr>
            <w:r>
              <w:rPr>
                <w:rFonts w:ascii="宋体" w:hAnsi="宋体" w:eastAsia="宋体"/>
                <w:sz w:val="16"/>
              </w:rPr>
              <w:t>20</w:t>
            </w:r>
          </w:p>
        </w:tc>
      </w:tr>
      <w:tr w14:paraId="3E3E9B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086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D3E8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75C7E">
            <w:pPr>
              <w:jc w:val="center"/>
            </w:pPr>
            <w:r>
              <w:rPr>
                <w:rFonts w:ascii="宋体" w:hAnsi="宋体" w:eastAsia="宋体"/>
                <w:sz w:val="16"/>
              </w:rPr>
              <w:t>作业人员岗前培训率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2EF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A7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BD1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5F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13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B972">
            <w:pPr>
              <w:jc w:val="center"/>
            </w:pPr>
            <w:r>
              <w:rPr>
                <w:rFonts w:ascii="宋体" w:hAnsi="宋体" w:eastAsia="宋体"/>
                <w:sz w:val="16"/>
              </w:rPr>
              <w:t>20</w:t>
            </w:r>
          </w:p>
        </w:tc>
      </w:tr>
      <w:tr w14:paraId="175C1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65E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C5F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773D">
            <w:pPr>
              <w:jc w:val="center"/>
            </w:pPr>
            <w:r>
              <w:rPr>
                <w:rFonts w:ascii="宋体" w:hAnsi="宋体" w:eastAsia="宋体"/>
                <w:sz w:val="16"/>
              </w:rPr>
              <w:t>规范生产保障率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D80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E1B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C4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CC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B50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A07A">
            <w:pPr>
              <w:jc w:val="center"/>
            </w:pPr>
            <w:r>
              <w:rPr>
                <w:rFonts w:ascii="宋体" w:hAnsi="宋体" w:eastAsia="宋体"/>
                <w:sz w:val="16"/>
              </w:rPr>
              <w:t>20</w:t>
            </w:r>
          </w:p>
        </w:tc>
      </w:tr>
      <w:tr w14:paraId="3AC932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925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586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409B7">
            <w:pPr>
              <w:jc w:val="center"/>
            </w:pPr>
            <w:r>
              <w:rPr>
                <w:rFonts w:ascii="宋体" w:hAnsi="宋体" w:eastAsia="宋体"/>
                <w:sz w:val="16"/>
              </w:rPr>
              <w:t>人员岗前培训覆盖率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FB8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8848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B2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3CA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66D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633F">
            <w:pPr>
              <w:jc w:val="center"/>
            </w:pPr>
            <w:r>
              <w:rPr>
                <w:rFonts w:ascii="宋体" w:hAnsi="宋体" w:eastAsia="宋体"/>
                <w:sz w:val="16"/>
              </w:rPr>
              <w:t>10</w:t>
            </w:r>
          </w:p>
        </w:tc>
      </w:tr>
    </w:tbl>
    <w:p w14:paraId="5BD5269A">
      <w:r>
        <w:br w:type="page"/>
      </w:r>
    </w:p>
    <w:p w14:paraId="2A3BF285">
      <w:pPr>
        <w:spacing w:line="640" w:lineRule="exact"/>
        <w:ind w:firstLine="640"/>
        <w:jc w:val="both"/>
        <w:outlineLvl w:val="2"/>
      </w:pPr>
      <w:r>
        <w:rPr>
          <w:rFonts w:ascii="黑体" w:hAnsi="黑体" w:eastAsia="黑体"/>
          <w:sz w:val="32"/>
        </w:rPr>
        <w:t>十二、其他需说明的事项</w:t>
      </w:r>
    </w:p>
    <w:p w14:paraId="2B828842">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D09D138">
      <w:r>
        <w:br w:type="page"/>
      </w:r>
    </w:p>
    <w:p w14:paraId="623C603B">
      <w:pPr>
        <w:spacing w:line="240" w:lineRule="auto"/>
        <w:jc w:val="center"/>
        <w:outlineLvl w:val="1"/>
      </w:pPr>
      <w:r>
        <w:rPr>
          <w:rFonts w:ascii="黑体" w:hAnsi="黑体" w:eastAsia="黑体"/>
          <w:sz w:val="32"/>
        </w:rPr>
        <w:t>第三部分 专业名词解释</w:t>
      </w:r>
    </w:p>
    <w:p w14:paraId="11D2CEF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5BC54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ABF9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88B6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48C00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5F725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C946B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FAEC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570FF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8CFBE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A165F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DA181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1303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EFCE7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A5798F">
      <w:r>
        <w:br w:type="page"/>
      </w:r>
    </w:p>
    <w:p w14:paraId="4D4E49DE">
      <w:pPr>
        <w:spacing w:line="240" w:lineRule="auto"/>
        <w:jc w:val="center"/>
        <w:outlineLvl w:val="1"/>
      </w:pPr>
      <w:r>
        <w:rPr>
          <w:rFonts w:ascii="黑体" w:hAnsi="黑体" w:eastAsia="黑体"/>
          <w:sz w:val="32"/>
        </w:rPr>
        <w:t>第四部分 部门决算报表（见附表）</w:t>
      </w:r>
    </w:p>
    <w:p w14:paraId="4136D33F">
      <w:pPr>
        <w:spacing w:line="240" w:lineRule="auto"/>
        <w:ind w:firstLine="640"/>
        <w:jc w:val="both"/>
      </w:pPr>
      <w:r>
        <w:rPr>
          <w:rFonts w:ascii="仿宋_GB2312" w:hAnsi="仿宋_GB2312" w:eastAsia="仿宋_GB2312"/>
          <w:b w:val="0"/>
          <w:sz w:val="32"/>
        </w:rPr>
        <w:t>一、《收入支出决算总表》</w:t>
      </w:r>
    </w:p>
    <w:p w14:paraId="54B8CFFF">
      <w:pPr>
        <w:spacing w:line="240" w:lineRule="auto"/>
        <w:ind w:firstLine="640"/>
        <w:jc w:val="both"/>
      </w:pPr>
      <w:r>
        <w:rPr>
          <w:rFonts w:ascii="仿宋_GB2312" w:hAnsi="仿宋_GB2312" w:eastAsia="仿宋_GB2312"/>
          <w:b w:val="0"/>
          <w:sz w:val="32"/>
        </w:rPr>
        <w:t>二、《收入决算表》</w:t>
      </w:r>
    </w:p>
    <w:p w14:paraId="33A4A9E0">
      <w:pPr>
        <w:spacing w:line="240" w:lineRule="auto"/>
        <w:ind w:firstLine="640"/>
        <w:jc w:val="both"/>
      </w:pPr>
      <w:r>
        <w:rPr>
          <w:rFonts w:ascii="仿宋_GB2312" w:hAnsi="仿宋_GB2312" w:eastAsia="仿宋_GB2312"/>
          <w:b w:val="0"/>
          <w:sz w:val="32"/>
        </w:rPr>
        <w:t>三、《支出决算表》</w:t>
      </w:r>
    </w:p>
    <w:p w14:paraId="038D481E">
      <w:pPr>
        <w:spacing w:line="240" w:lineRule="auto"/>
        <w:ind w:firstLine="640"/>
        <w:jc w:val="both"/>
      </w:pPr>
      <w:r>
        <w:rPr>
          <w:rFonts w:ascii="仿宋_GB2312" w:hAnsi="仿宋_GB2312" w:eastAsia="仿宋_GB2312"/>
          <w:b w:val="0"/>
          <w:sz w:val="32"/>
        </w:rPr>
        <w:t>四、《财政拨款收入支出决算总表》</w:t>
      </w:r>
    </w:p>
    <w:p w14:paraId="44A142D3">
      <w:pPr>
        <w:spacing w:line="240" w:lineRule="auto"/>
        <w:ind w:firstLine="640"/>
        <w:jc w:val="both"/>
      </w:pPr>
      <w:r>
        <w:rPr>
          <w:rFonts w:ascii="仿宋_GB2312" w:hAnsi="仿宋_GB2312" w:eastAsia="仿宋_GB2312"/>
          <w:b w:val="0"/>
          <w:sz w:val="32"/>
        </w:rPr>
        <w:t>五、《一般公共预算财政拨款支出决算表》</w:t>
      </w:r>
    </w:p>
    <w:p w14:paraId="46D30AD0">
      <w:pPr>
        <w:spacing w:line="240" w:lineRule="auto"/>
        <w:ind w:firstLine="640"/>
        <w:jc w:val="both"/>
      </w:pPr>
      <w:r>
        <w:rPr>
          <w:rFonts w:ascii="仿宋_GB2312" w:hAnsi="仿宋_GB2312" w:eastAsia="仿宋_GB2312"/>
          <w:b w:val="0"/>
          <w:sz w:val="32"/>
        </w:rPr>
        <w:t>六、《一般公共预算财政拨款基本支出决算表》</w:t>
      </w:r>
    </w:p>
    <w:p w14:paraId="0AFCAFD4">
      <w:pPr>
        <w:spacing w:line="240" w:lineRule="auto"/>
        <w:ind w:firstLine="640"/>
        <w:jc w:val="both"/>
      </w:pPr>
      <w:r>
        <w:rPr>
          <w:rFonts w:ascii="仿宋_GB2312" w:hAnsi="仿宋_GB2312" w:eastAsia="仿宋_GB2312"/>
          <w:b w:val="0"/>
          <w:sz w:val="32"/>
        </w:rPr>
        <w:t>七、《政府性基金预算财政拨款收入支出决算表》</w:t>
      </w:r>
    </w:p>
    <w:p w14:paraId="56869EBC">
      <w:pPr>
        <w:spacing w:line="240" w:lineRule="auto"/>
        <w:ind w:firstLine="640"/>
        <w:jc w:val="both"/>
      </w:pPr>
      <w:r>
        <w:rPr>
          <w:rFonts w:ascii="仿宋_GB2312" w:hAnsi="仿宋_GB2312" w:eastAsia="仿宋_GB2312"/>
          <w:b w:val="0"/>
          <w:sz w:val="32"/>
        </w:rPr>
        <w:t>八、《国有资本经营预算财政拨款收入支出决算表》</w:t>
      </w:r>
    </w:p>
    <w:p w14:paraId="467B642C">
      <w:pPr>
        <w:spacing w:line="240" w:lineRule="auto"/>
        <w:ind w:firstLine="640"/>
        <w:jc w:val="both"/>
      </w:pPr>
      <w:r>
        <w:rPr>
          <w:rFonts w:ascii="仿宋_GB2312" w:hAnsi="仿宋_GB2312" w:eastAsia="仿宋_GB2312"/>
          <w:b w:val="0"/>
          <w:sz w:val="32"/>
        </w:rPr>
        <w:t>九、《财政拨款“三公”经费支出决算表》</w:t>
      </w:r>
    </w:p>
    <w:p w14:paraId="71500EFF">
      <w:pPr>
        <w:spacing w:line="240" w:lineRule="auto"/>
        <w:ind w:firstLine="640"/>
        <w:jc w:val="both"/>
      </w:pPr>
    </w:p>
    <w:p w14:paraId="50CA601E">
      <w:pPr>
        <w:spacing w:line="240" w:lineRule="auto"/>
        <w:ind w:firstLine="640"/>
        <w:jc w:val="both"/>
      </w:pPr>
    </w:p>
    <w:p w14:paraId="192E1B2F">
      <w:pPr>
        <w:spacing w:line="240" w:lineRule="auto"/>
        <w:ind w:firstLine="640"/>
        <w:jc w:val="both"/>
      </w:pPr>
    </w:p>
    <w:p w14:paraId="69BEB4EF">
      <w:pPr>
        <w:spacing w:line="240" w:lineRule="auto"/>
        <w:ind w:firstLine="640"/>
        <w:jc w:val="both"/>
      </w:pPr>
    </w:p>
    <w:p w14:paraId="69D7909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FCD5E0-C1A1-4D8E-B7F9-DFC28E9E31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0123D11-BC23-40B2-9814-0BE281CA72BF}"/>
  </w:font>
  <w:font w:name="仿宋_GB2312">
    <w:panose1 w:val="02010609030101010101"/>
    <w:charset w:val="86"/>
    <w:family w:val="modern"/>
    <w:pitch w:val="default"/>
    <w:sig w:usb0="00000001" w:usb1="080E0000" w:usb2="00000000" w:usb3="00000000" w:csb0="00040000" w:csb1="00000000"/>
    <w:embedRegular r:id="rId3" w:fontKey="{98844388-55C5-45AD-A26F-2B85362D301B}"/>
  </w:font>
  <w:font w:name="楷体_GB2312">
    <w:panose1 w:val="02010609030101010101"/>
    <w:charset w:val="86"/>
    <w:family w:val="auto"/>
    <w:pitch w:val="default"/>
    <w:sig w:usb0="00000001" w:usb1="080E0000" w:usb2="00000000" w:usb3="00000000" w:csb0="00040000" w:csb1="00000000"/>
    <w:embedRegular r:id="rId4" w:fontKey="{C6BFB06F-91C8-439D-89C5-CC9D17C15CF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AE20DA"/>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6F2D00"/>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5888</Words>
  <Characters>6607</Characters>
  <Lines>0</Lines>
  <Paragraphs>0</Paragraphs>
  <TotalTime>2</TotalTime>
  <ScaleCrop>false</ScaleCrop>
  <LinksUpToDate>false</LinksUpToDate>
  <CharactersWithSpaces>6628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2025-09-05T05:17:24Z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