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英吉沙县种业发展中心2024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0B088C9">
      <w:r>
        <w:br w:type="page"/>
      </w:r>
    </w:p>
    <w:p w14:paraId="465C7CC2">
      <w:pPr>
        <w:spacing w:line="640" w:lineRule="exact"/>
        <w:jc w:val="center"/>
        <w:outlineLvl w:val="1"/>
      </w:pPr>
      <w:r>
        <w:rPr>
          <w:rFonts w:ascii="黑体" w:hAnsi="黑体" w:eastAsia="黑体"/>
          <w:sz w:val="32"/>
        </w:rPr>
        <w:t>第一部分 单位概况</w:t>
      </w:r>
    </w:p>
    <w:p w14:paraId="19CE2566">
      <w:pPr>
        <w:spacing w:line="640" w:lineRule="exact"/>
        <w:ind w:firstLine="640"/>
        <w:jc w:val="both"/>
        <w:outlineLvl w:val="2"/>
      </w:pPr>
      <w:r>
        <w:rPr>
          <w:rFonts w:ascii="黑体" w:hAnsi="黑体" w:eastAsia="黑体"/>
          <w:sz w:val="32"/>
        </w:rPr>
        <w:t>一、主要职能</w:t>
      </w:r>
    </w:p>
    <w:p w14:paraId="1E4C0E9E">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管理种子事宜，促进农业发展</w:t>
      </w:r>
      <w:r>
        <w:rPr>
          <w:rFonts w:hint="eastAsia" w:ascii="仿宋_GB2312" w:hAnsi="仿宋_GB2312" w:eastAsia="仿宋_GB2312"/>
          <w:sz w:val="32"/>
          <w:lang w:eastAsia="zh-CN"/>
        </w:rPr>
        <w:t>，贯彻落实</w:t>
      </w:r>
      <w:r>
        <w:rPr>
          <w:rFonts w:ascii="仿宋_GB2312" w:hAnsi="仿宋_GB2312" w:eastAsia="仿宋_GB2312"/>
          <w:sz w:val="32"/>
        </w:rPr>
        <w:t>国家和自治区有关种子的法律、法规、规章和方针政策。</w:t>
      </w:r>
    </w:p>
    <w:p w14:paraId="3FF28716">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研究提出</w:t>
      </w:r>
      <w:r>
        <w:rPr>
          <w:rFonts w:hint="eastAsia" w:ascii="仿宋_GB2312" w:hAnsi="仿宋_GB2312" w:eastAsia="仿宋_GB2312"/>
          <w:sz w:val="32"/>
          <w:lang w:eastAsia="zh-CN"/>
        </w:rPr>
        <w:t>并</w:t>
      </w:r>
      <w:r>
        <w:rPr>
          <w:rFonts w:ascii="仿宋_GB2312" w:hAnsi="仿宋_GB2312" w:eastAsia="仿宋_GB2312"/>
          <w:sz w:val="32"/>
        </w:rPr>
        <w:t>实施种子发展建设规划和年度计划。</w:t>
      </w:r>
    </w:p>
    <w:p w14:paraId="2B1F3221">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组织开展主要农作物品种审定推广前的</w:t>
      </w:r>
      <w:r>
        <w:rPr>
          <w:rFonts w:hint="eastAsia" w:ascii="仿宋_GB2312" w:hAnsi="仿宋_GB2312" w:eastAsia="仿宋_GB2312"/>
          <w:sz w:val="32"/>
          <w:lang w:eastAsia="zh-CN"/>
        </w:rPr>
        <w:t>试验</w:t>
      </w:r>
      <w:r>
        <w:rPr>
          <w:rFonts w:ascii="仿宋_GB2312" w:hAnsi="仿宋_GB2312" w:eastAsia="仿宋_GB2312"/>
          <w:sz w:val="32"/>
        </w:rPr>
        <w:t>以及品种真实性的鉴定</w:t>
      </w:r>
      <w:r>
        <w:rPr>
          <w:rFonts w:hint="eastAsia" w:ascii="仿宋_GB2312" w:hAnsi="仿宋_GB2312" w:eastAsia="仿宋_GB2312"/>
          <w:sz w:val="32"/>
          <w:lang w:eastAsia="zh-CN"/>
        </w:rPr>
        <w:t>、</w:t>
      </w:r>
      <w:r>
        <w:rPr>
          <w:rFonts w:ascii="仿宋_GB2312" w:hAnsi="仿宋_GB2312" w:eastAsia="仿宋_GB2312"/>
          <w:sz w:val="32"/>
        </w:rPr>
        <w:t>核发、管理种子生产</w:t>
      </w:r>
      <w:r>
        <w:rPr>
          <w:rFonts w:hint="eastAsia" w:ascii="仿宋_GB2312" w:hAnsi="仿宋_GB2312" w:eastAsia="仿宋_GB2312"/>
          <w:sz w:val="32"/>
          <w:lang w:eastAsia="zh-CN"/>
        </w:rPr>
        <w:t>、</w:t>
      </w:r>
      <w:r>
        <w:rPr>
          <w:rFonts w:ascii="仿宋_GB2312" w:hAnsi="仿宋_GB2312" w:eastAsia="仿宋_GB2312"/>
          <w:sz w:val="32"/>
        </w:rPr>
        <w:t>经营许可证，查处违法生产</w:t>
      </w:r>
      <w:r>
        <w:rPr>
          <w:rFonts w:hint="eastAsia" w:ascii="仿宋_GB2312" w:hAnsi="仿宋_GB2312" w:eastAsia="仿宋_GB2312"/>
          <w:sz w:val="32"/>
          <w:lang w:eastAsia="zh-CN"/>
        </w:rPr>
        <w:t>、</w:t>
      </w:r>
      <w:r>
        <w:rPr>
          <w:rFonts w:ascii="仿宋_GB2312" w:hAnsi="仿宋_GB2312" w:eastAsia="仿宋_GB2312"/>
          <w:sz w:val="32"/>
        </w:rPr>
        <w:t>经营种子的行为。</w:t>
      </w:r>
    </w:p>
    <w:p w14:paraId="7E201E6A">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负责农作物品种及种子生产、经营、质量的监督管理</w:t>
      </w:r>
      <w:r>
        <w:rPr>
          <w:rFonts w:hint="eastAsia" w:ascii="仿宋_GB2312" w:hAnsi="仿宋_GB2312" w:eastAsia="仿宋_GB2312"/>
          <w:sz w:val="32"/>
          <w:lang w:eastAsia="zh-CN"/>
        </w:rPr>
        <w:t>，组织</w:t>
      </w:r>
      <w:r>
        <w:rPr>
          <w:rFonts w:ascii="仿宋_GB2312" w:hAnsi="仿宋_GB2312" w:eastAsia="仿宋_GB2312"/>
          <w:sz w:val="32"/>
        </w:rPr>
        <w:t>开展种子质量的认证工作。</w:t>
      </w:r>
    </w:p>
    <w:p w14:paraId="7F719C73">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宣传种子法律法规，使生产、经营者守法生产、经营</w:t>
      </w:r>
      <w:r>
        <w:rPr>
          <w:rFonts w:hint="eastAsia" w:ascii="仿宋_GB2312" w:hAnsi="仿宋_GB2312" w:eastAsia="仿宋_GB2312"/>
          <w:sz w:val="32"/>
          <w:lang w:eastAsia="zh-CN"/>
        </w:rPr>
        <w:t>，维护</w:t>
      </w:r>
      <w:r>
        <w:rPr>
          <w:rFonts w:ascii="仿宋_GB2312" w:hAnsi="仿宋_GB2312" w:eastAsia="仿宋_GB2312"/>
          <w:sz w:val="32"/>
        </w:rPr>
        <w:t>使用者的合法权益。</w:t>
      </w:r>
    </w:p>
    <w:p w14:paraId="35BC8FC9">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法律、法规规定的其他职责。</w:t>
      </w:r>
    </w:p>
    <w:p w14:paraId="692F7999">
      <w:pPr>
        <w:spacing w:line="640" w:lineRule="exact"/>
        <w:ind w:firstLine="640"/>
        <w:jc w:val="both"/>
        <w:outlineLvl w:val="2"/>
      </w:pPr>
      <w:r>
        <w:rPr>
          <w:rFonts w:ascii="黑体" w:hAnsi="黑体" w:eastAsia="黑体"/>
          <w:sz w:val="32"/>
        </w:rPr>
        <w:t>二、机构设置及人员情况</w:t>
      </w:r>
    </w:p>
    <w:p w14:paraId="5A6E45E6">
      <w:pPr>
        <w:spacing w:line="580" w:lineRule="exact"/>
        <w:ind w:firstLine="640"/>
        <w:jc w:val="both"/>
      </w:pPr>
      <w:r>
        <w:rPr>
          <w:rFonts w:ascii="仿宋_GB2312" w:hAnsi="仿宋_GB2312" w:eastAsia="仿宋_GB2312"/>
          <w:sz w:val="32"/>
        </w:rPr>
        <w:t>英吉沙县种业发展中心2024年度，实有人数10人，其中：在职人员3人，增加0人；离休人员0人，增加0人；退休人员7人,增加0人。</w:t>
      </w:r>
    </w:p>
    <w:p w14:paraId="7793729A">
      <w:pPr>
        <w:spacing w:line="580" w:lineRule="exact"/>
        <w:ind w:firstLine="640"/>
        <w:jc w:val="both"/>
      </w:pPr>
      <w:r>
        <w:rPr>
          <w:rFonts w:ascii="仿宋_GB2312" w:hAnsi="仿宋_GB2312" w:eastAsia="仿宋_GB2312"/>
          <w:sz w:val="32"/>
        </w:rPr>
        <w:t>英吉沙县种业发展中心无下属预算单位，下设3个科室，分别是：办公室、财务室、业务室。</w:t>
      </w:r>
    </w:p>
    <w:p w14:paraId="2F3BB0AD">
      <w:r>
        <w:br w:type="page"/>
      </w:r>
    </w:p>
    <w:p w14:paraId="21D2234A">
      <w:pPr>
        <w:spacing w:line="240" w:lineRule="auto"/>
        <w:jc w:val="center"/>
        <w:outlineLvl w:val="1"/>
      </w:pPr>
      <w:r>
        <w:rPr>
          <w:rFonts w:ascii="黑体" w:hAnsi="黑体" w:eastAsia="黑体"/>
          <w:sz w:val="32"/>
        </w:rPr>
        <w:t>第二部分 部门决算情况说明</w:t>
      </w:r>
    </w:p>
    <w:p w14:paraId="27EC387D">
      <w:pPr>
        <w:spacing w:line="640" w:lineRule="exact"/>
        <w:ind w:firstLine="640"/>
        <w:jc w:val="both"/>
        <w:outlineLvl w:val="2"/>
      </w:pPr>
      <w:r>
        <w:rPr>
          <w:rFonts w:ascii="黑体" w:hAnsi="黑体" w:eastAsia="黑体"/>
          <w:sz w:val="32"/>
        </w:rPr>
        <w:t>一、收入支出决算总体情况说明</w:t>
      </w:r>
    </w:p>
    <w:p w14:paraId="3699DC31">
      <w:pPr>
        <w:spacing w:line="580" w:lineRule="exact"/>
        <w:ind w:firstLine="640"/>
        <w:jc w:val="both"/>
      </w:pPr>
      <w:r>
        <w:rPr>
          <w:rFonts w:ascii="仿宋_GB2312" w:hAnsi="仿宋_GB2312" w:eastAsia="仿宋_GB2312"/>
          <w:b/>
          <w:sz w:val="32"/>
        </w:rPr>
        <w:t>2024年度收入总计66.51万元，</w:t>
      </w:r>
      <w:r>
        <w:rPr>
          <w:rFonts w:ascii="仿宋_GB2312" w:hAnsi="仿宋_GB2312" w:eastAsia="仿宋_GB2312"/>
          <w:b w:val="0"/>
          <w:sz w:val="32"/>
        </w:rPr>
        <w:t>其中：本年收入合计66.51万元，使用非财政拨款结余（含专用结余）0.00万元，年初结转和结余0.00万元。</w:t>
      </w:r>
    </w:p>
    <w:p w14:paraId="60A7CDC2">
      <w:pPr>
        <w:spacing w:line="580" w:lineRule="exact"/>
        <w:ind w:firstLine="640"/>
        <w:jc w:val="both"/>
      </w:pPr>
      <w:r>
        <w:rPr>
          <w:rFonts w:ascii="仿宋_GB2312" w:hAnsi="仿宋_GB2312" w:eastAsia="仿宋_GB2312"/>
          <w:b/>
          <w:sz w:val="32"/>
        </w:rPr>
        <w:t>2024年度支出总计66.51万元，</w:t>
      </w:r>
      <w:r>
        <w:rPr>
          <w:rFonts w:ascii="仿宋_GB2312" w:hAnsi="仿宋_GB2312" w:eastAsia="仿宋_GB2312"/>
          <w:b w:val="0"/>
          <w:sz w:val="32"/>
        </w:rPr>
        <w:t>其中：本年支出合计66.51万元，结余分配0.00万元，年末结转和结余0.00万元。</w:t>
      </w:r>
    </w:p>
    <w:p w14:paraId="1CEBBDBB">
      <w:pPr>
        <w:spacing w:line="580" w:lineRule="exact"/>
        <w:ind w:firstLine="640"/>
        <w:jc w:val="both"/>
      </w:pPr>
      <w:r>
        <w:rPr>
          <w:rFonts w:ascii="仿宋_GB2312" w:hAnsi="仿宋_GB2312" w:eastAsia="仿宋_GB2312"/>
          <w:b w:val="0"/>
          <w:sz w:val="32"/>
        </w:rPr>
        <w:t>收入支出总体与上年相比，减少7.96万元，下降10.69%，主要原因是：上年度补发基础绩效奖工资，本年无此支出，导致本年经费支出较上年减少。</w:t>
      </w:r>
    </w:p>
    <w:p w14:paraId="50383EA9">
      <w:pPr>
        <w:spacing w:line="640" w:lineRule="exact"/>
        <w:ind w:firstLine="640"/>
        <w:jc w:val="both"/>
        <w:outlineLvl w:val="2"/>
      </w:pPr>
      <w:r>
        <w:rPr>
          <w:rFonts w:ascii="黑体" w:hAnsi="黑体" w:eastAsia="黑体"/>
          <w:sz w:val="32"/>
        </w:rPr>
        <w:t>二、收入决算情况说明</w:t>
      </w:r>
    </w:p>
    <w:p w14:paraId="54DE9E93">
      <w:pPr>
        <w:spacing w:line="580" w:lineRule="exact"/>
        <w:ind w:firstLine="640"/>
        <w:jc w:val="both"/>
      </w:pPr>
      <w:r>
        <w:rPr>
          <w:rFonts w:ascii="仿宋_GB2312" w:hAnsi="仿宋_GB2312" w:eastAsia="仿宋_GB2312"/>
          <w:b/>
          <w:sz w:val="32"/>
        </w:rPr>
        <w:t>本年收入66.51万元，</w:t>
      </w:r>
      <w:r>
        <w:rPr>
          <w:rFonts w:ascii="仿宋_GB2312" w:hAnsi="仿宋_GB2312" w:eastAsia="仿宋_GB2312"/>
          <w:b w:val="0"/>
          <w:sz w:val="32"/>
        </w:rPr>
        <w:t>其中：财政拨款收入66.51万元，占100.00%；上级补助收入0.00万元，占0.00%；事业收入0.00万元，占0.00%；经营收入0.00万元，占0.00%；附属单位上缴收入0.00万元，占0.00%；其他收入0.00万元，占0.00%。</w:t>
      </w:r>
    </w:p>
    <w:p w14:paraId="7DF39A89">
      <w:pPr>
        <w:spacing w:line="640" w:lineRule="exact"/>
        <w:ind w:firstLine="640"/>
        <w:jc w:val="both"/>
        <w:outlineLvl w:val="2"/>
      </w:pPr>
      <w:r>
        <w:rPr>
          <w:rFonts w:ascii="黑体" w:hAnsi="黑体" w:eastAsia="黑体"/>
          <w:sz w:val="32"/>
        </w:rPr>
        <w:t>三、支出决算情况说明</w:t>
      </w:r>
    </w:p>
    <w:p w14:paraId="40920505">
      <w:pPr>
        <w:spacing w:line="580" w:lineRule="exact"/>
        <w:ind w:firstLine="640"/>
        <w:jc w:val="both"/>
      </w:pPr>
      <w:r>
        <w:rPr>
          <w:rFonts w:ascii="仿宋_GB2312" w:hAnsi="仿宋_GB2312" w:eastAsia="仿宋_GB2312"/>
          <w:b/>
          <w:sz w:val="32"/>
        </w:rPr>
        <w:t>本年支出66.51万元，</w:t>
      </w:r>
      <w:r>
        <w:rPr>
          <w:rFonts w:ascii="仿宋_GB2312" w:hAnsi="仿宋_GB2312" w:eastAsia="仿宋_GB2312"/>
          <w:b w:val="0"/>
          <w:sz w:val="32"/>
        </w:rPr>
        <w:t>其中：基本支出66.51万元，占100.00%；项目支出0.00万元，占0.00%；上缴上级支出0.00万元，占0.00%；经营支出0.00万元，占0.00%；对附属单位补助支出0.00万元，占0.00%。</w:t>
      </w:r>
    </w:p>
    <w:p w14:paraId="21B66AE8">
      <w:pPr>
        <w:spacing w:line="640" w:lineRule="exact"/>
        <w:ind w:firstLine="640"/>
        <w:jc w:val="both"/>
        <w:outlineLvl w:val="2"/>
      </w:pPr>
      <w:r>
        <w:rPr>
          <w:rFonts w:ascii="黑体" w:hAnsi="黑体" w:eastAsia="黑体"/>
          <w:sz w:val="32"/>
        </w:rPr>
        <w:t>四、财政拨款收入支出决算总体情况说明</w:t>
      </w:r>
    </w:p>
    <w:p w14:paraId="23E61DEE">
      <w:pPr>
        <w:spacing w:line="580" w:lineRule="exact"/>
        <w:ind w:firstLine="640"/>
        <w:jc w:val="both"/>
      </w:pPr>
      <w:r>
        <w:rPr>
          <w:rFonts w:ascii="仿宋_GB2312" w:hAnsi="仿宋_GB2312" w:eastAsia="仿宋_GB2312"/>
          <w:b/>
          <w:sz w:val="32"/>
        </w:rPr>
        <w:t>2024年度财政拨款收入总计66.51万元，</w:t>
      </w:r>
      <w:r>
        <w:rPr>
          <w:rFonts w:ascii="仿宋_GB2312" w:hAnsi="仿宋_GB2312" w:eastAsia="仿宋_GB2312"/>
          <w:b w:val="0"/>
          <w:sz w:val="32"/>
        </w:rPr>
        <w:t>其中：年初财政拨款结转和结余0.00万元，本年财政拨款收入66.51万元。</w:t>
      </w:r>
      <w:r>
        <w:rPr>
          <w:rFonts w:ascii="仿宋_GB2312" w:hAnsi="仿宋_GB2312" w:eastAsia="仿宋_GB2312"/>
          <w:b/>
          <w:sz w:val="32"/>
        </w:rPr>
        <w:t>财政拨款支出总计66.51万元，</w:t>
      </w:r>
      <w:r>
        <w:rPr>
          <w:rFonts w:ascii="仿宋_GB2312" w:hAnsi="仿宋_GB2312" w:eastAsia="仿宋_GB2312"/>
          <w:b w:val="0"/>
          <w:sz w:val="32"/>
        </w:rPr>
        <w:t>其中：年末财政拨款结转和结余0.00万元，本年财政拨款支出66.51万元。</w:t>
      </w:r>
    </w:p>
    <w:p w14:paraId="3096EE4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减少7.96万元，下降10.69%，主要原因是：上年度补发基础绩效奖工资，本年无此支出，导致本年经费支出较上年减少。</w:t>
      </w:r>
      <w:r>
        <w:rPr>
          <w:rFonts w:ascii="仿宋_GB2312" w:hAnsi="仿宋_GB2312" w:eastAsia="仿宋_GB2312"/>
          <w:b/>
          <w:sz w:val="32"/>
        </w:rPr>
        <w:t>与年初预算相比，</w:t>
      </w:r>
      <w:r>
        <w:rPr>
          <w:rFonts w:ascii="仿宋_GB2312" w:hAnsi="仿宋_GB2312" w:eastAsia="仿宋_GB2312"/>
          <w:b w:val="0"/>
          <w:sz w:val="32"/>
        </w:rPr>
        <w:t>年初预算数67.74万元，决算数66.51万元，预决算差异率-1.82%，主要原因是：严格落实中央八项规定精神，厉行节约，减少不必要的开支。</w:t>
      </w:r>
    </w:p>
    <w:p w14:paraId="2861A1E2">
      <w:pPr>
        <w:spacing w:line="640" w:lineRule="exact"/>
        <w:ind w:firstLine="640"/>
        <w:jc w:val="both"/>
        <w:outlineLvl w:val="2"/>
      </w:pPr>
      <w:r>
        <w:rPr>
          <w:rFonts w:ascii="黑体" w:hAnsi="黑体" w:eastAsia="黑体"/>
          <w:sz w:val="32"/>
        </w:rPr>
        <w:t>五、一般公共预算财政拨款支出决算情况说明</w:t>
      </w:r>
    </w:p>
    <w:p w14:paraId="24FCB486">
      <w:pPr>
        <w:spacing w:line="640" w:lineRule="exact"/>
        <w:ind w:firstLine="640"/>
        <w:jc w:val="both"/>
        <w:outlineLvl w:val="3"/>
      </w:pPr>
      <w:r>
        <w:rPr>
          <w:rFonts w:ascii="楷体_GB2312" w:hAnsi="楷体_GB2312" w:eastAsia="楷体_GB2312"/>
          <w:b/>
          <w:sz w:val="32"/>
        </w:rPr>
        <w:t>（一）一般公共预算财政拨款支出决算总体情况</w:t>
      </w:r>
    </w:p>
    <w:p w14:paraId="62730BAA">
      <w:pPr>
        <w:spacing w:line="580" w:lineRule="exact"/>
        <w:ind w:firstLine="640"/>
        <w:jc w:val="both"/>
      </w:pPr>
      <w:r>
        <w:rPr>
          <w:rFonts w:ascii="仿宋_GB2312" w:hAnsi="仿宋_GB2312" w:eastAsia="仿宋_GB2312"/>
          <w:b/>
          <w:sz w:val="32"/>
        </w:rPr>
        <w:t>2024年度一般公共预算财政拨款支出66.51万元，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减少7.96万元，下降10.69%，主要原因是：上年度补发基础绩效奖工资，本年无此支出，导致本年经费支出较上年减少。</w:t>
      </w:r>
      <w:r>
        <w:rPr>
          <w:rFonts w:ascii="仿宋_GB2312" w:hAnsi="仿宋_GB2312" w:eastAsia="仿宋_GB2312"/>
          <w:b/>
          <w:sz w:val="32"/>
        </w:rPr>
        <w:t>与年初预算相比,</w:t>
      </w:r>
      <w:r>
        <w:rPr>
          <w:rFonts w:ascii="仿宋_GB2312" w:hAnsi="仿宋_GB2312" w:eastAsia="仿宋_GB2312"/>
          <w:b w:val="0"/>
          <w:sz w:val="32"/>
        </w:rPr>
        <w:t>年初预算数67.74万元，决算数66.51万元，预决算差异率-1.82%，主要原因是：严格落实中央八项规定精神，厉行节约，减少不必要的开支。</w:t>
      </w:r>
    </w:p>
    <w:p w14:paraId="4BECE317">
      <w:pPr>
        <w:spacing w:line="640" w:lineRule="exact"/>
        <w:ind w:firstLine="640"/>
        <w:jc w:val="both"/>
        <w:outlineLvl w:val="3"/>
      </w:pPr>
      <w:r>
        <w:rPr>
          <w:rFonts w:ascii="楷体_GB2312" w:hAnsi="楷体_GB2312" w:eastAsia="楷体_GB2312"/>
          <w:b/>
          <w:sz w:val="32"/>
        </w:rPr>
        <w:t>（二）一般公共预算财政拨款支出决算结构情况</w:t>
      </w:r>
    </w:p>
    <w:p w14:paraId="293C2AF6">
      <w:pPr>
        <w:spacing w:line="580" w:lineRule="exact"/>
        <w:ind w:firstLine="640"/>
        <w:jc w:val="both"/>
      </w:pPr>
      <w:r>
        <w:rPr>
          <w:rFonts w:ascii="仿宋_GB2312" w:hAnsi="仿宋_GB2312" w:eastAsia="仿宋_GB2312"/>
          <w:b w:val="0"/>
          <w:sz w:val="32"/>
        </w:rPr>
        <w:t>1.社会保障和就业支出(类)15.42万元,占23.18%。</w:t>
      </w:r>
    </w:p>
    <w:p w14:paraId="1F7265F3">
      <w:pPr>
        <w:spacing w:line="580" w:lineRule="exact"/>
        <w:ind w:firstLine="640"/>
        <w:jc w:val="both"/>
      </w:pPr>
      <w:r>
        <w:rPr>
          <w:rFonts w:ascii="仿宋_GB2312" w:hAnsi="仿宋_GB2312" w:eastAsia="仿宋_GB2312"/>
          <w:b w:val="0"/>
          <w:sz w:val="32"/>
        </w:rPr>
        <w:t>2.卫生健康支出(类)3.18万元,占4.78%。</w:t>
      </w:r>
    </w:p>
    <w:p w14:paraId="2B672C94">
      <w:pPr>
        <w:spacing w:line="580" w:lineRule="exact"/>
        <w:ind w:firstLine="640"/>
        <w:jc w:val="both"/>
      </w:pPr>
      <w:r>
        <w:rPr>
          <w:rFonts w:ascii="仿宋_GB2312" w:hAnsi="仿宋_GB2312" w:eastAsia="仿宋_GB2312"/>
          <w:b w:val="0"/>
          <w:sz w:val="32"/>
        </w:rPr>
        <w:t>3.农林水支出(类)43.38万元,占65.22%。</w:t>
      </w:r>
    </w:p>
    <w:p w14:paraId="575E46F5">
      <w:pPr>
        <w:spacing w:line="580" w:lineRule="exact"/>
        <w:ind w:firstLine="640"/>
        <w:jc w:val="both"/>
      </w:pPr>
      <w:r>
        <w:rPr>
          <w:rFonts w:ascii="仿宋_GB2312" w:hAnsi="仿宋_GB2312" w:eastAsia="仿宋_GB2312"/>
          <w:b w:val="0"/>
          <w:sz w:val="32"/>
        </w:rPr>
        <w:t>4.住房保障支出(类)4.53万元,占6.81%。</w:t>
      </w:r>
    </w:p>
    <w:p w14:paraId="323E5A48">
      <w:pPr>
        <w:spacing w:line="640" w:lineRule="exact"/>
        <w:ind w:firstLine="640"/>
        <w:jc w:val="both"/>
        <w:outlineLvl w:val="3"/>
      </w:pPr>
      <w:r>
        <w:rPr>
          <w:rFonts w:ascii="楷体_GB2312" w:hAnsi="楷体_GB2312" w:eastAsia="楷体_GB2312"/>
          <w:b/>
          <w:sz w:val="32"/>
        </w:rPr>
        <w:t>（三）一般公共预算财政拨款支出决算具体情况</w:t>
      </w:r>
    </w:p>
    <w:p w14:paraId="4501D09A">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1.社会保障和就业支出(类)行政事业单位养老支出(款)行政单位离退休(项):支出决算数为9.63万元，比上年决算增加2.38万元，增长32.83%,主要原因是：本年增加退休人员基础绩效奖，退休费支出增加。</w:t>
      </w:r>
    </w:p>
    <w:p w14:paraId="709A76A0">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5.79万元，比上年决算增加0.87万元，增长17.68%,主要原因是：本年在职人员工资基数调增，养老缴费基数上涨，相应支出增加。</w:t>
      </w:r>
    </w:p>
    <w:p w14:paraId="006C9FAD">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1.87万元，下降100.00%,主要原因是：本年功能科目调整，机关事业单位职业年金缴费上年度单独列支，本年调整至主科目列支，导致经费较上年减少。</w:t>
      </w:r>
    </w:p>
    <w:p w14:paraId="5A361584">
      <w:pPr>
        <w:spacing w:line="580" w:lineRule="exact"/>
        <w:ind w:firstLine="640"/>
        <w:jc w:val="both"/>
      </w:pPr>
      <w:r>
        <w:rPr>
          <w:rFonts w:ascii="仿宋_GB2312" w:hAnsi="仿宋_GB2312" w:eastAsia="仿宋_GB2312"/>
          <w:b w:val="0"/>
          <w:sz w:val="32"/>
        </w:rPr>
        <w:t>4.卫生健康支出(类)行政事业单位医疗(款)行政单位医疗(项):支出决算数为2.46万元，比上年决算减少2.56万元，下降51.00%,主要原因是：因退休人员医疗保险制度改革，退休人员基本医疗不再由单位缴纳，导致经费较上年减少。</w:t>
      </w:r>
    </w:p>
    <w:p w14:paraId="473D2E94">
      <w:pPr>
        <w:spacing w:line="580" w:lineRule="exact"/>
        <w:ind w:firstLine="640"/>
        <w:jc w:val="both"/>
      </w:pPr>
      <w:r>
        <w:rPr>
          <w:rFonts w:ascii="仿宋_GB2312" w:hAnsi="仿宋_GB2312" w:eastAsia="仿宋_GB2312"/>
          <w:b w:val="0"/>
          <w:sz w:val="32"/>
        </w:rPr>
        <w:t>5.卫生健康支出(类)行政事业单位医疗(款)公务员医疗补助(项):支出决算数为0.72万元，比上年决算减少0.62万元，下降46.27%,主要原因是：因退休人员医疗保险制度改革，退休人员基本医疗不再由单位缴纳，导致经费较上年减少。</w:t>
      </w:r>
    </w:p>
    <w:p w14:paraId="24258670">
      <w:pPr>
        <w:spacing w:line="580" w:lineRule="exact"/>
        <w:ind w:firstLine="640"/>
        <w:jc w:val="both"/>
      </w:pPr>
      <w:r>
        <w:rPr>
          <w:rFonts w:ascii="仿宋_GB2312" w:hAnsi="仿宋_GB2312" w:eastAsia="仿宋_GB2312"/>
          <w:b w:val="0"/>
          <w:sz w:val="32"/>
        </w:rPr>
        <w:t>6.农林水支出(类)农业农村(款)行政运行(项):支出决算数为43.38万元，比上年决算减少6.55万元，下降13.12%,主要原因是：上年度补发基础绩效奖工资，本年无此支出，导致经费与上年相比减少。</w:t>
      </w:r>
    </w:p>
    <w:p w14:paraId="5AD7171E">
      <w:pPr>
        <w:spacing w:line="580" w:lineRule="exact"/>
        <w:ind w:firstLine="640"/>
        <w:jc w:val="both"/>
      </w:pPr>
      <w:r>
        <w:rPr>
          <w:rFonts w:ascii="仿宋_GB2312" w:hAnsi="仿宋_GB2312" w:eastAsia="仿宋_GB2312"/>
          <w:b w:val="0"/>
          <w:sz w:val="32"/>
        </w:rPr>
        <w:t>7.住房保障支出(类)住房改革支出(款)住房公积金(项):支出决算数为4.53万元，比上年决算增加0.39万元，增长9.42%,主要原因是：本年在职人员工资基数调增，公积金缴费基数上涨，相应支出增加。</w:t>
      </w:r>
    </w:p>
    <w:p w14:paraId="191A3721">
      <w:pPr>
        <w:spacing w:line="640" w:lineRule="exact"/>
        <w:ind w:firstLine="640"/>
        <w:jc w:val="both"/>
        <w:outlineLvl w:val="2"/>
      </w:pPr>
      <w:r>
        <w:rPr>
          <w:rFonts w:ascii="黑体" w:hAnsi="黑体" w:eastAsia="黑体"/>
          <w:sz w:val="32"/>
        </w:rPr>
        <w:t>六、一般公共预算财政拨款基本支出决算情况说明</w:t>
      </w:r>
    </w:p>
    <w:p w14:paraId="190F6745">
      <w:pPr>
        <w:spacing w:line="580" w:lineRule="exact"/>
        <w:ind w:firstLine="640"/>
        <w:jc w:val="both"/>
      </w:pPr>
      <w:r>
        <w:rPr>
          <w:rFonts w:ascii="仿宋_GB2312" w:hAnsi="仿宋_GB2312" w:eastAsia="仿宋_GB2312"/>
          <w:b w:val="0"/>
          <w:sz w:val="32"/>
        </w:rPr>
        <w:t>2024年度一般公共预算财政拨款基本支出66.51万元，其中：</w:t>
      </w:r>
      <w:r>
        <w:rPr>
          <w:rFonts w:ascii="仿宋_GB2312" w:hAnsi="仿宋_GB2312" w:eastAsia="仿宋_GB2312"/>
          <w:b/>
          <w:sz w:val="32"/>
        </w:rPr>
        <w:t>人员经费65.55万元，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包括：基本工资、津贴补贴、奖金、机关事业单位基本养老保险缴费、职工基本医疗保险缴费、公务员医疗补助缴费、其他社会保障缴费、住房公积金、退休费、生活补助。</w:t>
      </w:r>
    </w:p>
    <w:p w14:paraId="7028090A">
      <w:pPr>
        <w:spacing w:line="580" w:lineRule="exact"/>
        <w:ind w:firstLine="640"/>
        <w:jc w:val="both"/>
      </w:pPr>
      <w:r>
        <w:rPr>
          <w:rFonts w:ascii="仿宋_GB2312" w:hAnsi="仿宋_GB2312" w:eastAsia="仿宋_GB2312"/>
          <w:b/>
          <w:sz w:val="32"/>
        </w:rPr>
        <w:t>公用经费0.96万元，</w:t>
      </w:r>
      <w:r>
        <w:rPr>
          <w:rFonts w:ascii="仿宋_GB2312" w:hAnsi="仿宋_GB2312" w:eastAsia="仿宋_GB2312"/>
          <w:b w:val="0"/>
          <w:sz w:val="32"/>
        </w:rPr>
        <w:t>包括：办公费、电费、邮电费、差旅费。</w:t>
      </w:r>
    </w:p>
    <w:p w14:paraId="1D073D77">
      <w:pPr>
        <w:spacing w:line="640" w:lineRule="exact"/>
        <w:ind w:firstLine="640"/>
        <w:jc w:val="both"/>
        <w:outlineLvl w:val="2"/>
      </w:pPr>
      <w:r>
        <w:rPr>
          <w:rFonts w:ascii="黑体" w:hAnsi="黑体" w:eastAsia="黑体"/>
          <w:sz w:val="32"/>
        </w:rPr>
        <w:t>七、政府性基金预算财政拨款收入支出决算情况说明</w:t>
      </w:r>
    </w:p>
    <w:p w14:paraId="4E8EFE7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9B7FC8A">
      <w:pPr>
        <w:spacing w:line="640" w:lineRule="exact"/>
        <w:ind w:firstLine="640"/>
        <w:jc w:val="both"/>
        <w:outlineLvl w:val="2"/>
      </w:pPr>
      <w:r>
        <w:rPr>
          <w:rFonts w:ascii="黑体" w:hAnsi="黑体" w:eastAsia="黑体"/>
          <w:sz w:val="32"/>
        </w:rPr>
        <w:t>八、国有资本经营预算财政拨款收入支出决算情况说明</w:t>
      </w:r>
    </w:p>
    <w:p w14:paraId="1CEF8DB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A64FC68">
      <w:pPr>
        <w:spacing w:line="640" w:lineRule="exact"/>
        <w:ind w:firstLine="640"/>
        <w:jc w:val="both"/>
        <w:outlineLvl w:val="2"/>
      </w:pPr>
      <w:r>
        <w:rPr>
          <w:rFonts w:ascii="黑体" w:hAnsi="黑体" w:eastAsia="黑体"/>
          <w:sz w:val="32"/>
        </w:rPr>
        <w:t>九、财政拨款“三公”经费支出决算情况说明</w:t>
      </w:r>
    </w:p>
    <w:p w14:paraId="12539EF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44B9EA7">
      <w:pPr>
        <w:spacing w:line="580" w:lineRule="exact"/>
        <w:ind w:firstLine="640"/>
        <w:jc w:val="both"/>
      </w:pPr>
      <w:r>
        <w:rPr>
          <w:rFonts w:ascii="仿宋_GB2312" w:hAnsi="仿宋_GB2312" w:eastAsia="仿宋_GB2312"/>
          <w:b/>
          <w:sz w:val="32"/>
        </w:rPr>
        <w:t>具体情况如下：</w:t>
      </w:r>
    </w:p>
    <w:p w14:paraId="299EC42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C3BC76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74DEEA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67D3B9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29F9EA5">
      <w:pPr>
        <w:spacing w:line="640" w:lineRule="exact"/>
        <w:ind w:firstLine="640"/>
        <w:jc w:val="both"/>
        <w:outlineLvl w:val="2"/>
      </w:pPr>
      <w:r>
        <w:rPr>
          <w:rFonts w:ascii="黑体" w:hAnsi="黑体" w:eastAsia="黑体"/>
          <w:sz w:val="32"/>
        </w:rPr>
        <w:t>十、其他重要事项的情况说明</w:t>
      </w:r>
    </w:p>
    <w:p w14:paraId="403ECF75">
      <w:pPr>
        <w:spacing w:line="640" w:lineRule="exact"/>
        <w:ind w:firstLine="640"/>
        <w:jc w:val="both"/>
        <w:outlineLvl w:val="3"/>
      </w:pPr>
      <w:r>
        <w:rPr>
          <w:rFonts w:ascii="楷体_GB2312" w:hAnsi="楷体_GB2312" w:eastAsia="楷体_GB2312"/>
          <w:b/>
          <w:sz w:val="32"/>
        </w:rPr>
        <w:t>（一）机关运行经费及公用经费支出情况</w:t>
      </w:r>
    </w:p>
    <w:p w14:paraId="1F91CF6F">
      <w:pPr>
        <w:spacing w:line="580" w:lineRule="exact"/>
        <w:ind w:firstLine="640"/>
        <w:jc w:val="both"/>
      </w:pPr>
      <w:r>
        <w:rPr>
          <w:rFonts w:ascii="仿宋_GB2312" w:hAnsi="仿宋_GB2312" w:eastAsia="仿宋_GB2312"/>
          <w:b w:val="0"/>
          <w:sz w:val="32"/>
        </w:rPr>
        <w:t>2024年度英吉沙县种业发展中心（行政单位和参照公务员法管理事业单位）机关运行经费支出0.96万元，比上年增加0.36万元，增长60.00%，主要原因是：本年度开通基本户，补交2013年至今的账户维护费，故公用经费较上年增加。</w:t>
      </w:r>
    </w:p>
    <w:p w14:paraId="34181496">
      <w:pPr>
        <w:spacing w:line="640" w:lineRule="exact"/>
        <w:ind w:firstLine="640"/>
        <w:jc w:val="both"/>
        <w:outlineLvl w:val="3"/>
      </w:pPr>
      <w:r>
        <w:rPr>
          <w:rFonts w:ascii="楷体_GB2312" w:hAnsi="楷体_GB2312" w:eastAsia="楷体_GB2312"/>
          <w:b/>
          <w:sz w:val="32"/>
        </w:rPr>
        <w:t>（二）政府采购情况</w:t>
      </w:r>
    </w:p>
    <w:p w14:paraId="11517472">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373A72A1">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D631227">
      <w:pPr>
        <w:spacing w:line="640" w:lineRule="exact"/>
        <w:ind w:firstLine="640"/>
        <w:jc w:val="both"/>
        <w:outlineLvl w:val="3"/>
      </w:pPr>
      <w:r>
        <w:rPr>
          <w:rFonts w:ascii="楷体_GB2312" w:hAnsi="楷体_GB2312" w:eastAsia="楷体_GB2312"/>
          <w:b/>
          <w:sz w:val="32"/>
        </w:rPr>
        <w:t>（三）国有资产占用情况说明</w:t>
      </w:r>
    </w:p>
    <w:p w14:paraId="36042914">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13C9AC3">
      <w:pPr>
        <w:spacing w:line="640" w:lineRule="exact"/>
        <w:ind w:firstLine="640"/>
        <w:jc w:val="both"/>
        <w:outlineLvl w:val="2"/>
      </w:pPr>
      <w:r>
        <w:rPr>
          <w:rFonts w:ascii="黑体" w:hAnsi="黑体" w:eastAsia="黑体"/>
          <w:sz w:val="32"/>
        </w:rPr>
        <w:t>十一、预算绩效的情况说明</w:t>
      </w:r>
    </w:p>
    <w:p w14:paraId="2218CE3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66.51万元，实际执行总额66.51万元；预算绩效评价项目0个，全年预算数0.00万元，全年执行数0.00万元。预算绩效管理取得的成效：本单位无项目绩效自评表。发现的问题及原因：本单位无项目绩效自评表。下一步改进措施：本单位无项目绩效自评表。具体附整体支出绩效自评表。</w:t>
      </w:r>
    </w:p>
    <w:p w14:paraId="3AF8067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8CB2921">
        <w:tblPrEx>
          <w:tblCellMar>
            <w:top w:w="0" w:type="dxa"/>
            <w:left w:w="108" w:type="dxa"/>
            <w:bottom w:w="0" w:type="dxa"/>
            <w:right w:w="108" w:type="dxa"/>
          </w:tblCellMar>
        </w:tblPrEx>
        <w:tc>
          <w:tcPr>
            <w:tcW w:w="8847" w:type="dxa"/>
            <w:gridSpan w:val="9"/>
            <w:vAlign w:val="center"/>
          </w:tcPr>
          <w:p w14:paraId="0958AA67">
            <w:pPr>
              <w:jc w:val="center"/>
            </w:pPr>
            <w:r>
              <w:rPr>
                <w:rFonts w:ascii="宋体" w:hAnsi="宋体" w:eastAsia="宋体"/>
                <w:sz w:val="24"/>
              </w:rPr>
              <w:t>单位整体支出绩效自评表</w:t>
            </w:r>
          </w:p>
        </w:tc>
      </w:tr>
      <w:tr w14:paraId="64BACB5B">
        <w:tblPrEx>
          <w:tblCellMar>
            <w:top w:w="0" w:type="dxa"/>
            <w:left w:w="108" w:type="dxa"/>
            <w:bottom w:w="0" w:type="dxa"/>
            <w:right w:w="108" w:type="dxa"/>
          </w:tblCellMar>
        </w:tblPrEx>
        <w:tc>
          <w:tcPr>
            <w:tcW w:w="8847" w:type="dxa"/>
            <w:gridSpan w:val="9"/>
            <w:vAlign w:val="center"/>
          </w:tcPr>
          <w:p w14:paraId="2A934E67">
            <w:pPr>
              <w:jc w:val="center"/>
            </w:pPr>
            <w:r>
              <w:rPr>
                <w:rFonts w:ascii="宋体" w:hAnsi="宋体" w:eastAsia="宋体"/>
                <w:sz w:val="24"/>
              </w:rPr>
              <w:t>（2024年度）</w:t>
            </w:r>
          </w:p>
        </w:tc>
      </w:tr>
      <w:tr w14:paraId="3B5079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7F1B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D5DE456">
            <w:pPr>
              <w:jc w:val="center"/>
            </w:pPr>
            <w:r>
              <w:rPr>
                <w:rFonts w:ascii="宋体" w:hAnsi="宋体" w:eastAsia="宋体"/>
                <w:sz w:val="16"/>
              </w:rPr>
              <w:t>英吉沙县种业发展中心</w:t>
            </w:r>
          </w:p>
        </w:tc>
      </w:tr>
      <w:tr w14:paraId="50D0DF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AFA87">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9A2C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B998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0E7C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6224B">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3557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C7E65">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9C05D">
            <w:pPr>
              <w:jc w:val="center"/>
            </w:pPr>
            <w:r>
              <w:rPr>
                <w:rFonts w:ascii="宋体" w:hAnsi="宋体" w:eastAsia="宋体"/>
                <w:sz w:val="16"/>
              </w:rPr>
              <w:t>得分</w:t>
            </w:r>
          </w:p>
        </w:tc>
      </w:tr>
      <w:tr w14:paraId="33DBC4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FB4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0B2B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078E9">
            <w:pPr>
              <w:jc w:val="center"/>
            </w:pPr>
            <w:r>
              <w:rPr>
                <w:rFonts w:ascii="宋体" w:hAnsi="宋体" w:eastAsia="宋体"/>
                <w:sz w:val="16"/>
              </w:rPr>
              <w:t>67.74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BD222">
            <w:pPr>
              <w:jc w:val="center"/>
            </w:pPr>
            <w:r>
              <w:rPr>
                <w:rFonts w:ascii="宋体" w:hAnsi="宋体" w:eastAsia="宋体"/>
                <w:sz w:val="16"/>
              </w:rPr>
              <w:t>66.51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D9B7D">
            <w:pPr>
              <w:jc w:val="center"/>
            </w:pPr>
            <w:r>
              <w:rPr>
                <w:rFonts w:ascii="宋体" w:hAnsi="宋体" w:eastAsia="宋体"/>
                <w:sz w:val="16"/>
              </w:rPr>
              <w:t>66.51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EDC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80353">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32DE5">
            <w:pPr>
              <w:jc w:val="center"/>
            </w:pPr>
            <w:r>
              <w:rPr>
                <w:rFonts w:ascii="宋体" w:hAnsi="宋体" w:eastAsia="宋体"/>
                <w:sz w:val="16"/>
              </w:rPr>
              <w:t>10</w:t>
            </w:r>
          </w:p>
        </w:tc>
      </w:tr>
      <w:tr w14:paraId="779757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120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F874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956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F97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02A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E2E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689B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E0341">
            <w:pPr>
              <w:jc w:val="center"/>
            </w:pPr>
            <w:r>
              <w:rPr>
                <w:rFonts w:ascii="宋体" w:hAnsi="宋体" w:eastAsia="宋体"/>
                <w:sz w:val="16"/>
              </w:rPr>
              <w:t>—</w:t>
            </w:r>
          </w:p>
        </w:tc>
      </w:tr>
      <w:tr w14:paraId="5E7A81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51E3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0993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C1E05">
            <w:pPr>
              <w:jc w:val="center"/>
            </w:pPr>
            <w:r>
              <w:rPr>
                <w:rFonts w:ascii="宋体" w:hAnsi="宋体" w:eastAsia="宋体"/>
                <w:sz w:val="16"/>
              </w:rPr>
              <w:t>67.74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E7175">
            <w:pPr>
              <w:jc w:val="center"/>
            </w:pPr>
            <w:r>
              <w:rPr>
                <w:rFonts w:ascii="宋体" w:hAnsi="宋体" w:eastAsia="宋体"/>
                <w:sz w:val="16"/>
              </w:rPr>
              <w:t>66.51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D2B53">
            <w:pPr>
              <w:jc w:val="center"/>
            </w:pPr>
            <w:r>
              <w:rPr>
                <w:rFonts w:ascii="宋体" w:hAnsi="宋体" w:eastAsia="宋体"/>
                <w:sz w:val="16"/>
              </w:rPr>
              <w:t>66.51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09A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8B28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33F29">
            <w:pPr>
              <w:jc w:val="center"/>
            </w:pPr>
            <w:r>
              <w:rPr>
                <w:rFonts w:ascii="宋体" w:hAnsi="宋体" w:eastAsia="宋体"/>
                <w:sz w:val="16"/>
              </w:rPr>
              <w:t>—</w:t>
            </w:r>
          </w:p>
        </w:tc>
      </w:tr>
      <w:tr w14:paraId="316179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6C1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73C2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C61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973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B5A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C99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9E98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50438">
            <w:pPr>
              <w:jc w:val="center"/>
            </w:pPr>
            <w:r>
              <w:rPr>
                <w:rFonts w:ascii="宋体" w:hAnsi="宋体" w:eastAsia="宋体"/>
                <w:sz w:val="16"/>
              </w:rPr>
              <w:t>—</w:t>
            </w:r>
          </w:p>
        </w:tc>
      </w:tr>
      <w:tr w14:paraId="0D1B49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65D8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DAAD4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7A1B23">
            <w:pPr>
              <w:jc w:val="center"/>
            </w:pPr>
            <w:r>
              <w:rPr>
                <w:rFonts w:ascii="宋体" w:hAnsi="宋体" w:eastAsia="宋体"/>
                <w:sz w:val="16"/>
              </w:rPr>
              <w:t>实际完成情况</w:t>
            </w:r>
          </w:p>
        </w:tc>
      </w:tr>
      <w:tr w14:paraId="41C79B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171A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3A0B51">
            <w:pPr>
              <w:jc w:val="both"/>
            </w:pPr>
            <w:r>
              <w:rPr>
                <w:rFonts w:ascii="宋体" w:hAnsi="宋体" w:eastAsia="宋体"/>
                <w:sz w:val="16"/>
              </w:rPr>
              <w:t>引进种业龙头企业建立健全商业化育种体系，加强制种基地和良种繁育体系建设，促进育繁推</w:t>
            </w:r>
            <w:r>
              <w:rPr>
                <w:rFonts w:hint="eastAsia" w:ascii="宋体" w:hAnsi="宋体"/>
                <w:sz w:val="16"/>
                <w:lang w:val="en-US" w:eastAsia="zh-CN"/>
              </w:rPr>
              <w:t>广</w:t>
            </w:r>
            <w:bookmarkStart w:id="0" w:name="_GoBack"/>
            <w:bookmarkEnd w:id="0"/>
            <w:r>
              <w:rPr>
                <w:rFonts w:ascii="宋体" w:hAnsi="宋体" w:eastAsia="宋体"/>
                <w:sz w:val="16"/>
              </w:rPr>
              <w:t>发展。构建以产业为主导、企业为主体、基地为依托、产学研相结合、“育繁”的现代农作物种业体系，全面提升英吉沙县农作物种业发展水平。2024年，全县建设小麦制种基地1.5万亩以上，其中穗行圃20亩、穗系圃60亩、原种田1100亩、大田用种13820亩；建设</w:t>
            </w:r>
            <w:r>
              <w:rPr>
                <w:rFonts w:hint="eastAsia" w:ascii="宋体" w:hAnsi="宋体"/>
                <w:sz w:val="16"/>
                <w:lang w:eastAsia="zh-CN"/>
              </w:rPr>
              <w:t>null</w:t>
            </w:r>
            <w:r>
              <w:rPr>
                <w:rFonts w:ascii="宋体" w:hAnsi="宋体" w:eastAsia="宋体"/>
                <w:sz w:val="16"/>
              </w:rPr>
              <w:t>良种繁育基地1.5万亩以上；全县共有种子门店60余家，今年上半年种业大数据平台网上申请备案422条（其中委托生产备案34条、委托代销备案218条、经营不分装备案53条，因备案错误、材料不全或者不符合条件等原因，退回备案117条）、变更生产经营许可1条；为农民提供法律知识，集中宣讲《中华人民共和国种子法</w:t>
            </w:r>
            <w:r>
              <w:rPr>
                <w:rFonts w:hint="eastAsia" w:ascii="宋体" w:hAnsi="宋体"/>
                <w:sz w:val="16"/>
                <w:lang w:eastAsia="zh-CN"/>
              </w:rPr>
              <w:t>》《</w:t>
            </w:r>
            <w:r>
              <w:rPr>
                <w:rFonts w:ascii="宋体" w:hAnsi="宋体" w:eastAsia="宋体"/>
                <w:sz w:val="16"/>
              </w:rPr>
              <w:t>新疆维吾尔自治区农作物种子管理条例》《如何选购放心种子》等宣传10次。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A5BAE7">
            <w:pPr>
              <w:jc w:val="both"/>
            </w:pPr>
            <w:r>
              <w:rPr>
                <w:rFonts w:ascii="宋体" w:hAnsi="宋体" w:eastAsia="宋体"/>
                <w:sz w:val="16"/>
              </w:rPr>
              <w:t>英吉沙县种业发展中心积极进取，围绕现代种业发展、市场拓展、资源保护及技术服务等核心任务，2024年度完成建设经济作物良种繁育基地面积小麦制种面积已达到1.5万亩，生产小麦种子8000吨以上，做到统一精选、统一包装，小麦种子自给率达到100%。建设经济作物良种繁育基地1.5万亩，可生产种子0.19万吨，逐步解决</w:t>
            </w:r>
            <w:r>
              <w:rPr>
                <w:rFonts w:hint="eastAsia" w:ascii="宋体" w:hAnsi="宋体"/>
                <w:sz w:val="16"/>
                <w:lang w:eastAsia="zh-CN"/>
              </w:rPr>
              <w:t>null</w:t>
            </w:r>
            <w:r>
              <w:rPr>
                <w:rFonts w:ascii="宋体" w:hAnsi="宋体" w:eastAsia="宋体"/>
                <w:sz w:val="16"/>
              </w:rPr>
              <w:t>用种过于依赖外调的局面。建设大豆良种扩繁基地400亩，满足全县“稳粮扩豆”战略布局。开展农业综合执法检查75次，对辖区内的种子生产基地的检查覆盖率达到100%；种子生产经营备案效率不断提高，种子生产经营实现全程网上备案，为农作物种子生产经营者提供了极大的便利。2024年，全县种子生产经营网上备案661个，同比增加356个，增幅46%。开展10次宣传活动，提高种子生产经营主体和广大群众的植物新品种保护意识，形成打击植物新品种侵权假冒行为的舆论氛围和高压态势，积极引导全社会尊重知识产权，合法使用植物新品种。</w:t>
            </w:r>
          </w:p>
        </w:tc>
      </w:tr>
      <w:tr w14:paraId="2E084E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1D04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B61D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2A85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224F9">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E531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5FBA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F4C8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CE001">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7F169">
            <w:pPr>
              <w:jc w:val="center"/>
            </w:pPr>
            <w:r>
              <w:rPr>
                <w:rFonts w:ascii="宋体" w:hAnsi="宋体" w:eastAsia="宋体"/>
                <w:sz w:val="16"/>
              </w:rPr>
              <w:t>得分</w:t>
            </w:r>
          </w:p>
        </w:tc>
      </w:tr>
      <w:tr w14:paraId="36CDD8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ABD4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F9AD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74C4B">
            <w:pPr>
              <w:jc w:val="center"/>
            </w:pPr>
            <w:r>
              <w:rPr>
                <w:rFonts w:ascii="宋体" w:hAnsi="宋体" w:eastAsia="宋体"/>
                <w:sz w:val="16"/>
              </w:rPr>
              <w:t>农业综合执法检查次数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D34B2">
            <w:pPr>
              <w:jc w:val="center"/>
            </w:pPr>
            <w:r>
              <w:rPr>
                <w:rFonts w:ascii="宋体" w:hAnsi="宋体" w:eastAsia="宋体"/>
                <w:sz w:val="16"/>
              </w:rPr>
              <w:t>&gt;=75次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6884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774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06C84">
            <w:pPr>
              <w:jc w:val="center"/>
            </w:pPr>
            <w:r>
              <w:rPr>
                <w:rFonts w:ascii="宋体" w:hAnsi="宋体" w:eastAsia="宋体"/>
                <w:sz w:val="16"/>
              </w:rPr>
              <w:t>75次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595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15561">
            <w:pPr>
              <w:jc w:val="center"/>
            </w:pPr>
            <w:r>
              <w:rPr>
                <w:rFonts w:ascii="宋体" w:hAnsi="宋体" w:eastAsia="宋体"/>
                <w:sz w:val="16"/>
              </w:rPr>
              <w:t>20</w:t>
            </w:r>
          </w:p>
        </w:tc>
      </w:tr>
      <w:tr w14:paraId="7A2E9C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D363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DF81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9673E">
            <w:pPr>
              <w:jc w:val="center"/>
            </w:pPr>
            <w:r>
              <w:rPr>
                <w:rFonts w:ascii="宋体" w:hAnsi="宋体" w:eastAsia="宋体"/>
                <w:sz w:val="16"/>
              </w:rPr>
              <w:t>组织宣传种子法律法规活动次数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CCB32">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4FC2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F8D0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62D37">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08C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678A9">
            <w:pPr>
              <w:jc w:val="center"/>
            </w:pPr>
            <w:r>
              <w:rPr>
                <w:rFonts w:ascii="宋体" w:hAnsi="宋体" w:eastAsia="宋体"/>
                <w:sz w:val="16"/>
              </w:rPr>
              <w:t>20</w:t>
            </w:r>
          </w:p>
        </w:tc>
      </w:tr>
      <w:tr w14:paraId="1D43D5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5028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14FC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C4AEF">
            <w:pPr>
              <w:jc w:val="center"/>
            </w:pPr>
            <w:r>
              <w:rPr>
                <w:rFonts w:ascii="宋体" w:hAnsi="宋体" w:eastAsia="宋体"/>
                <w:sz w:val="16"/>
              </w:rPr>
              <w:t>建设小麦制种基地面积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D73CE">
            <w:pPr>
              <w:jc w:val="center"/>
            </w:pPr>
            <w:r>
              <w:rPr>
                <w:rFonts w:ascii="宋体" w:hAnsi="宋体" w:eastAsia="宋体"/>
                <w:sz w:val="16"/>
              </w:rPr>
              <w:t>&gt;=1.5万亩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7879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A47F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2DF23">
            <w:pPr>
              <w:jc w:val="center"/>
            </w:pPr>
            <w:r>
              <w:rPr>
                <w:rFonts w:ascii="宋体" w:hAnsi="宋体" w:eastAsia="宋体"/>
                <w:sz w:val="16"/>
              </w:rPr>
              <w:t>1.5万亩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FC1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B847A">
            <w:pPr>
              <w:jc w:val="center"/>
            </w:pPr>
            <w:r>
              <w:rPr>
                <w:rFonts w:ascii="宋体" w:hAnsi="宋体" w:eastAsia="宋体"/>
                <w:sz w:val="16"/>
              </w:rPr>
              <w:t>20</w:t>
            </w:r>
          </w:p>
        </w:tc>
      </w:tr>
      <w:tr w14:paraId="027C60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DEB7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EB9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E8D96">
            <w:pPr>
              <w:jc w:val="center"/>
            </w:pPr>
            <w:r>
              <w:rPr>
                <w:rFonts w:ascii="宋体" w:hAnsi="宋体" w:eastAsia="宋体"/>
                <w:sz w:val="16"/>
              </w:rPr>
              <w:t>建设经济作物良种繁育基地面积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0A1D2">
            <w:pPr>
              <w:jc w:val="center"/>
            </w:pPr>
            <w:r>
              <w:rPr>
                <w:rFonts w:ascii="宋体" w:hAnsi="宋体" w:eastAsia="宋体"/>
                <w:sz w:val="16"/>
              </w:rPr>
              <w:t>&gt;=1.5万亩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CD62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EEA3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547B9">
            <w:pPr>
              <w:jc w:val="center"/>
            </w:pPr>
            <w:r>
              <w:rPr>
                <w:rFonts w:ascii="宋体" w:hAnsi="宋体" w:eastAsia="宋体"/>
                <w:sz w:val="16"/>
              </w:rPr>
              <w:t>1.5万亩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A56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A838B">
            <w:pPr>
              <w:jc w:val="center"/>
            </w:pPr>
            <w:r>
              <w:rPr>
                <w:rFonts w:ascii="宋体" w:hAnsi="宋体" w:eastAsia="宋体"/>
                <w:sz w:val="16"/>
              </w:rPr>
              <w:t>20</w:t>
            </w:r>
          </w:p>
        </w:tc>
      </w:tr>
      <w:tr w14:paraId="40562A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5F37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5657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65B9B">
            <w:pPr>
              <w:jc w:val="center"/>
            </w:pPr>
            <w:r>
              <w:rPr>
                <w:rFonts w:ascii="宋体" w:hAnsi="宋体" w:eastAsia="宋体"/>
                <w:sz w:val="16"/>
              </w:rPr>
              <w:t>建设大豆良种扩繁基地面积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95AD8">
            <w:pPr>
              <w:jc w:val="center"/>
            </w:pPr>
            <w:r>
              <w:rPr>
                <w:rFonts w:ascii="宋体" w:hAnsi="宋体" w:eastAsia="宋体"/>
                <w:sz w:val="16"/>
              </w:rPr>
              <w:t>&gt;=400亩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7C4F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BB8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0434F">
            <w:pPr>
              <w:jc w:val="center"/>
            </w:pPr>
            <w:r>
              <w:rPr>
                <w:rFonts w:ascii="宋体" w:hAnsi="宋体" w:eastAsia="宋体"/>
                <w:sz w:val="16"/>
              </w:rPr>
              <w:t>400亩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956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A5EC2">
            <w:pPr>
              <w:jc w:val="center"/>
            </w:pPr>
            <w:r>
              <w:rPr>
                <w:rFonts w:ascii="宋体" w:hAnsi="宋体" w:eastAsia="宋体"/>
                <w:sz w:val="16"/>
              </w:rPr>
              <w:t>10</w:t>
            </w:r>
          </w:p>
        </w:tc>
      </w:tr>
    </w:tbl>
    <w:p w14:paraId="19F3A956">
      <w:r>
        <w:br w:type="page"/>
      </w:r>
    </w:p>
    <w:p w14:paraId="32BC42CB">
      <w:pPr>
        <w:spacing w:line="640" w:lineRule="exact"/>
        <w:ind w:firstLine="640"/>
        <w:jc w:val="both"/>
        <w:outlineLvl w:val="2"/>
      </w:pPr>
      <w:r>
        <w:rPr>
          <w:rFonts w:ascii="黑体" w:hAnsi="黑体" w:eastAsia="黑体"/>
          <w:sz w:val="32"/>
        </w:rPr>
        <w:t>十二、其他需说明的事项</w:t>
      </w:r>
    </w:p>
    <w:p w14:paraId="21BC9FD5">
      <w:pPr>
        <w:spacing w:line="580" w:lineRule="exact"/>
        <w:ind w:firstLine="640"/>
        <w:jc w:val="both"/>
      </w:pPr>
      <w:r>
        <w:rPr>
          <w:rFonts w:ascii="仿宋_GB2312" w:hAnsi="仿宋_GB2312" w:eastAsia="仿宋_GB2312"/>
          <w:b w:val="0"/>
          <w:sz w:val="32"/>
        </w:rPr>
        <w:t>政府采购金额为0万元：本单位2024年度无政府采购支出，授予中小企业合同金额0.00万元。</w:t>
      </w:r>
    </w:p>
    <w:p w14:paraId="75F6412E">
      <w:r>
        <w:br w:type="page"/>
      </w:r>
    </w:p>
    <w:p w14:paraId="09D50952">
      <w:pPr>
        <w:spacing w:line="240" w:lineRule="auto"/>
        <w:jc w:val="center"/>
        <w:outlineLvl w:val="1"/>
      </w:pPr>
      <w:r>
        <w:rPr>
          <w:rFonts w:ascii="黑体" w:hAnsi="黑体" w:eastAsia="黑体"/>
          <w:sz w:val="32"/>
        </w:rPr>
        <w:t>第三部分 专业名词解释</w:t>
      </w:r>
    </w:p>
    <w:p w14:paraId="5CA1065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228951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E93CE4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33F8DA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80F7DC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80D0F0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AF8B4A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411284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B8853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E9B181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A96AB4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A30EC3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E98128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1E1350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A262CBC">
      <w:r>
        <w:br w:type="page"/>
      </w:r>
    </w:p>
    <w:p w14:paraId="66BF7B08">
      <w:pPr>
        <w:spacing w:line="240" w:lineRule="auto"/>
        <w:jc w:val="center"/>
        <w:outlineLvl w:val="1"/>
      </w:pPr>
      <w:r>
        <w:rPr>
          <w:rFonts w:ascii="黑体" w:hAnsi="黑体" w:eastAsia="黑体"/>
          <w:sz w:val="32"/>
        </w:rPr>
        <w:t>第四部分 部门决算报表（见附表）</w:t>
      </w:r>
    </w:p>
    <w:p w14:paraId="4E8079D8">
      <w:pPr>
        <w:spacing w:line="240" w:lineRule="auto"/>
        <w:ind w:firstLine="640"/>
        <w:jc w:val="both"/>
      </w:pPr>
      <w:r>
        <w:rPr>
          <w:rFonts w:ascii="仿宋_GB2312" w:hAnsi="仿宋_GB2312" w:eastAsia="仿宋_GB2312"/>
          <w:b w:val="0"/>
          <w:sz w:val="32"/>
        </w:rPr>
        <w:t>一、《收入支出决算总表》</w:t>
      </w:r>
    </w:p>
    <w:p w14:paraId="479CC50C">
      <w:pPr>
        <w:spacing w:line="240" w:lineRule="auto"/>
        <w:ind w:firstLine="640"/>
        <w:jc w:val="both"/>
      </w:pPr>
      <w:r>
        <w:rPr>
          <w:rFonts w:ascii="仿宋_GB2312" w:hAnsi="仿宋_GB2312" w:eastAsia="仿宋_GB2312"/>
          <w:b w:val="0"/>
          <w:sz w:val="32"/>
        </w:rPr>
        <w:t>二、《收入决算表》</w:t>
      </w:r>
    </w:p>
    <w:p w14:paraId="111E6756">
      <w:pPr>
        <w:spacing w:line="240" w:lineRule="auto"/>
        <w:ind w:firstLine="640"/>
        <w:jc w:val="both"/>
      </w:pPr>
      <w:r>
        <w:rPr>
          <w:rFonts w:ascii="仿宋_GB2312" w:hAnsi="仿宋_GB2312" w:eastAsia="仿宋_GB2312"/>
          <w:b w:val="0"/>
          <w:sz w:val="32"/>
        </w:rPr>
        <w:t>三、《支出决算表》</w:t>
      </w:r>
    </w:p>
    <w:p w14:paraId="47DFD451">
      <w:pPr>
        <w:spacing w:line="240" w:lineRule="auto"/>
        <w:ind w:firstLine="640"/>
        <w:jc w:val="both"/>
      </w:pPr>
      <w:r>
        <w:rPr>
          <w:rFonts w:ascii="仿宋_GB2312" w:hAnsi="仿宋_GB2312" w:eastAsia="仿宋_GB2312"/>
          <w:b w:val="0"/>
          <w:sz w:val="32"/>
        </w:rPr>
        <w:t>四、《财政拨款收入支出决算总表》</w:t>
      </w:r>
    </w:p>
    <w:p w14:paraId="62F200A5">
      <w:pPr>
        <w:spacing w:line="240" w:lineRule="auto"/>
        <w:ind w:firstLine="640"/>
        <w:jc w:val="both"/>
      </w:pPr>
      <w:r>
        <w:rPr>
          <w:rFonts w:ascii="仿宋_GB2312" w:hAnsi="仿宋_GB2312" w:eastAsia="仿宋_GB2312"/>
          <w:b w:val="0"/>
          <w:sz w:val="32"/>
        </w:rPr>
        <w:t>五、《一般公共预算财政拨款支出决算表》</w:t>
      </w:r>
    </w:p>
    <w:p w14:paraId="77088E87">
      <w:pPr>
        <w:spacing w:line="240" w:lineRule="auto"/>
        <w:ind w:firstLine="640"/>
        <w:jc w:val="both"/>
      </w:pPr>
      <w:r>
        <w:rPr>
          <w:rFonts w:ascii="仿宋_GB2312" w:hAnsi="仿宋_GB2312" w:eastAsia="仿宋_GB2312"/>
          <w:b w:val="0"/>
          <w:sz w:val="32"/>
        </w:rPr>
        <w:t>六、《一般公共预算财政拨款基本支出决算表》</w:t>
      </w:r>
    </w:p>
    <w:p w14:paraId="6A290E65">
      <w:pPr>
        <w:spacing w:line="240" w:lineRule="auto"/>
        <w:ind w:firstLine="640"/>
        <w:jc w:val="both"/>
      </w:pPr>
      <w:r>
        <w:rPr>
          <w:rFonts w:ascii="仿宋_GB2312" w:hAnsi="仿宋_GB2312" w:eastAsia="仿宋_GB2312"/>
          <w:b w:val="0"/>
          <w:sz w:val="32"/>
        </w:rPr>
        <w:t>七、《政府性基金预算财政拨款收入支出决算表》</w:t>
      </w:r>
    </w:p>
    <w:p w14:paraId="1D31B0C3">
      <w:pPr>
        <w:spacing w:line="240" w:lineRule="auto"/>
        <w:ind w:firstLine="640"/>
        <w:jc w:val="both"/>
      </w:pPr>
      <w:r>
        <w:rPr>
          <w:rFonts w:ascii="仿宋_GB2312" w:hAnsi="仿宋_GB2312" w:eastAsia="仿宋_GB2312"/>
          <w:b w:val="0"/>
          <w:sz w:val="32"/>
        </w:rPr>
        <w:t>八、《国有资本经营预算财政拨款收入支出决算表》</w:t>
      </w:r>
    </w:p>
    <w:p w14:paraId="6F651B47">
      <w:pPr>
        <w:spacing w:line="240" w:lineRule="auto"/>
        <w:ind w:firstLine="640"/>
        <w:jc w:val="both"/>
      </w:pPr>
      <w:r>
        <w:rPr>
          <w:rFonts w:ascii="仿宋_GB2312" w:hAnsi="仿宋_GB2312" w:eastAsia="仿宋_GB2312"/>
          <w:b w:val="0"/>
          <w:sz w:val="32"/>
        </w:rPr>
        <w:t>九、《财政拨款“三公”经费支出决算表》</w:t>
      </w:r>
    </w:p>
    <w:p w14:paraId="5E3BFD6D">
      <w:pPr>
        <w:spacing w:line="240" w:lineRule="auto"/>
        <w:ind w:firstLine="640"/>
        <w:jc w:val="both"/>
      </w:pPr>
    </w:p>
    <w:p w14:paraId="2D56CD62">
      <w:pPr>
        <w:spacing w:line="240" w:lineRule="auto"/>
        <w:ind w:firstLine="640"/>
        <w:jc w:val="both"/>
      </w:pPr>
    </w:p>
    <w:p w14:paraId="20EABAD9">
      <w:pPr>
        <w:spacing w:line="240" w:lineRule="auto"/>
        <w:ind w:firstLine="640"/>
        <w:jc w:val="both"/>
      </w:pPr>
    </w:p>
    <w:p w14:paraId="28699E42">
      <w:pPr>
        <w:spacing w:line="240" w:lineRule="auto"/>
        <w:ind w:firstLine="640"/>
        <w:jc w:val="both"/>
      </w:pPr>
    </w:p>
    <w:p w14:paraId="2A71191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1MjNkYjVmZWQ2OTZhMTIzM2Q0N2EwOWRhYTM1NmM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B614181"/>
    <w:rsid w:val="2C1965E9"/>
    <w:rsid w:val="2D1136DF"/>
    <w:rsid w:val="2DAE0E44"/>
    <w:rsid w:val="2FD27414"/>
    <w:rsid w:val="313F1D52"/>
    <w:rsid w:val="318029AB"/>
    <w:rsid w:val="31C63837"/>
    <w:rsid w:val="326F0A17"/>
    <w:rsid w:val="3277581B"/>
    <w:rsid w:val="38006E2C"/>
    <w:rsid w:val="3914510A"/>
    <w:rsid w:val="3B1220C9"/>
    <w:rsid w:val="3D5275AC"/>
    <w:rsid w:val="3E1258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221E40"/>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4166</Words>
  <Characters>4768</Characters>
  <Lines>0</Lines>
  <Paragraphs>0</Paragraphs>
  <TotalTime>19</TotalTime>
  <ScaleCrop>false</ScaleCrop>
  <LinksUpToDate>false</LinksUpToDate>
  <CharactersWithSpaces>4776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2025-09-17T05:04:23Z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eyJoZGlkIjoiNTBiYjFiYzY0OWM2ODlhYjA1NDAwODJkOGMwZGNkYTMiLCJ1c2VySWQiOiIzNzI2MDMzNTYifQ==</vt:lpwstr>
  </property>
</Properties>
</file>