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喀什经济开发区英吉沙产业园2024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宣传贯彻执行喀什经济开发区及援疆省市产业扶持政策；制定园区规划</w:t>
      </w:r>
      <w:r>
        <w:rPr>
          <w:rFonts w:hint="eastAsia" w:ascii="仿宋_GB2312" w:hAnsi="仿宋_GB2312" w:eastAsia="仿宋_GB2312"/>
          <w:sz w:val="32"/>
          <w:lang w:eastAsia="zh-CN"/>
        </w:rPr>
        <w:t>，</w:t>
      </w:r>
      <w:r>
        <w:rPr>
          <w:rFonts w:ascii="仿宋_GB2312" w:hAnsi="仿宋_GB2312" w:eastAsia="仿宋_GB2312"/>
          <w:sz w:val="32"/>
        </w:rPr>
        <w:t>统筹协调园区企业服务相关措施的制定和实施</w:t>
      </w:r>
      <w:r>
        <w:rPr>
          <w:rFonts w:hint="eastAsia" w:ascii="仿宋_GB2312" w:hAnsi="仿宋_GB2312" w:eastAsia="仿宋_GB2312"/>
          <w:sz w:val="32"/>
          <w:lang w:eastAsia="zh-CN"/>
        </w:rPr>
        <w:t>，</w:t>
      </w:r>
      <w:r>
        <w:rPr>
          <w:rFonts w:ascii="仿宋_GB2312" w:hAnsi="仿宋_GB2312" w:eastAsia="仿宋_GB2312"/>
          <w:sz w:val="32"/>
        </w:rPr>
        <w:t>协调企业与政府、职能部门、行业协会之间的双向沟通联系；</w:t>
      </w:r>
      <w:r>
        <w:rPr>
          <w:rFonts w:hint="eastAsia" w:ascii="仿宋_GB2312" w:hAnsi="仿宋_GB2312" w:eastAsia="仿宋_GB2312"/>
          <w:sz w:val="32"/>
          <w:lang w:eastAsia="zh-CN"/>
        </w:rPr>
        <w:t>做好</w:t>
      </w:r>
      <w:r>
        <w:rPr>
          <w:rFonts w:ascii="仿宋_GB2312" w:hAnsi="仿宋_GB2312" w:eastAsia="仿宋_GB2312"/>
          <w:sz w:val="32"/>
        </w:rPr>
        <w:t>招商引资前置服务，营造一流营商环境，搭建企业交流合作</w:t>
      </w:r>
      <w:r>
        <w:rPr>
          <w:rFonts w:hint="eastAsia" w:ascii="仿宋_GB2312" w:hAnsi="仿宋_GB2312" w:eastAsia="仿宋_GB2312"/>
          <w:sz w:val="32"/>
          <w:lang w:eastAsia="zh-CN"/>
        </w:rPr>
        <w:t>平台，做好</w:t>
      </w:r>
      <w:r>
        <w:rPr>
          <w:rFonts w:ascii="仿宋_GB2312" w:hAnsi="仿宋_GB2312" w:eastAsia="仿宋_GB2312"/>
          <w:sz w:val="32"/>
        </w:rPr>
        <w:t>项目建设服务工作。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喀什经济开发区英吉沙产业园2024年度，实有人数6人，其中：在职人员6人，增加0人；离休人员0人，增加0人；退休人员0人,增加0人。</w:t>
      </w:r>
    </w:p>
    <w:p>
      <w:pPr>
        <w:spacing w:line="580" w:lineRule="exact"/>
        <w:ind w:firstLine="640"/>
        <w:jc w:val="both"/>
      </w:pPr>
      <w:r>
        <w:rPr>
          <w:rFonts w:ascii="仿宋_GB2312" w:hAnsi="仿宋_GB2312" w:eastAsia="仿宋_GB2312"/>
          <w:sz w:val="32"/>
        </w:rPr>
        <w:t>喀什经济开发区英吉沙产业园无下属预算单位，下设4个科室，分别是：综合办、基建股、招商办、财务室。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2024年度收入总计316.48万元，</w:t>
      </w:r>
      <w:r>
        <w:rPr>
          <w:rFonts w:ascii="仿宋_GB2312" w:hAnsi="仿宋_GB2312" w:eastAsia="仿宋_GB2312"/>
          <w:b w:val="0"/>
          <w:sz w:val="32"/>
        </w:rPr>
        <w:t>其中：本年收入合计316.48万元，使用非财政拨款结余（含专用结余）0.00万元，年初结转和结余0.00万元。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2024年度支出总计316.48万元，</w:t>
      </w:r>
      <w:r>
        <w:rPr>
          <w:rFonts w:ascii="仿宋_GB2312" w:hAnsi="仿宋_GB2312" w:eastAsia="仿宋_GB2312"/>
          <w:b w:val="0"/>
          <w:sz w:val="32"/>
        </w:rPr>
        <w:t>其中：本年支出合计316.48万元，结余分配0.00万元，年末结转和结余0.00万元。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收入支出总体与上年相比，减少753.19万元，下降70.41%，主要原因是：本年度减少喀什经济开发区英吉沙产业园标准厂房建设项目（二期）专项债券付息项目。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本年收入316.48万元，</w:t>
      </w:r>
      <w:r>
        <w:rPr>
          <w:rFonts w:ascii="仿宋_GB2312" w:hAnsi="仿宋_GB2312" w:eastAsia="仿宋_GB2312"/>
          <w:b w:val="0"/>
          <w:sz w:val="32"/>
        </w:rPr>
        <w:t>其中：财政拨款收入107.46万元，占33.95%；上级补助收入0.00万元，占0.00%；事业收入0.00万元，占0.00%；经营收入0.00万元，占0.00%；附属单位上缴收入0.00万元，占0.00%；其他收入209.01万元，占66.04%。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本年支出316.48万元，</w:t>
      </w:r>
      <w:r>
        <w:rPr>
          <w:rFonts w:ascii="仿宋_GB2312" w:hAnsi="仿宋_GB2312" w:eastAsia="仿宋_GB2312"/>
          <w:b w:val="0"/>
          <w:sz w:val="32"/>
        </w:rPr>
        <w:t>其中：基本支出107.46万元，占33.95%；项目支出209.01万元，占66.04%；上缴上级支出0.00万元，占0.00%；经营支出0.00万元，占0.00%；对附属单位补助支出0.00万元，占0.00%。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2024年度财政拨款收入总计107.46万元，</w:t>
      </w:r>
      <w:r>
        <w:rPr>
          <w:rFonts w:ascii="仿宋_GB2312" w:hAnsi="仿宋_GB2312" w:eastAsia="仿宋_GB2312"/>
          <w:b w:val="0"/>
          <w:sz w:val="32"/>
        </w:rPr>
        <w:t>其中：年初财政拨款结转和结余0.00万元，本年财政拨款收入107.46万元。</w:t>
      </w:r>
      <w:r>
        <w:rPr>
          <w:rFonts w:ascii="仿宋_GB2312" w:hAnsi="仿宋_GB2312" w:eastAsia="仿宋_GB2312"/>
          <w:b/>
          <w:sz w:val="32"/>
        </w:rPr>
        <w:t>财政拨款支出总计107.46万元，</w:t>
      </w:r>
      <w:r>
        <w:rPr>
          <w:rFonts w:ascii="仿宋_GB2312" w:hAnsi="仿宋_GB2312" w:eastAsia="仿宋_GB2312"/>
          <w:b w:val="0"/>
          <w:sz w:val="32"/>
        </w:rPr>
        <w:t>其中：年末财政拨款结转和结余0.00万元，本年财政拨款支出107.46万元。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减少962.21万元，下降89.95%，主要原因是：本年度减少喀什经济开发区英吉沙产业园标准厂房建设项目（二期）专项债券付息项目。</w:t>
      </w:r>
      <w:r>
        <w:rPr>
          <w:rFonts w:ascii="仿宋_GB2312" w:hAnsi="仿宋_GB2312" w:eastAsia="仿宋_GB2312"/>
          <w:b/>
          <w:sz w:val="32"/>
        </w:rPr>
        <w:t>与年初预算相比，</w:t>
      </w:r>
      <w:r>
        <w:rPr>
          <w:rFonts w:ascii="仿宋_GB2312" w:hAnsi="仿宋_GB2312" w:eastAsia="仿宋_GB2312"/>
          <w:b w:val="0"/>
          <w:sz w:val="32"/>
        </w:rPr>
        <w:t>年初预算数97.19万元，决算数107.46万元，预决算差异率10.57%，主要原因是：年中追加印花税项目，导致预决算存在差异。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2024年度一般公共预算财政拨款支出107.46万元，</w:t>
      </w:r>
      <w:r>
        <w:rPr>
          <w:rFonts w:ascii="仿宋_GB2312" w:hAnsi="仿宋_GB2312" w:eastAsia="仿宋_GB2312"/>
          <w:b w:val="0"/>
          <w:sz w:val="32"/>
        </w:rPr>
        <w:t>占本年支出合计的33.95%。</w:t>
      </w:r>
      <w:r>
        <w:rPr>
          <w:rFonts w:ascii="仿宋_GB2312" w:hAnsi="仿宋_GB2312" w:eastAsia="仿宋_GB2312"/>
          <w:b/>
          <w:sz w:val="32"/>
        </w:rPr>
        <w:t>与上年相比，</w:t>
      </w:r>
      <w:r>
        <w:rPr>
          <w:rFonts w:ascii="仿宋_GB2312" w:hAnsi="仿宋_GB2312" w:eastAsia="仿宋_GB2312"/>
          <w:b w:val="0"/>
          <w:sz w:val="32"/>
        </w:rPr>
        <w:t>减少22.46万元，下降17.29%，主要原因是：本年减少喀什经济开发区英吉沙产业园标准厂房（二期）水土保持补偿费项目。</w:t>
      </w:r>
      <w:r>
        <w:rPr>
          <w:rFonts w:ascii="仿宋_GB2312" w:hAnsi="仿宋_GB2312" w:eastAsia="仿宋_GB2312"/>
          <w:b/>
          <w:sz w:val="32"/>
        </w:rPr>
        <w:t>与年初预算相比,</w:t>
      </w:r>
      <w:r>
        <w:rPr>
          <w:rFonts w:ascii="仿宋_GB2312" w:hAnsi="仿宋_GB2312" w:eastAsia="仿宋_GB2312"/>
          <w:b w:val="0"/>
          <w:sz w:val="32"/>
        </w:rPr>
        <w:t>年初预算数97.19万元，决算数107.46万元，预决算差异率10.57%，主要原因是：年中追加印花税项目，导致预决算存在差异。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1.一般公共服务支出(类)86.99万元,占80.95%。</w:t>
      </w:r>
    </w:p>
    <w:p>
      <w:pPr>
        <w:spacing w:line="580" w:lineRule="exact"/>
        <w:ind w:firstLine="640"/>
        <w:jc w:val="both"/>
      </w:pPr>
      <w:r>
        <w:rPr>
          <w:rFonts w:ascii="仿宋_GB2312" w:hAnsi="仿宋_GB2312" w:eastAsia="仿宋_GB2312"/>
          <w:b w:val="0"/>
          <w:sz w:val="32"/>
        </w:rPr>
        <w:t>2.社会保障和就业支出(类)9.13万元,占8.50%。</w:t>
      </w:r>
    </w:p>
    <w:p>
      <w:pPr>
        <w:spacing w:line="580" w:lineRule="exact"/>
        <w:ind w:firstLine="640"/>
        <w:jc w:val="both"/>
      </w:pPr>
      <w:r>
        <w:rPr>
          <w:rFonts w:ascii="仿宋_GB2312" w:hAnsi="仿宋_GB2312" w:eastAsia="仿宋_GB2312"/>
          <w:b w:val="0"/>
          <w:sz w:val="32"/>
        </w:rPr>
        <w:t>3.卫生健康支出(类)4.08万元,占3.80%。</w:t>
      </w:r>
    </w:p>
    <w:p>
      <w:pPr>
        <w:spacing w:line="580" w:lineRule="exact"/>
        <w:ind w:firstLine="640"/>
        <w:jc w:val="both"/>
      </w:pPr>
      <w:r>
        <w:rPr>
          <w:rFonts w:ascii="仿宋_GB2312" w:hAnsi="仿宋_GB2312" w:eastAsia="仿宋_GB2312"/>
          <w:b w:val="0"/>
          <w:sz w:val="32"/>
        </w:rPr>
        <w:t>4.住房保障支出(类)7.27万元,占6.77%。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2.28万元，比上年决算减少1.31万元，下降36.49%,主要原因是：2023年补发干部基础绩效奖调标部分，本年未补发，相应支出减少。</w:t>
      </w:r>
    </w:p>
    <w:p>
      <w:pPr>
        <w:spacing w:line="580" w:lineRule="exact"/>
        <w:ind w:firstLine="640"/>
        <w:jc w:val="both"/>
      </w:pPr>
      <w:r>
        <w:rPr>
          <w:rFonts w:ascii="仿宋_GB2312" w:hAnsi="仿宋_GB2312" w:eastAsia="仿宋_GB2312"/>
          <w:b w:val="0"/>
          <w:sz w:val="32"/>
        </w:rPr>
        <w:t>2.一般公共服务支出(类)纪检监察事务(款)事业运行(项):支出决算数为10.50万元，比上年决算增加10.50万元，增长100.00%,主要原因是：本年增加印花税项目。</w:t>
      </w:r>
    </w:p>
    <w:p>
      <w:pPr>
        <w:spacing w:line="580" w:lineRule="exact"/>
        <w:ind w:firstLine="640"/>
        <w:jc w:val="both"/>
      </w:pPr>
      <w:r>
        <w:rPr>
          <w:rFonts w:ascii="仿宋_GB2312" w:hAnsi="仿宋_GB2312" w:eastAsia="仿宋_GB2312"/>
          <w:b w:val="0"/>
          <w:sz w:val="32"/>
        </w:rPr>
        <w:t>3.一般公共服务支出(类)商贸事务(款)事业运行(项):支出决算数为74.21万元，比上年决算减少10.04万元，下降11.92%,主要原因是：本年减少取暖费支出。</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9.13万元，比上年决算增加0.23万元，增长2.58%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3.90万元，比上年决算减少0.55万元，下降12.36%,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0.18万元，比上年决算减少0.89万元，下降83.18%,主要原因是：本年在职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7.农林水支出(类)水利(款)水土保持(项):支出决算数为0.00万元，比上年决算减少19.98万元，下降100.00%,主要原因是：本年减少喀什经济开发区英吉沙产业园标准厂房（二期）水土保持补偿费项目。</w:t>
      </w:r>
    </w:p>
    <w:p>
      <w:pPr>
        <w:spacing w:line="580" w:lineRule="exact"/>
        <w:ind w:firstLine="640"/>
        <w:jc w:val="both"/>
      </w:pPr>
      <w:r>
        <w:rPr>
          <w:rFonts w:ascii="仿宋_GB2312" w:hAnsi="仿宋_GB2312" w:eastAsia="仿宋_GB2312"/>
          <w:b w:val="0"/>
          <w:sz w:val="32"/>
        </w:rPr>
        <w:t>8.住房保障支出(类)住房改革支出(款)住房公积金(项):支出决算数为7.27万元，比上年决算减少0.41万元，下降5.34%,主要原因是：本年在职人员调入调出，人员职级不同，缴费基数不同，导致住房公积金较上年减少。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2024年度一般公共预算财政拨款基本支出107.46万元，其中：</w:t>
      </w:r>
      <w:r>
        <w:rPr>
          <w:rFonts w:ascii="仿宋_GB2312" w:hAnsi="仿宋_GB2312" w:eastAsia="仿宋_GB2312"/>
          <w:b/>
          <w:sz w:val="32"/>
        </w:rPr>
        <w:t>人员经费95.25万元，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w:t>
      </w:r>
    </w:p>
    <w:p>
      <w:pPr>
        <w:spacing w:line="580" w:lineRule="exact"/>
        <w:ind w:firstLine="640"/>
        <w:jc w:val="both"/>
      </w:pPr>
      <w:r>
        <w:rPr>
          <w:rFonts w:ascii="仿宋_GB2312" w:hAnsi="仿宋_GB2312" w:eastAsia="仿宋_GB2312"/>
          <w:b/>
          <w:sz w:val="32"/>
        </w:rPr>
        <w:t>公用经费12.21万元，</w:t>
      </w:r>
      <w:r>
        <w:rPr>
          <w:rFonts w:ascii="仿宋_GB2312" w:hAnsi="仿宋_GB2312" w:eastAsia="仿宋_GB2312"/>
          <w:b w:val="0"/>
          <w:sz w:val="32"/>
        </w:rPr>
        <w:t>包括：办公费、水费、电费、邮电费、取暖费、税金及附加费用。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减少939.75万元，下降100.00%，主要原因是：本年减少喀什经济开发区英吉沙产业园标准厂房建设项目（二期）专项债券付息项目，导致经费较上年减少。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w:t>
      </w:r>
      <w:r>
        <w:rPr>
          <w:rFonts w:hint="eastAsia" w:ascii="仿宋_GB2312" w:hAnsi="仿宋_GB2312" w:eastAsia="仿宋_GB2312"/>
          <w:b w:val="0"/>
          <w:sz w:val="32"/>
          <w:lang w:val="en-US" w:eastAsia="zh-CN"/>
        </w:rPr>
        <w:t>本年度无</w:t>
      </w:r>
      <w:r>
        <w:rPr>
          <w:rFonts w:ascii="仿宋_GB2312" w:hAnsi="仿宋_GB2312" w:eastAsia="仿宋_GB2312"/>
          <w:b w:val="0"/>
          <w:sz w:val="32"/>
        </w:rPr>
        <w:t>政府性基金预算财政拨款收入支出。</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债务付息支出(类)地方政府专项债务付息支出(款)其他地方自行试点项目收益专项债券付息支出(项):支出决算数为0.00万元，比上年决算减少939.75万元，下降100.00%,主要原因是：本年减少喀什经济开发区英吉沙产业园标准厂房建设项目（二期）专项债券付息项目，导致经费较上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2024年度喀什经济开发区英吉沙产业园（事业单位）公用经费支出12.21万元，比上年减少3.67万元，下降23.11%，主要原因是：本年减少取暖费支出，导致公用经费减少。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2024年度政府采购支出总额2.08万元，其中：政府采购货物支出1.23万元、政府采购工程支出0.00万元、政府采购服务支出0.85万元。</w:t>
      </w:r>
    </w:p>
    <w:p>
      <w:pPr>
        <w:spacing w:line="580" w:lineRule="exact"/>
        <w:ind w:firstLine="640"/>
        <w:jc w:val="both"/>
      </w:pPr>
      <w:r>
        <w:rPr>
          <w:rFonts w:ascii="仿宋_GB2312" w:hAnsi="仿宋_GB2312" w:eastAsia="仿宋_GB2312"/>
          <w:b w:val="0"/>
          <w:sz w:val="32"/>
        </w:rPr>
        <w:t>授予中小企业合同金额0.38万元，占政府采购支出总额的18.27%，其中：授予小微企业合同金额0.38万元，占政府采购支出总额的18.27%。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1,256.22万元，实际执行总额1,256.22万元；预算绩效评价项目2个，全年预算数950.26万元，全年执行数950.26万元。预算绩效管理取得的成效：一是强化了单位职能为核心；二是全面提升了</w:t>
      </w:r>
      <w:r>
        <w:rPr>
          <w:rFonts w:hint="eastAsia" w:ascii="仿宋_GB2312" w:hAnsi="仿宋_GB2312" w:eastAsia="仿宋_GB2312"/>
          <w:b w:val="0"/>
          <w:sz w:val="32"/>
          <w:lang w:eastAsia="zh-CN"/>
        </w:rPr>
        <w:t>本单位</w:t>
      </w:r>
      <w:r>
        <w:rPr>
          <w:rFonts w:ascii="仿宋_GB2312" w:hAnsi="仿宋_GB2312" w:eastAsia="仿宋_GB2312"/>
          <w:b w:val="0"/>
          <w:sz w:val="32"/>
        </w:rPr>
        <w:t>公共服务水平。发现的问题及原因：一是绩效评价体系还不够完善。对预算绩效管理的重要性认识不足</w:t>
      </w:r>
      <w:r>
        <w:rPr>
          <w:rFonts w:hint="eastAsia" w:ascii="仿宋_GB2312" w:hAnsi="仿宋_GB2312" w:eastAsia="仿宋_GB2312"/>
          <w:b w:val="0"/>
          <w:sz w:val="32"/>
          <w:lang w:eastAsia="zh-CN"/>
        </w:rPr>
        <w:t>，</w:t>
      </w:r>
      <w:r>
        <w:rPr>
          <w:rFonts w:ascii="仿宋_GB2312" w:hAnsi="仿宋_GB2312" w:eastAsia="仿宋_GB2312"/>
          <w:b w:val="0"/>
          <w:sz w:val="32"/>
        </w:rPr>
        <w:t>对预算绩效管理认识和了解不够深入，预算绩效管理体制没有完善</w:t>
      </w:r>
      <w:r>
        <w:rPr>
          <w:rFonts w:hint="eastAsia" w:ascii="仿宋_GB2312" w:hAnsi="仿宋_GB2312" w:eastAsia="仿宋_GB2312"/>
          <w:b w:val="0"/>
          <w:sz w:val="32"/>
          <w:lang w:eastAsia="zh-CN"/>
        </w:rPr>
        <w:t>地</w:t>
      </w:r>
      <w:r>
        <w:rPr>
          <w:rFonts w:ascii="仿宋_GB2312" w:hAnsi="仿宋_GB2312" w:eastAsia="仿宋_GB2312"/>
          <w:b w:val="0"/>
          <w:sz w:val="32"/>
        </w:rPr>
        <w:t>建立起来；二是管理水平和政策实施效果还不够明显。预算绩效管理队伍薄弱，对预算绩效管理的经验欠缺，工作人员频繁更换，工作人员业务不精通、经验有限，实际操作难，无法做到对预算绩效工作的全面管理。下一步改进措施：一是不断加强绩效管理队伍建设。加强对预算单位绩效专干、财务人员对绩效工作及绩效系统的培训，强化预算绩效管理、成本管理的理念，完善绩效指标，提高整体绩效目标质量，提升预算精细化管理水平；二是继续完善预算绩效管理相关工作制度，建立全过程预算绩效管理链条，有效贯彻落实全面实施绩效管理的精神。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喀什经济开发区英吉沙产业园</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1,036.94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1,256.22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1,256.22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1,036.94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1,047.21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1,047.21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喀什经济开发区英吉沙产业园在喀什地委、喀什经济开发区党工委、县委、县人民政府的坚强领导下，在城北加工转化区管理服务中心的业务指导下，结合习近平新时代中国特色社会主义思想，以项目建设为载体，以</w:t>
            </w:r>
            <w:r>
              <w:rPr>
                <w:rFonts w:hint="eastAsia" w:ascii="宋体" w:hAnsi="宋体"/>
                <w:sz w:val="16"/>
                <w:lang w:eastAsia="zh-CN"/>
              </w:rPr>
              <w:t>招</w:t>
            </w:r>
            <w:r>
              <w:rPr>
                <w:rFonts w:ascii="宋体" w:hAnsi="宋体" w:eastAsia="宋体"/>
                <w:sz w:val="16"/>
              </w:rPr>
              <w:t>商引资为抓手，精心组织，全力以赴，高质量完成园区各项工作。2024年，新增企业数4家，新增外商投资企业数2家，新增外贸企业数2家。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截至2024年</w:t>
            </w:r>
            <w:r>
              <w:rPr>
                <w:rFonts w:hint="eastAsia" w:ascii="宋体" w:hAnsi="宋体"/>
                <w:sz w:val="16"/>
                <w:lang w:val="en-US" w:eastAsia="zh-CN"/>
              </w:rPr>
              <w:t>12月31日</w:t>
            </w:r>
            <w:r>
              <w:rPr>
                <w:rFonts w:ascii="宋体" w:hAnsi="宋体" w:eastAsia="宋体"/>
                <w:sz w:val="16"/>
              </w:rPr>
              <w:t>，喀什经济开发区英吉沙产业园在喀什地委、喀什经济开发区党工委、县委、县人民政府的坚强领导下，在城北加工转化区管理服务中心的业务指导下，结合习近平新时代中国特色社会主义思想，以项目建设为载体，以</w:t>
            </w:r>
            <w:r>
              <w:rPr>
                <w:rFonts w:hint="eastAsia" w:ascii="宋体" w:hAnsi="宋体"/>
                <w:sz w:val="16"/>
                <w:lang w:eastAsia="zh-CN"/>
              </w:rPr>
              <w:t>招</w:t>
            </w:r>
            <w:r>
              <w:rPr>
                <w:rFonts w:ascii="宋体" w:hAnsi="宋体" w:eastAsia="宋体"/>
                <w:sz w:val="16"/>
              </w:rPr>
              <w:t>商引资为抓手，精心组织，全力以赴，高质量完成园区各项工作。2024年，新增企业数24家，新增外商投资企业数2家，新增外贸企业数2家。进出口贸易总额，提高本单位税收收入，增加就业人员收入。</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新增外贸企业个数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新增外商投资企业数个数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提高入园企业就业人数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引进孵化器企业数量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喀什经济开发区英吉沙产业园工程合同印花税项目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喀什经济开发区英吉沙产业园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喀什经济开发区英吉沙产业园</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该项目计划投入10.51万元，用于缴纳印花税，该项目的实施提高政府公信力，使受益单位满意度达到95%。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截至2024年12月31日，该项目已使用资金10.51万元，已用于缴纳印花税，该项目的实施有效提高政府公信力，使受益单位满意度达到95%</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缴纳印花税合同数量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印花税缴纳金额达标率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缴纳印花税金额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喀什经济开发区英吉沙产业园标准厂房建设项目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喀什经济开发区英吉沙产业园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喀什经济开发区英吉沙产业园</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计划投入939.75万元，按照《关于做好2021年自治区第六批地方政府债券管理使用工作的通知》保障项目资金到位，用于偿还2024年专项债券付息。该项目的实施，确保专项债付息任务顺利实施，有效提高政府部门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截至</w:t>
            </w:r>
            <w:r>
              <w:rPr>
                <w:rFonts w:ascii="宋体" w:hAnsi="宋体" w:eastAsia="宋体"/>
                <w:sz w:val="16"/>
              </w:rPr>
              <w:t>本次自评之日，完成了1笔债券项目的还本付息工作任务，项目的实施有效提高了政府公信力，确保专项债付息任务顺利开展。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专项债券还本付息笔数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偿还专项债券付息成本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&lt;=939.75万元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受益还款单位满意度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9D4D42-76A2-464F-88EF-78E26951A7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BC4777C5-24DF-4722-BDEF-E6039797C55D}"/>
  </w:font>
  <w:font w:name="仿宋_GB2312">
    <w:panose1 w:val="02010609030101010101"/>
    <w:charset w:val="86"/>
    <w:family w:val="auto"/>
    <w:pitch w:val="default"/>
    <w:sig w:usb0="00000000" w:usb1="00000000" w:usb2="00000000" w:usb3="00000000" w:csb0="00000000" w:csb1="00000000"/>
    <w:embedRegular r:id="rId3" w:fontKey="{D21BFA21-3111-4C20-8F89-91975D1D047C}"/>
  </w:font>
  <w:font w:name="楷体_GB2312">
    <w:panose1 w:val="02010609030101010101"/>
    <w:charset w:val="86"/>
    <w:family w:val="auto"/>
    <w:pitch w:val="default"/>
    <w:sig w:usb0="00000000" w:usb1="00000000" w:usb2="00000000" w:usb3="00000000" w:csb0="00000000" w:csb1="00000000"/>
    <w:embedRegular r:id="rId4" w:fontKey="{C2C599CF-209D-42A4-9496-A75D01F3599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1683483"/>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4541E7"/>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341F9F"/>
    <w:rsid w:val="2FD27414"/>
    <w:rsid w:val="313F1D52"/>
    <w:rsid w:val="318029AB"/>
    <w:rsid w:val="31C63837"/>
    <w:rsid w:val="326F0A17"/>
    <w:rsid w:val="3277581B"/>
    <w:rsid w:val="38006E2C"/>
    <w:rsid w:val="3914510A"/>
    <w:rsid w:val="3B1220C9"/>
    <w:rsid w:val="3D5275AC"/>
    <w:rsid w:val="3EA7725F"/>
    <w:rsid w:val="3EC014A1"/>
    <w:rsid w:val="3F166C3D"/>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C70C7A"/>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7761</Words>
  <Characters>8874</Characters>
  <Lines>0</Lines>
  <Paragraphs>0</Paragraphs>
  <TotalTime>16</TotalTime>
  <ScaleCrop>false</ScaleCrop>
  <LinksUpToDate>false</LinksUpToDate>
  <CharactersWithSpaces>8890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zhifuzhongxin</cp:lastModifiedBy>
  <cp:lastPrinted>2024-07-22T11:58:00Z</cp:lastPrinted>
  <dcterms:modified xsi:type="dcterms:W3CDTF">2026-08-28T05:19:52Z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