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9FEC38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英吉沙县供销合作社联合社</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546D58D">
      <w:r>
        <w:br w:type="page"/>
      </w:r>
    </w:p>
    <w:p w14:paraId="37176069">
      <w:pPr>
        <w:spacing w:line="640" w:lineRule="exact"/>
        <w:jc w:val="center"/>
        <w:outlineLvl w:val="1"/>
      </w:pPr>
      <w:r>
        <w:rPr>
          <w:rFonts w:ascii="黑体" w:hAnsi="黑体" w:eastAsia="黑体"/>
          <w:sz w:val="32"/>
        </w:rPr>
        <w:t>第一部分 单位概况</w:t>
      </w:r>
    </w:p>
    <w:p w14:paraId="79574746">
      <w:pPr>
        <w:spacing w:line="640" w:lineRule="exact"/>
        <w:ind w:firstLine="640"/>
        <w:jc w:val="both"/>
        <w:outlineLvl w:val="2"/>
      </w:pPr>
      <w:r>
        <w:rPr>
          <w:rFonts w:ascii="黑体" w:hAnsi="黑体" w:eastAsia="黑体"/>
          <w:sz w:val="32"/>
        </w:rPr>
        <w:t>一、主要职能</w:t>
      </w:r>
    </w:p>
    <w:p w14:paraId="57E9E25D">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了解掌握全县农业生产发展动态及生产实际中存在的问题，做好农业技术推广服务工作，为领导当好参谋。</w:t>
      </w:r>
    </w:p>
    <w:p w14:paraId="1CF651F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培训县、乡、村级农业技术人员和广大农民群众。</w:t>
      </w:r>
    </w:p>
    <w:p w14:paraId="4AB3099E">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开展农业技术知识科普宣传活动，抓好科技示范乡、示范户，指导农民科技致富。</w:t>
      </w:r>
    </w:p>
    <w:p w14:paraId="0A281CED">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并经试验、示范成功后，在全县农业生产上推广应用，为农业其次承担上级业务单位在我县开展的农业科研。</w:t>
      </w:r>
    </w:p>
    <w:p w14:paraId="2C381C4A">
      <w:pPr>
        <w:spacing w:line="640" w:lineRule="exact"/>
        <w:ind w:firstLine="640"/>
        <w:jc w:val="both"/>
        <w:outlineLvl w:val="2"/>
      </w:pPr>
      <w:r>
        <w:rPr>
          <w:rFonts w:ascii="黑体" w:hAnsi="黑体" w:eastAsia="黑体"/>
          <w:sz w:val="32"/>
        </w:rPr>
        <w:t>二、机构设置及人员情况</w:t>
      </w:r>
    </w:p>
    <w:p w14:paraId="42DB515A">
      <w:pPr>
        <w:spacing w:line="580" w:lineRule="exact"/>
        <w:ind w:firstLine="640"/>
        <w:jc w:val="both"/>
      </w:pPr>
      <w:r>
        <w:rPr>
          <w:rFonts w:ascii="仿宋_GB2312" w:hAnsi="仿宋_GB2312" w:eastAsia="仿宋_GB2312"/>
          <w:sz w:val="32"/>
        </w:rPr>
        <w:t>英吉沙县供销合作社联合社2024年度，实有人数11人，其中：在职人员6人，增加1人；离休人员0人，增加0人；退休人员5人,增加0人。</w:t>
      </w:r>
    </w:p>
    <w:p w14:paraId="6489F162">
      <w:pPr>
        <w:spacing w:line="580" w:lineRule="exact"/>
        <w:ind w:firstLine="640"/>
        <w:jc w:val="both"/>
      </w:pPr>
      <w:r>
        <w:rPr>
          <w:rFonts w:ascii="仿宋_GB2312" w:hAnsi="仿宋_GB2312" w:eastAsia="仿宋_GB2312"/>
          <w:sz w:val="32"/>
        </w:rPr>
        <w:t>英吉沙县供销合作社联合社无下属预算单位，下设1个科室，分别是：党政办公室。</w:t>
      </w:r>
    </w:p>
    <w:p w14:paraId="2DBB6111">
      <w:r>
        <w:br w:type="page"/>
      </w:r>
    </w:p>
    <w:p w14:paraId="72176061">
      <w:pPr>
        <w:spacing w:line="240" w:lineRule="auto"/>
        <w:jc w:val="center"/>
        <w:outlineLvl w:val="1"/>
      </w:pPr>
      <w:r>
        <w:rPr>
          <w:rFonts w:ascii="黑体" w:hAnsi="黑体" w:eastAsia="黑体"/>
          <w:sz w:val="32"/>
        </w:rPr>
        <w:t>第二部分 部门决算情况说明</w:t>
      </w:r>
    </w:p>
    <w:p w14:paraId="68E1B348">
      <w:pPr>
        <w:spacing w:line="640" w:lineRule="exact"/>
        <w:ind w:firstLine="640"/>
        <w:jc w:val="both"/>
        <w:outlineLvl w:val="2"/>
      </w:pPr>
      <w:r>
        <w:rPr>
          <w:rFonts w:ascii="黑体" w:hAnsi="黑体" w:eastAsia="黑体"/>
          <w:sz w:val="32"/>
        </w:rPr>
        <w:t>一、收入支出决算总体情况说明</w:t>
      </w:r>
    </w:p>
    <w:p w14:paraId="759843C8">
      <w:pPr>
        <w:spacing w:line="580" w:lineRule="exact"/>
        <w:ind w:firstLine="640"/>
        <w:jc w:val="both"/>
      </w:pPr>
      <w:r>
        <w:rPr>
          <w:rFonts w:ascii="仿宋_GB2312" w:hAnsi="仿宋_GB2312" w:eastAsia="仿宋_GB2312"/>
          <w:b/>
          <w:sz w:val="32"/>
        </w:rPr>
        <w:t>2024年度收入总计126.14万元，</w:t>
      </w:r>
      <w:r>
        <w:rPr>
          <w:rFonts w:ascii="仿宋_GB2312" w:hAnsi="仿宋_GB2312" w:eastAsia="仿宋_GB2312"/>
          <w:b w:val="0"/>
          <w:sz w:val="32"/>
        </w:rPr>
        <w:t>其中：本年收入合计126.14万元，使用非财政拨款结余（含专用结余）0.00万元，年初结转和结余0.00万元。</w:t>
      </w:r>
    </w:p>
    <w:p w14:paraId="5D45E33F">
      <w:pPr>
        <w:spacing w:line="580" w:lineRule="exact"/>
        <w:ind w:firstLine="640"/>
        <w:jc w:val="both"/>
      </w:pPr>
      <w:r>
        <w:rPr>
          <w:rFonts w:ascii="仿宋_GB2312" w:hAnsi="仿宋_GB2312" w:eastAsia="仿宋_GB2312"/>
          <w:b/>
          <w:sz w:val="32"/>
        </w:rPr>
        <w:t>2024年度支出总计126.14万元，</w:t>
      </w:r>
      <w:r>
        <w:rPr>
          <w:rFonts w:ascii="仿宋_GB2312" w:hAnsi="仿宋_GB2312" w:eastAsia="仿宋_GB2312"/>
          <w:b w:val="0"/>
          <w:sz w:val="32"/>
        </w:rPr>
        <w:t>其中：本年支出合计126.14万元，结余分配0.00万元，年末结转和结余0.00万元。</w:t>
      </w:r>
    </w:p>
    <w:p w14:paraId="0C9F5305">
      <w:pPr>
        <w:spacing w:line="580" w:lineRule="exact"/>
        <w:ind w:firstLine="640"/>
        <w:jc w:val="both"/>
      </w:pPr>
      <w:r>
        <w:rPr>
          <w:rFonts w:ascii="仿宋_GB2312" w:hAnsi="仿宋_GB2312" w:eastAsia="仿宋_GB2312"/>
          <w:b w:val="0"/>
          <w:sz w:val="32"/>
        </w:rPr>
        <w:t>收入支出总体与上年相比，增加5.30万元，增长4.39%，主要原因是：本年新增在职人员，人员经费增加，导致经费较上年有所增加。</w:t>
      </w:r>
    </w:p>
    <w:p w14:paraId="11A3C920">
      <w:pPr>
        <w:spacing w:line="640" w:lineRule="exact"/>
        <w:ind w:firstLine="640"/>
        <w:jc w:val="both"/>
        <w:outlineLvl w:val="2"/>
      </w:pPr>
      <w:r>
        <w:rPr>
          <w:rFonts w:ascii="黑体" w:hAnsi="黑体" w:eastAsia="黑体"/>
          <w:sz w:val="32"/>
        </w:rPr>
        <w:t>二、收入决算情况说明</w:t>
      </w:r>
    </w:p>
    <w:p w14:paraId="24D472C7">
      <w:pPr>
        <w:spacing w:line="580" w:lineRule="exact"/>
        <w:ind w:firstLine="640"/>
        <w:jc w:val="both"/>
      </w:pPr>
      <w:r>
        <w:rPr>
          <w:rFonts w:ascii="仿宋_GB2312" w:hAnsi="仿宋_GB2312" w:eastAsia="仿宋_GB2312"/>
          <w:b/>
          <w:sz w:val="32"/>
        </w:rPr>
        <w:t>本年收入126.14万元，</w:t>
      </w:r>
      <w:r>
        <w:rPr>
          <w:rFonts w:ascii="仿宋_GB2312" w:hAnsi="仿宋_GB2312" w:eastAsia="仿宋_GB2312"/>
          <w:b w:val="0"/>
          <w:sz w:val="32"/>
        </w:rPr>
        <w:t>其中：财政拨款收入116.14万元，占92.07%；上级补助收入0.00万元，占0.00%；事业收入0.00万元，占0.00%；经营收入0.00万元，占0.00%；附属单位上缴收入0.00万元，占0.00%；其他收入10.00万元，占7.93%。</w:t>
      </w:r>
    </w:p>
    <w:p w14:paraId="467A533F">
      <w:pPr>
        <w:spacing w:line="640" w:lineRule="exact"/>
        <w:ind w:firstLine="640"/>
        <w:jc w:val="both"/>
        <w:outlineLvl w:val="2"/>
      </w:pPr>
      <w:r>
        <w:rPr>
          <w:rFonts w:ascii="黑体" w:hAnsi="黑体" w:eastAsia="黑体"/>
          <w:sz w:val="32"/>
        </w:rPr>
        <w:t>三、支出决算情况说明</w:t>
      </w:r>
    </w:p>
    <w:p w14:paraId="24ED70EA">
      <w:pPr>
        <w:spacing w:line="580" w:lineRule="exact"/>
        <w:ind w:firstLine="640"/>
        <w:jc w:val="both"/>
      </w:pPr>
      <w:r>
        <w:rPr>
          <w:rFonts w:ascii="仿宋_GB2312" w:hAnsi="仿宋_GB2312" w:eastAsia="仿宋_GB2312"/>
          <w:b/>
          <w:sz w:val="32"/>
        </w:rPr>
        <w:t>本年支出126.14万元，</w:t>
      </w:r>
      <w:r>
        <w:rPr>
          <w:rFonts w:ascii="仿宋_GB2312" w:hAnsi="仿宋_GB2312" w:eastAsia="仿宋_GB2312"/>
          <w:b w:val="0"/>
          <w:sz w:val="32"/>
        </w:rPr>
        <w:t>其中：基本支出116.14万元，占92.07%；项目支出10.00万元，占7.93%；上缴上级支出0.00万元，占0.00%；经营支出0.00万元，占0.00%；对附属单位补助支出0.00万元，占0.00%。</w:t>
      </w:r>
    </w:p>
    <w:p w14:paraId="3AA2706F">
      <w:pPr>
        <w:spacing w:line="640" w:lineRule="exact"/>
        <w:ind w:firstLine="640"/>
        <w:jc w:val="both"/>
        <w:outlineLvl w:val="2"/>
      </w:pPr>
      <w:r>
        <w:rPr>
          <w:rFonts w:ascii="黑体" w:hAnsi="黑体" w:eastAsia="黑体"/>
          <w:sz w:val="32"/>
        </w:rPr>
        <w:t>四、财政拨款收入支出决算总体情况说明</w:t>
      </w:r>
    </w:p>
    <w:p w14:paraId="770B7F46">
      <w:pPr>
        <w:spacing w:line="580" w:lineRule="exact"/>
        <w:ind w:firstLine="640"/>
        <w:jc w:val="both"/>
      </w:pPr>
      <w:r>
        <w:rPr>
          <w:rFonts w:ascii="仿宋_GB2312" w:hAnsi="仿宋_GB2312" w:eastAsia="仿宋_GB2312"/>
          <w:b/>
          <w:sz w:val="32"/>
        </w:rPr>
        <w:t>2024年度财政拨款收入总计116.14万元，</w:t>
      </w:r>
      <w:r>
        <w:rPr>
          <w:rFonts w:ascii="仿宋_GB2312" w:hAnsi="仿宋_GB2312" w:eastAsia="仿宋_GB2312"/>
          <w:b w:val="0"/>
          <w:sz w:val="32"/>
        </w:rPr>
        <w:t>其中：年初财政拨款结转和结余0.00万元，本年财政拨款收入116.14万元。</w:t>
      </w:r>
      <w:r>
        <w:rPr>
          <w:rFonts w:ascii="仿宋_GB2312" w:hAnsi="仿宋_GB2312" w:eastAsia="仿宋_GB2312"/>
          <w:b/>
          <w:sz w:val="32"/>
        </w:rPr>
        <w:t>财政拨款支出总计116.14万元，</w:t>
      </w:r>
      <w:r>
        <w:rPr>
          <w:rFonts w:ascii="仿宋_GB2312" w:hAnsi="仿宋_GB2312" w:eastAsia="仿宋_GB2312"/>
          <w:b w:val="0"/>
          <w:sz w:val="32"/>
        </w:rPr>
        <w:t>其中：年末财政拨款结转和结余0.00万元，本年财政拨款支出116.14万元。</w:t>
      </w:r>
    </w:p>
    <w:p w14:paraId="660492D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增加5.30万元，增长4.78%，主要原因是：本年新增在职人员，人员经费增加，导致经费较上年有所增加。</w:t>
      </w:r>
      <w:r>
        <w:rPr>
          <w:rFonts w:ascii="仿宋_GB2312" w:hAnsi="仿宋_GB2312" w:eastAsia="仿宋_GB2312"/>
          <w:b/>
          <w:sz w:val="32"/>
        </w:rPr>
        <w:t>与年初预算相比，</w:t>
      </w:r>
      <w:r>
        <w:rPr>
          <w:rFonts w:ascii="仿宋_GB2312" w:hAnsi="仿宋_GB2312" w:eastAsia="仿宋_GB2312"/>
          <w:b w:val="0"/>
          <w:sz w:val="32"/>
        </w:rPr>
        <w:t>年初预算数116.43万元，决算数116.14万元，预决算差异率-0.25%，主要原因是：严格执行</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，厉行节约，减少不必要的开支。</w:t>
      </w:r>
    </w:p>
    <w:p w14:paraId="3591CD06">
      <w:pPr>
        <w:spacing w:line="640" w:lineRule="exact"/>
        <w:ind w:firstLine="640"/>
        <w:jc w:val="both"/>
        <w:outlineLvl w:val="2"/>
      </w:pPr>
      <w:r>
        <w:rPr>
          <w:rFonts w:ascii="黑体" w:hAnsi="黑体" w:eastAsia="黑体"/>
          <w:sz w:val="32"/>
        </w:rPr>
        <w:t>五、一般公共预算财政拨款支出决算情况说明</w:t>
      </w:r>
    </w:p>
    <w:p w14:paraId="693FC737">
      <w:pPr>
        <w:spacing w:line="640" w:lineRule="exact"/>
        <w:ind w:firstLine="640"/>
        <w:jc w:val="both"/>
        <w:outlineLvl w:val="3"/>
      </w:pPr>
      <w:r>
        <w:rPr>
          <w:rFonts w:ascii="楷体_GB2312" w:hAnsi="楷体_GB2312" w:eastAsia="楷体_GB2312"/>
          <w:b/>
          <w:sz w:val="32"/>
        </w:rPr>
        <w:t>（一）一般公共预算财政拨款支出决算总体情况</w:t>
      </w:r>
    </w:p>
    <w:p w14:paraId="6B4E9E9B">
      <w:pPr>
        <w:spacing w:line="580" w:lineRule="exact"/>
        <w:ind w:firstLine="640"/>
        <w:jc w:val="both"/>
      </w:pPr>
      <w:r>
        <w:rPr>
          <w:rFonts w:ascii="仿宋_GB2312" w:hAnsi="仿宋_GB2312" w:eastAsia="仿宋_GB2312"/>
          <w:b/>
          <w:sz w:val="32"/>
        </w:rPr>
        <w:t>2024年度一般公共预算财政拨款支出116.14万元，</w:t>
      </w:r>
      <w:r>
        <w:rPr>
          <w:rFonts w:ascii="仿宋_GB2312" w:hAnsi="仿宋_GB2312" w:eastAsia="仿宋_GB2312"/>
          <w:b w:val="0"/>
          <w:sz w:val="32"/>
        </w:rPr>
        <w:t>占本年支出合计的92.07%。</w:t>
      </w:r>
      <w:r>
        <w:rPr>
          <w:rFonts w:ascii="仿宋_GB2312" w:hAnsi="仿宋_GB2312" w:eastAsia="仿宋_GB2312"/>
          <w:b/>
          <w:sz w:val="32"/>
        </w:rPr>
        <w:t>与上年相比，</w:t>
      </w:r>
      <w:r>
        <w:rPr>
          <w:rFonts w:ascii="仿宋_GB2312" w:hAnsi="仿宋_GB2312" w:eastAsia="仿宋_GB2312"/>
          <w:b w:val="0"/>
          <w:sz w:val="32"/>
        </w:rPr>
        <w:t>增加5.30万元，增长4.78%，主要原因是：本年新增在职人员，人员经费增加，导致经费较上年有所增加。</w:t>
      </w:r>
      <w:r>
        <w:rPr>
          <w:rFonts w:ascii="仿宋_GB2312" w:hAnsi="仿宋_GB2312" w:eastAsia="仿宋_GB2312"/>
          <w:b/>
          <w:sz w:val="32"/>
        </w:rPr>
        <w:t>与年初预算相比,</w:t>
      </w:r>
      <w:r>
        <w:rPr>
          <w:rFonts w:ascii="仿宋_GB2312" w:hAnsi="仿宋_GB2312" w:eastAsia="仿宋_GB2312"/>
          <w:b w:val="0"/>
          <w:sz w:val="32"/>
        </w:rPr>
        <w:t>年初预算数116.43万元，决算数116.14万元，预决算差异率-0.25%，主要原因是：严格执行</w:t>
      </w:r>
      <w:r>
        <w:rPr>
          <w:rFonts w:hint="eastAsia" w:ascii="仿宋_GB2312" w:hAnsi="仿宋_GB2312" w:eastAsia="仿宋_GB2312"/>
          <w:b w:val="0"/>
          <w:sz w:val="32"/>
          <w:lang w:val="en-US" w:eastAsia="zh-CN"/>
        </w:rPr>
        <w:t>中央</w:t>
      </w:r>
      <w:r>
        <w:rPr>
          <w:rFonts w:hint="eastAsia" w:ascii="仿宋_GB2312" w:hAnsi="仿宋_GB2312" w:eastAsia="仿宋_GB2312"/>
          <w:b w:val="0"/>
          <w:sz w:val="32"/>
          <w:lang w:eastAsia="zh-CN"/>
        </w:rPr>
        <w:t>八项规定</w:t>
      </w:r>
      <w:r>
        <w:rPr>
          <w:rFonts w:ascii="仿宋_GB2312" w:hAnsi="仿宋_GB2312" w:eastAsia="仿宋_GB2312"/>
          <w:b w:val="0"/>
          <w:sz w:val="32"/>
        </w:rPr>
        <w:t>，厉行节约，减少不必要的开支。</w:t>
      </w:r>
    </w:p>
    <w:p w14:paraId="52ED573C">
      <w:pPr>
        <w:spacing w:line="640" w:lineRule="exact"/>
        <w:ind w:firstLine="640"/>
        <w:jc w:val="both"/>
        <w:outlineLvl w:val="3"/>
      </w:pPr>
      <w:r>
        <w:rPr>
          <w:rFonts w:ascii="楷体_GB2312" w:hAnsi="楷体_GB2312" w:eastAsia="楷体_GB2312"/>
          <w:b/>
          <w:sz w:val="32"/>
        </w:rPr>
        <w:t>（二）一般公共预算财政拨款支出决算结构情况</w:t>
      </w:r>
    </w:p>
    <w:p w14:paraId="6CEF52BE">
      <w:pPr>
        <w:spacing w:line="580" w:lineRule="exact"/>
        <w:ind w:firstLine="640"/>
        <w:jc w:val="both"/>
      </w:pPr>
      <w:r>
        <w:rPr>
          <w:rFonts w:ascii="仿宋_GB2312" w:hAnsi="仿宋_GB2312" w:eastAsia="仿宋_GB2312"/>
          <w:b w:val="0"/>
          <w:sz w:val="32"/>
        </w:rPr>
        <w:t>1.社会保障和就业支出(类)15.95万元,占13.73%。</w:t>
      </w:r>
    </w:p>
    <w:p w14:paraId="785257CB">
      <w:pPr>
        <w:spacing w:line="580" w:lineRule="exact"/>
        <w:ind w:firstLine="640"/>
        <w:jc w:val="both"/>
      </w:pPr>
      <w:r>
        <w:rPr>
          <w:rFonts w:ascii="仿宋_GB2312" w:hAnsi="仿宋_GB2312" w:eastAsia="仿宋_GB2312"/>
          <w:b w:val="0"/>
          <w:sz w:val="32"/>
        </w:rPr>
        <w:t>2.卫生健康支出(类)4.37万元,占3.76%。</w:t>
      </w:r>
    </w:p>
    <w:p w14:paraId="1B264DBC">
      <w:pPr>
        <w:spacing w:line="580" w:lineRule="exact"/>
        <w:ind w:firstLine="640"/>
        <w:jc w:val="both"/>
      </w:pPr>
      <w:r>
        <w:rPr>
          <w:rFonts w:ascii="仿宋_GB2312" w:hAnsi="仿宋_GB2312" w:eastAsia="仿宋_GB2312"/>
          <w:b w:val="0"/>
          <w:sz w:val="32"/>
        </w:rPr>
        <w:t>3.商业服务业等支出(类)87.34万元,占75.20%。</w:t>
      </w:r>
    </w:p>
    <w:p w14:paraId="7AF40B6A">
      <w:pPr>
        <w:spacing w:line="580" w:lineRule="exact"/>
        <w:ind w:firstLine="640"/>
        <w:jc w:val="both"/>
      </w:pPr>
      <w:r>
        <w:rPr>
          <w:rFonts w:ascii="仿宋_GB2312" w:hAnsi="仿宋_GB2312" w:eastAsia="仿宋_GB2312"/>
          <w:b w:val="0"/>
          <w:sz w:val="32"/>
        </w:rPr>
        <w:t>4.住房保障支出(类)8.47万元,占7.29%。</w:t>
      </w:r>
    </w:p>
    <w:p w14:paraId="72788C63">
      <w:pPr>
        <w:spacing w:line="640" w:lineRule="exact"/>
        <w:ind w:firstLine="640"/>
        <w:jc w:val="both"/>
        <w:outlineLvl w:val="3"/>
      </w:pPr>
      <w:r>
        <w:rPr>
          <w:rFonts w:ascii="楷体_GB2312" w:hAnsi="楷体_GB2312" w:eastAsia="楷体_GB2312"/>
          <w:b/>
          <w:sz w:val="32"/>
        </w:rPr>
        <w:t>（三）一般公共预算财政拨款支出决算具体情况</w:t>
      </w:r>
    </w:p>
    <w:p w14:paraId="65FF9CFC">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1.社会保障和就业支出(类)行政事业单位养老支出(款)事业单位离退休(项):支出决算数为5.82万元，比上年决算增加2.22万元，增长61.67%,主要原因是：本年增加退休人员基础绩效奖，退休费支出增加。</w:t>
      </w:r>
    </w:p>
    <w:p w14:paraId="2D83E6ED">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10.13万元，比上年决算减少0.54万元，下降5.06%,主要原因是：本年在职人员调入调出，人员职级不同，缴费基数不同，导致养老保险缴费较上年减少，相应支出减少。</w:t>
      </w:r>
    </w:p>
    <w:p w14:paraId="49A21610">
      <w:pPr>
        <w:spacing w:line="580" w:lineRule="exact"/>
        <w:ind w:firstLine="640"/>
        <w:jc w:val="both"/>
      </w:pPr>
      <w:r>
        <w:rPr>
          <w:rFonts w:ascii="仿宋_GB2312" w:hAnsi="仿宋_GB2312" w:eastAsia="仿宋_GB2312"/>
          <w:b w:val="0"/>
          <w:sz w:val="32"/>
        </w:rPr>
        <w:t>3.卫生健康支出(类)行政事业单位医疗(款)事业单位医疗(项):支出决算数为4.37万元，比上年决算减少0.41万元，下降8.58%,主要原因是：本年在职人员调入调出，人员职级不同，缴费基数不同，导致医疗保险缴费较上年减少，相应支出减少。</w:t>
      </w:r>
    </w:p>
    <w:p w14:paraId="4FE6949B">
      <w:pPr>
        <w:spacing w:line="580" w:lineRule="exact"/>
        <w:ind w:firstLine="640"/>
        <w:jc w:val="both"/>
      </w:pPr>
      <w:r>
        <w:rPr>
          <w:rFonts w:ascii="仿宋_GB2312" w:hAnsi="仿宋_GB2312" w:eastAsia="仿宋_GB2312"/>
          <w:b w:val="0"/>
          <w:sz w:val="32"/>
        </w:rPr>
        <w:t>4.商业服务业等支出(类)商业流通事务(款)事业运行(项):支出决算数为87.34万元，比上年决算增加4.30万元，增长5.18%,主要原因是：本年新增在职人员，人员经费增加，导致经费较上年有所增加。</w:t>
      </w:r>
    </w:p>
    <w:p w14:paraId="2C4890D0">
      <w:pPr>
        <w:spacing w:line="580" w:lineRule="exact"/>
        <w:ind w:firstLine="640"/>
        <w:jc w:val="both"/>
      </w:pPr>
      <w:r>
        <w:rPr>
          <w:rFonts w:ascii="仿宋_GB2312" w:hAnsi="仿宋_GB2312" w:eastAsia="仿宋_GB2312"/>
          <w:b w:val="0"/>
          <w:sz w:val="32"/>
        </w:rPr>
        <w:t>5.住房保障支出(类)住房改革支出(款)住房公积金(项):支出决算数为8.47万元，比上年决算减少0.27万元，下降3.09%,主要原因是：本年在职人员调入调出，人员职级不同，缴费基数不同，住房公积金缴费较上年减少，相应支出减少。</w:t>
      </w:r>
    </w:p>
    <w:p w14:paraId="25A125F9">
      <w:pPr>
        <w:spacing w:line="640" w:lineRule="exact"/>
        <w:ind w:firstLine="640"/>
        <w:jc w:val="both"/>
        <w:outlineLvl w:val="2"/>
      </w:pPr>
      <w:r>
        <w:rPr>
          <w:rFonts w:ascii="黑体" w:hAnsi="黑体" w:eastAsia="黑体"/>
          <w:sz w:val="32"/>
        </w:rPr>
        <w:t>六、一般公共预算财政拨款基本支出决算情况说明</w:t>
      </w:r>
    </w:p>
    <w:p w14:paraId="09DB3954">
      <w:pPr>
        <w:spacing w:line="580" w:lineRule="exact"/>
        <w:ind w:firstLine="640"/>
        <w:jc w:val="both"/>
      </w:pPr>
      <w:r>
        <w:rPr>
          <w:rFonts w:ascii="仿宋_GB2312" w:hAnsi="仿宋_GB2312" w:eastAsia="仿宋_GB2312"/>
          <w:b w:val="0"/>
          <w:sz w:val="32"/>
        </w:rPr>
        <w:t>2024年度一般公共预算财政拨款基本支出116.14万元，其中：</w:t>
      </w:r>
      <w:r>
        <w:rPr>
          <w:rFonts w:ascii="仿宋_GB2312" w:hAnsi="仿宋_GB2312" w:eastAsia="仿宋_GB2312"/>
          <w:b/>
          <w:sz w:val="32"/>
        </w:rPr>
        <w:t>人员经费114.52万元，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w:t>
      </w:r>
    </w:p>
    <w:p w14:paraId="41CE63A9">
      <w:pPr>
        <w:spacing w:line="580" w:lineRule="exact"/>
        <w:ind w:firstLine="640"/>
        <w:jc w:val="both"/>
      </w:pPr>
      <w:r>
        <w:rPr>
          <w:rFonts w:ascii="仿宋_GB2312" w:hAnsi="仿宋_GB2312" w:eastAsia="仿宋_GB2312"/>
          <w:b/>
          <w:sz w:val="32"/>
        </w:rPr>
        <w:t>公用经费1.62万元，</w:t>
      </w:r>
      <w:r>
        <w:rPr>
          <w:rFonts w:ascii="仿宋_GB2312" w:hAnsi="仿宋_GB2312" w:eastAsia="仿宋_GB2312"/>
          <w:b w:val="0"/>
          <w:sz w:val="32"/>
        </w:rPr>
        <w:t>包括：办公费、水费、电费、邮电费、差旅费。</w:t>
      </w:r>
    </w:p>
    <w:p w14:paraId="4640DD07">
      <w:pPr>
        <w:spacing w:line="640" w:lineRule="exact"/>
        <w:ind w:firstLine="640"/>
        <w:jc w:val="both"/>
        <w:outlineLvl w:val="2"/>
      </w:pPr>
      <w:r>
        <w:rPr>
          <w:rFonts w:ascii="黑体" w:hAnsi="黑体" w:eastAsia="黑体"/>
          <w:sz w:val="32"/>
        </w:rPr>
        <w:t>七、政府性基金预算财政拨款收入支出决算情况说明</w:t>
      </w:r>
    </w:p>
    <w:p w14:paraId="3CE59F4A">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98EC23D">
      <w:pPr>
        <w:spacing w:line="640" w:lineRule="exact"/>
        <w:ind w:firstLine="640"/>
        <w:jc w:val="both"/>
        <w:outlineLvl w:val="2"/>
      </w:pPr>
      <w:r>
        <w:rPr>
          <w:rFonts w:ascii="黑体" w:hAnsi="黑体" w:eastAsia="黑体"/>
          <w:sz w:val="32"/>
        </w:rPr>
        <w:t>八、国有资本经营预算财政拨款收入支出决算情况说明</w:t>
      </w:r>
    </w:p>
    <w:p w14:paraId="7AB8A38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858CB0A">
      <w:pPr>
        <w:spacing w:line="640" w:lineRule="exact"/>
        <w:ind w:firstLine="640"/>
        <w:jc w:val="both"/>
        <w:outlineLvl w:val="2"/>
      </w:pPr>
      <w:r>
        <w:rPr>
          <w:rFonts w:ascii="黑体" w:hAnsi="黑体" w:eastAsia="黑体"/>
          <w:sz w:val="32"/>
        </w:rPr>
        <w:t>九、财政拨款“三公”经费支出决算情况说明</w:t>
      </w:r>
    </w:p>
    <w:p w14:paraId="5214B88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E7B9DED">
      <w:pPr>
        <w:spacing w:line="580" w:lineRule="exact"/>
        <w:ind w:firstLine="640"/>
        <w:jc w:val="both"/>
      </w:pPr>
      <w:r>
        <w:rPr>
          <w:rFonts w:ascii="仿宋_GB2312" w:hAnsi="仿宋_GB2312" w:eastAsia="仿宋_GB2312"/>
          <w:b/>
          <w:sz w:val="32"/>
        </w:rPr>
        <w:t>具体情况如下：</w:t>
      </w:r>
    </w:p>
    <w:p w14:paraId="656D2DD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7D055B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F3E4E4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674DD0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E434B09">
      <w:pPr>
        <w:spacing w:line="640" w:lineRule="exact"/>
        <w:ind w:firstLine="640"/>
        <w:jc w:val="both"/>
        <w:outlineLvl w:val="2"/>
      </w:pPr>
      <w:r>
        <w:rPr>
          <w:rFonts w:ascii="黑体" w:hAnsi="黑体" w:eastAsia="黑体"/>
          <w:sz w:val="32"/>
        </w:rPr>
        <w:t>十、其他重要事项的情况说明</w:t>
      </w:r>
    </w:p>
    <w:p w14:paraId="494BBE72">
      <w:pPr>
        <w:spacing w:line="640" w:lineRule="exact"/>
        <w:ind w:firstLine="640"/>
        <w:jc w:val="both"/>
        <w:outlineLvl w:val="3"/>
      </w:pPr>
      <w:r>
        <w:rPr>
          <w:rFonts w:ascii="楷体_GB2312" w:hAnsi="楷体_GB2312" w:eastAsia="楷体_GB2312"/>
          <w:b/>
          <w:sz w:val="32"/>
        </w:rPr>
        <w:t>（一）机关运行经费及公用经费支出情况</w:t>
      </w:r>
    </w:p>
    <w:p w14:paraId="718E203E">
      <w:pPr>
        <w:spacing w:line="580" w:lineRule="exact"/>
        <w:ind w:firstLine="640"/>
        <w:jc w:val="both"/>
      </w:pPr>
      <w:r>
        <w:rPr>
          <w:rFonts w:ascii="仿宋_GB2312" w:hAnsi="仿宋_GB2312" w:eastAsia="仿宋_GB2312"/>
          <w:b w:val="0"/>
          <w:sz w:val="32"/>
        </w:rPr>
        <w:t>2024年度英吉沙县供销合作社联合社（事业单位）公用经费支出1.62万元，比上年增加0.08万元，增长5.19%，主要原因是：本年增加水费、电费等经费，导致公用经费支出增加。</w:t>
      </w:r>
    </w:p>
    <w:p w14:paraId="77559422">
      <w:pPr>
        <w:spacing w:line="640" w:lineRule="exact"/>
        <w:ind w:firstLine="640"/>
        <w:jc w:val="both"/>
        <w:outlineLvl w:val="3"/>
      </w:pPr>
      <w:r>
        <w:rPr>
          <w:rFonts w:ascii="楷体_GB2312" w:hAnsi="楷体_GB2312" w:eastAsia="楷体_GB2312"/>
          <w:b/>
          <w:sz w:val="32"/>
        </w:rPr>
        <w:t>（二）政府采购情况</w:t>
      </w:r>
    </w:p>
    <w:p w14:paraId="535CC6A8">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19CFB4B2">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48F0E452">
      <w:pPr>
        <w:spacing w:line="640" w:lineRule="exact"/>
        <w:ind w:firstLine="640"/>
        <w:jc w:val="both"/>
        <w:outlineLvl w:val="3"/>
      </w:pPr>
      <w:r>
        <w:rPr>
          <w:rFonts w:ascii="楷体_GB2312" w:hAnsi="楷体_GB2312" w:eastAsia="楷体_GB2312"/>
          <w:b/>
          <w:sz w:val="32"/>
        </w:rPr>
        <w:t>（三）国有资产占用情况说明</w:t>
      </w:r>
    </w:p>
    <w:p w14:paraId="5E47153B">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14E9299">
      <w:pPr>
        <w:spacing w:line="640" w:lineRule="exact"/>
        <w:ind w:firstLine="640"/>
        <w:jc w:val="both"/>
        <w:outlineLvl w:val="2"/>
      </w:pPr>
      <w:r>
        <w:rPr>
          <w:rFonts w:ascii="黑体" w:hAnsi="黑体" w:eastAsia="黑体"/>
          <w:sz w:val="32"/>
        </w:rPr>
        <w:t>十一、预算绩效的情况说明</w:t>
      </w:r>
    </w:p>
    <w:p w14:paraId="7F169241">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116.13万元，实际执行总额116.13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14:paraId="6D4EA7EF">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420"/>
        <w:gridCol w:w="563"/>
        <w:gridCol w:w="983"/>
        <w:gridCol w:w="983"/>
      </w:tblGrid>
      <w:tr w14:paraId="00062DCA">
        <w:tblPrEx>
          <w:tblCellMar>
            <w:top w:w="0" w:type="dxa"/>
            <w:left w:w="108" w:type="dxa"/>
            <w:bottom w:w="0" w:type="dxa"/>
            <w:right w:w="108" w:type="dxa"/>
          </w:tblCellMar>
        </w:tblPrEx>
        <w:tc>
          <w:tcPr>
            <w:tcW w:w="8847" w:type="dxa"/>
            <w:gridSpan w:val="10"/>
            <w:vAlign w:val="center"/>
          </w:tcPr>
          <w:p w14:paraId="577BA344">
            <w:pPr>
              <w:jc w:val="center"/>
            </w:pPr>
            <w:r>
              <w:rPr>
                <w:rFonts w:ascii="宋体" w:hAnsi="宋体" w:eastAsia="宋体"/>
                <w:sz w:val="24"/>
              </w:rPr>
              <w:t>单位整体支出绩效自评表</w:t>
            </w:r>
          </w:p>
        </w:tc>
      </w:tr>
      <w:tr w14:paraId="6C3EAE3A">
        <w:tblPrEx>
          <w:tblCellMar>
            <w:top w:w="0" w:type="dxa"/>
            <w:left w:w="108" w:type="dxa"/>
            <w:bottom w:w="0" w:type="dxa"/>
            <w:right w:w="108" w:type="dxa"/>
          </w:tblCellMar>
        </w:tblPrEx>
        <w:tc>
          <w:tcPr>
            <w:tcW w:w="8847" w:type="dxa"/>
            <w:gridSpan w:val="10"/>
            <w:vAlign w:val="center"/>
          </w:tcPr>
          <w:p w14:paraId="741CF787">
            <w:pPr>
              <w:jc w:val="center"/>
            </w:pPr>
            <w:r>
              <w:rPr>
                <w:rFonts w:ascii="宋体" w:hAnsi="宋体" w:eastAsia="宋体"/>
                <w:sz w:val="24"/>
              </w:rPr>
              <w:t>（2024年度）</w:t>
            </w:r>
          </w:p>
        </w:tc>
      </w:tr>
      <w:tr w14:paraId="30EA3FD8">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353E36">
            <w:pPr>
              <w:jc w:val="center"/>
            </w:pPr>
            <w:r>
              <w:rPr>
                <w:rFonts w:ascii="宋体" w:hAnsi="宋体" w:eastAsia="宋体"/>
                <w:sz w:val="16"/>
              </w:rPr>
              <w:t>单位名称</w:t>
            </w:r>
          </w:p>
        </w:tc>
        <w:tc>
          <w:tcPr>
            <w:tcW w:w="7864" w:type="dxa"/>
            <w:gridSpan w:val="9"/>
            <w:tcBorders>
              <w:top w:val="single" w:color="auto" w:sz="10" w:space="0"/>
              <w:left w:val="single" w:color="auto" w:sz="10" w:space="0"/>
              <w:bottom w:val="single" w:color="auto" w:sz="10" w:space="0"/>
              <w:right w:val="single" w:color="auto" w:sz="10" w:space="0"/>
              <w:insideV w:val="single" w:sz="10" w:space="0"/>
            </w:tcBorders>
            <w:vAlign w:val="center"/>
          </w:tcPr>
          <w:p w14:paraId="181CBBA1">
            <w:pPr>
              <w:jc w:val="center"/>
            </w:pPr>
            <w:r>
              <w:rPr>
                <w:rFonts w:ascii="宋体" w:hAnsi="宋体" w:eastAsia="宋体"/>
                <w:sz w:val="16"/>
              </w:rPr>
              <w:t>英吉沙县供销合作社联合社</w:t>
            </w:r>
          </w:p>
        </w:tc>
      </w:tr>
      <w:tr w14:paraId="52C620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3710E3">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28D1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77FD2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B73A47">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93968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3E574D">
            <w:pPr>
              <w:jc w:val="center"/>
            </w:pPr>
            <w:r>
              <w:rPr>
                <w:rFonts w:ascii="宋体" w:hAnsi="宋体" w:eastAsia="宋体"/>
                <w:sz w:val="16"/>
              </w:rPr>
              <w:t>分值权重</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DAB300">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58F3D">
            <w:pPr>
              <w:jc w:val="center"/>
            </w:pPr>
            <w:r>
              <w:rPr>
                <w:rFonts w:ascii="宋体" w:hAnsi="宋体" w:eastAsia="宋体"/>
                <w:sz w:val="16"/>
              </w:rPr>
              <w:t>得分</w:t>
            </w:r>
          </w:p>
        </w:tc>
      </w:tr>
      <w:tr w14:paraId="344526B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A2E4F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62CAF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7714F8">
            <w:pPr>
              <w:jc w:val="center"/>
            </w:pPr>
            <w:r>
              <w:rPr>
                <w:rFonts w:ascii="宋体" w:hAnsi="宋体" w:eastAsia="宋体"/>
                <w:sz w:val="16"/>
              </w:rPr>
              <w:t>116.43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E1F5D">
            <w:pPr>
              <w:jc w:val="center"/>
            </w:pPr>
            <w:r>
              <w:rPr>
                <w:rFonts w:ascii="宋体" w:hAnsi="宋体" w:eastAsia="宋体"/>
                <w:sz w:val="16"/>
              </w:rPr>
              <w:t>116.13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6F5F94">
            <w:pPr>
              <w:jc w:val="center"/>
            </w:pPr>
            <w:r>
              <w:rPr>
                <w:rFonts w:ascii="宋体" w:hAnsi="宋体" w:eastAsia="宋体"/>
                <w:sz w:val="16"/>
              </w:rPr>
              <w:t>116.13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32D1F0">
            <w:pPr>
              <w:jc w:val="center"/>
            </w:pPr>
            <w:r>
              <w:rPr>
                <w:rFonts w:ascii="宋体" w:hAnsi="宋体" w:eastAsia="宋体"/>
                <w:sz w:val="16"/>
              </w:rPr>
              <w:t>10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4628">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D9B78">
            <w:pPr>
              <w:jc w:val="center"/>
            </w:pPr>
            <w:r>
              <w:rPr>
                <w:rFonts w:ascii="宋体" w:hAnsi="宋体" w:eastAsia="宋体"/>
                <w:sz w:val="16"/>
              </w:rPr>
              <w:t>10</w:t>
            </w:r>
          </w:p>
        </w:tc>
      </w:tr>
      <w:tr w14:paraId="6D4BC19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95DB96E"/>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DDB182">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D5508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11D8B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2AAC5">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E1D8FA">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9F19D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8DB5E">
            <w:pPr>
              <w:jc w:val="center"/>
            </w:pPr>
            <w:r>
              <w:rPr>
                <w:rFonts w:ascii="宋体" w:hAnsi="宋体" w:eastAsia="宋体"/>
                <w:sz w:val="16"/>
              </w:rPr>
              <w:t>—</w:t>
            </w:r>
          </w:p>
        </w:tc>
      </w:tr>
      <w:tr w14:paraId="53B9BD7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6A33DA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A6B6A">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1259F">
            <w:pPr>
              <w:jc w:val="center"/>
            </w:pPr>
            <w:r>
              <w:rPr>
                <w:rFonts w:ascii="宋体" w:hAnsi="宋体" w:eastAsia="宋体"/>
                <w:sz w:val="16"/>
              </w:rPr>
              <w:t>116.43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7C86FD">
            <w:pPr>
              <w:jc w:val="center"/>
            </w:pPr>
            <w:r>
              <w:rPr>
                <w:rFonts w:ascii="宋体" w:hAnsi="宋体" w:eastAsia="宋体"/>
                <w:sz w:val="16"/>
              </w:rPr>
              <w:t>116.13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B4AED4">
            <w:pPr>
              <w:jc w:val="center"/>
            </w:pPr>
            <w:r>
              <w:rPr>
                <w:rFonts w:ascii="宋体" w:hAnsi="宋体" w:eastAsia="宋体"/>
                <w:sz w:val="16"/>
              </w:rPr>
              <w:t>116.13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8E584B">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F03CF">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C4DE9">
            <w:pPr>
              <w:jc w:val="center"/>
            </w:pPr>
            <w:r>
              <w:rPr>
                <w:rFonts w:ascii="宋体" w:hAnsi="宋体" w:eastAsia="宋体"/>
                <w:sz w:val="16"/>
              </w:rPr>
              <w:t>—</w:t>
            </w:r>
          </w:p>
        </w:tc>
      </w:tr>
      <w:tr w14:paraId="6284CA2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15BE72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FFE3AB">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F440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E90619">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684CA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CEAA96">
            <w:pPr>
              <w:jc w:val="center"/>
            </w:pPr>
            <w:r>
              <w:rPr>
                <w:rFonts w:ascii="宋体" w:hAnsi="宋体" w:eastAsia="宋体"/>
                <w:sz w:val="16"/>
              </w:rPr>
              <w:t>—</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B9806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43C213">
            <w:pPr>
              <w:jc w:val="center"/>
            </w:pPr>
            <w:r>
              <w:rPr>
                <w:rFonts w:ascii="宋体" w:hAnsi="宋体" w:eastAsia="宋体"/>
                <w:sz w:val="16"/>
              </w:rPr>
              <w:t>—</w:t>
            </w:r>
          </w:p>
        </w:tc>
      </w:tr>
      <w:tr w14:paraId="0AB8494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BD5DC">
            <w:pPr>
              <w:jc w:val="center"/>
            </w:pPr>
            <w:r>
              <w:rPr>
                <w:rFonts w:ascii="宋体" w:hAnsi="宋体" w:eastAsia="宋体"/>
                <w:sz w:val="16"/>
              </w:rPr>
              <w:t>年度总体目标</w:t>
            </w:r>
          </w:p>
        </w:tc>
        <w:tc>
          <w:tcPr>
            <w:tcW w:w="53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343FF84">
            <w:pPr>
              <w:jc w:val="center"/>
            </w:pPr>
            <w:r>
              <w:rPr>
                <w:rFonts w:ascii="宋体" w:hAnsi="宋体" w:eastAsia="宋体"/>
                <w:sz w:val="16"/>
              </w:rPr>
              <w:t>预期目标</w:t>
            </w:r>
          </w:p>
        </w:tc>
        <w:tc>
          <w:tcPr>
            <w:tcW w:w="252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31FFBF">
            <w:pPr>
              <w:jc w:val="center"/>
            </w:pPr>
            <w:r>
              <w:rPr>
                <w:rFonts w:ascii="宋体" w:hAnsi="宋体" w:eastAsia="宋体"/>
                <w:sz w:val="16"/>
              </w:rPr>
              <w:t>实际完成情况</w:t>
            </w:r>
          </w:p>
        </w:tc>
      </w:tr>
      <w:tr w14:paraId="3321320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48D1B0A"/>
        </w:tc>
        <w:tc>
          <w:tcPr>
            <w:tcW w:w="533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F0FE80A">
            <w:pPr>
              <w:jc w:val="both"/>
            </w:pPr>
            <w:r>
              <w:rPr>
                <w:rFonts w:ascii="宋体" w:hAnsi="宋体" w:eastAsia="宋体"/>
                <w:sz w:val="16"/>
              </w:rPr>
              <w:t>2024 年县供销社围绕上级供销社综合改革工作目标任务，各股室、各基层社（公司）密切配合，全力以赴，使供销社综合改革工作逐步取得进展；持续做好“英吉沙杏”品牌推广项目，取得英吉沙杏有机产品认证证书及良好农业规范（GAP）认证证书；继续抓好民生用煤保障工作及重要农业生产资料经营与管理；持续抓好党风廉政建设。做好冬季平价民生煤销售，切实保障各族人民群众温暖过冬，2024 年，县供销社计划在全县设立 13 个煤炭直销点，直供直销平价民生煤 6500 吨；2024 年，英吉沙县供销社在各基层社、开发办社服务点计划农资销售 9000 吨；做好农产品销售工作，经常深入基层调研，对出现蔬菜、农产品滞销的乡镇、村发挥供销主责主业帮助联系销售，助力乡村振兴，2024 年，英吉沙县供销社</w:t>
            </w:r>
            <w:r>
              <w:rPr>
                <w:rFonts w:hint="eastAsia" w:ascii="宋体" w:hAnsi="宋体"/>
                <w:sz w:val="16"/>
                <w:lang w:eastAsia="zh-CN"/>
              </w:rPr>
              <w:t>计划</w:t>
            </w:r>
            <w:r>
              <w:rPr>
                <w:rFonts w:ascii="宋体" w:hAnsi="宋体" w:eastAsia="宋体"/>
                <w:sz w:val="16"/>
              </w:rPr>
              <w:t>协助销售本地农产品、果蔬 30 吨，计划与4家企业签订开放办社协议。</w:t>
            </w:r>
          </w:p>
        </w:tc>
        <w:tc>
          <w:tcPr>
            <w:tcW w:w="252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179BA5A">
            <w:pPr>
              <w:jc w:val="both"/>
            </w:pPr>
            <w:r>
              <w:rPr>
                <w:rFonts w:hint="eastAsia" w:ascii="宋体" w:hAnsi="宋体"/>
                <w:sz w:val="16"/>
                <w:lang w:eastAsia="zh-CN"/>
              </w:rPr>
              <w:t>截至2024</w:t>
            </w:r>
            <w:r>
              <w:rPr>
                <w:rFonts w:ascii="宋体" w:hAnsi="宋体" w:eastAsia="宋体"/>
                <w:sz w:val="16"/>
              </w:rPr>
              <w:t>年12月，</w:t>
            </w:r>
            <w:r>
              <w:rPr>
                <w:rFonts w:hint="eastAsia" w:ascii="宋体" w:hAnsi="宋体"/>
                <w:sz w:val="16"/>
                <w:lang w:val="en-US" w:eastAsia="zh-CN"/>
              </w:rPr>
              <w:t>本</w:t>
            </w:r>
            <w:r>
              <w:rPr>
                <w:rFonts w:ascii="宋体" w:hAnsi="宋体" w:eastAsia="宋体"/>
                <w:sz w:val="16"/>
              </w:rPr>
              <w:t>单位目前完成设立煤炭直销点13个，协助销售本地农产品、果蔬30吨，直供直销平价民生煤6500吨，签订开放办社协议企业4家，计划农资销售97930吨，并与9家企业签订开放办社协议，保障民生用煤及重要农业生产资料经营与管理，做好冬季平价民生煤销售，切实保障各族人民群众温暖过冬。</w:t>
            </w:r>
          </w:p>
        </w:tc>
      </w:tr>
      <w:tr w14:paraId="51CEDFF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6AD06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E9F36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21C1FF">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AED25A">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CFC0E">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4CC603">
            <w:pPr>
              <w:jc w:val="center"/>
            </w:pPr>
            <w:r>
              <w:rPr>
                <w:rFonts w:ascii="宋体" w:hAnsi="宋体" w:eastAsia="宋体"/>
                <w:sz w:val="16"/>
              </w:rPr>
              <w:t>分值权重</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005F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EAF04E">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873E3A">
            <w:pPr>
              <w:jc w:val="center"/>
            </w:pPr>
            <w:r>
              <w:rPr>
                <w:rFonts w:ascii="宋体" w:hAnsi="宋体" w:eastAsia="宋体"/>
                <w:sz w:val="16"/>
              </w:rPr>
              <w:t>得分</w:t>
            </w:r>
          </w:p>
        </w:tc>
      </w:tr>
      <w:tr w14:paraId="14EC886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D54336">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5B3E6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6C933D">
            <w:pPr>
              <w:jc w:val="center"/>
            </w:pPr>
            <w:r>
              <w:rPr>
                <w:rFonts w:ascii="宋体" w:hAnsi="宋体" w:eastAsia="宋体"/>
                <w:sz w:val="16"/>
              </w:rPr>
              <w:t>全县设立煤炭直销点个数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F214B1">
            <w:pPr>
              <w:jc w:val="center"/>
            </w:pPr>
            <w:r>
              <w:rPr>
                <w:rFonts w:ascii="宋体" w:hAnsi="宋体" w:eastAsia="宋体"/>
                <w:sz w:val="16"/>
              </w:rPr>
              <w:t>&gt;=13个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DF104">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53F3CB">
            <w:pPr>
              <w:jc w:val="center"/>
            </w:pPr>
            <w:r>
              <w:rPr>
                <w:rFonts w:ascii="宋体" w:hAnsi="宋体" w:eastAsia="宋体"/>
                <w:sz w:val="16"/>
              </w:rPr>
              <w:t>20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C3309B">
            <w:pPr>
              <w:jc w:val="center"/>
            </w:pPr>
            <w:r>
              <w:rPr>
                <w:rFonts w:ascii="宋体" w:hAnsi="宋体" w:eastAsia="宋体"/>
                <w:sz w:val="16"/>
              </w:rPr>
              <w:t>=13个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DC0A46">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03B0E0">
            <w:pPr>
              <w:jc w:val="center"/>
            </w:pPr>
            <w:r>
              <w:rPr>
                <w:rFonts w:ascii="宋体" w:hAnsi="宋体" w:eastAsia="宋体"/>
                <w:sz w:val="16"/>
              </w:rPr>
              <w:t>20</w:t>
            </w:r>
          </w:p>
        </w:tc>
      </w:tr>
      <w:tr w14:paraId="265E460F">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F1FBF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1936F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7BFEED">
            <w:pPr>
              <w:jc w:val="center"/>
            </w:pPr>
            <w:r>
              <w:rPr>
                <w:rFonts w:ascii="宋体" w:hAnsi="宋体" w:eastAsia="宋体"/>
                <w:sz w:val="16"/>
              </w:rPr>
              <w:t>协助销售本地农产品、果蔬吨数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32B616">
            <w:pPr>
              <w:jc w:val="center"/>
            </w:pPr>
            <w:r>
              <w:rPr>
                <w:rFonts w:ascii="宋体" w:hAnsi="宋体" w:eastAsia="宋体"/>
                <w:sz w:val="16"/>
              </w:rPr>
              <w:t>&gt;=30吨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3F7E4D">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E17065">
            <w:pPr>
              <w:jc w:val="center"/>
            </w:pPr>
            <w:r>
              <w:rPr>
                <w:rFonts w:ascii="宋体" w:hAnsi="宋体" w:eastAsia="宋体"/>
                <w:sz w:val="16"/>
              </w:rPr>
              <w:t>20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685F17">
            <w:pPr>
              <w:jc w:val="center"/>
            </w:pPr>
            <w:r>
              <w:rPr>
                <w:rFonts w:ascii="宋体" w:hAnsi="宋体" w:eastAsia="宋体"/>
                <w:sz w:val="16"/>
              </w:rPr>
              <w:t>=30吨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DF595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5D260D">
            <w:pPr>
              <w:jc w:val="center"/>
            </w:pPr>
            <w:r>
              <w:rPr>
                <w:rFonts w:ascii="宋体" w:hAnsi="宋体" w:eastAsia="宋体"/>
                <w:sz w:val="16"/>
              </w:rPr>
              <w:t>20</w:t>
            </w:r>
          </w:p>
        </w:tc>
      </w:tr>
      <w:tr w14:paraId="17E0F6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F251260"/>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3D2F30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01F472">
            <w:pPr>
              <w:jc w:val="center"/>
            </w:pPr>
            <w:r>
              <w:rPr>
                <w:rFonts w:ascii="宋体" w:hAnsi="宋体" w:eastAsia="宋体"/>
                <w:sz w:val="16"/>
              </w:rPr>
              <w:t>直供直销平价</w:t>
            </w:r>
            <w:bookmarkStart w:id="0" w:name="_GoBack"/>
            <w:bookmarkEnd w:id="0"/>
            <w:r>
              <w:rPr>
                <w:rFonts w:ascii="宋体" w:hAnsi="宋体" w:eastAsia="宋体"/>
                <w:sz w:val="16"/>
              </w:rPr>
              <w:t>民生煤吨数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64F88">
            <w:pPr>
              <w:jc w:val="center"/>
            </w:pPr>
            <w:r>
              <w:rPr>
                <w:rFonts w:ascii="宋体" w:hAnsi="宋体" w:eastAsia="宋体"/>
                <w:sz w:val="16"/>
              </w:rPr>
              <w:t>&gt;=6500吨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251EF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F626D9">
            <w:pPr>
              <w:jc w:val="center"/>
            </w:pPr>
            <w:r>
              <w:rPr>
                <w:rFonts w:ascii="宋体" w:hAnsi="宋体" w:eastAsia="宋体"/>
                <w:sz w:val="16"/>
              </w:rPr>
              <w:t>20</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6CCCF">
            <w:pPr>
              <w:jc w:val="center"/>
            </w:pPr>
            <w:r>
              <w:rPr>
                <w:rFonts w:ascii="宋体" w:hAnsi="宋体" w:eastAsia="宋体"/>
                <w:sz w:val="16"/>
              </w:rPr>
              <w:t>=6500吨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A728B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83E65">
            <w:pPr>
              <w:jc w:val="center"/>
            </w:pPr>
            <w:r>
              <w:rPr>
                <w:rFonts w:ascii="宋体" w:hAnsi="宋体" w:eastAsia="宋体"/>
                <w:sz w:val="16"/>
              </w:rPr>
              <w:t>20</w:t>
            </w:r>
          </w:p>
        </w:tc>
      </w:tr>
      <w:tr w14:paraId="4A08CCE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A96936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BB5D153"/>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FD75B2">
            <w:pPr>
              <w:jc w:val="center"/>
            </w:pPr>
            <w:r>
              <w:rPr>
                <w:rFonts w:ascii="宋体" w:hAnsi="宋体" w:eastAsia="宋体"/>
                <w:sz w:val="16"/>
              </w:rPr>
              <w:t>签订开放办社协议企业个数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B66690">
            <w:pPr>
              <w:jc w:val="center"/>
            </w:pPr>
            <w:r>
              <w:rPr>
                <w:rFonts w:ascii="宋体" w:hAnsi="宋体" w:eastAsia="宋体"/>
                <w:sz w:val="16"/>
              </w:rPr>
              <w:t>=4家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AA89D6">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16A859">
            <w:pPr>
              <w:jc w:val="center"/>
            </w:pPr>
            <w:r>
              <w:rPr>
                <w:rFonts w:ascii="宋体" w:hAnsi="宋体" w:eastAsia="宋体"/>
                <w:sz w:val="16"/>
              </w:rPr>
              <w:t>15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A90B9">
            <w:pPr>
              <w:jc w:val="center"/>
            </w:pPr>
            <w:r>
              <w:rPr>
                <w:rFonts w:ascii="宋体" w:hAnsi="宋体" w:eastAsia="宋体"/>
                <w:sz w:val="16"/>
              </w:rPr>
              <w:t>=9家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5E142A">
            <w:pPr>
              <w:jc w:val="center"/>
            </w:pPr>
            <w:r>
              <w:rPr>
                <w:rFonts w:ascii="宋体" w:hAnsi="宋体" w:eastAsia="宋体"/>
                <w:sz w:val="16"/>
              </w:rPr>
              <w:t>225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E3F89A">
            <w:pPr>
              <w:jc w:val="center"/>
            </w:pPr>
            <w:r>
              <w:rPr>
                <w:rFonts w:ascii="宋体" w:hAnsi="宋体" w:eastAsia="宋体"/>
                <w:sz w:val="16"/>
              </w:rPr>
              <w:t>15</w:t>
            </w:r>
          </w:p>
        </w:tc>
      </w:tr>
      <w:tr w14:paraId="472011C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3FAB57"/>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757C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2A4C8F">
            <w:pPr>
              <w:jc w:val="center"/>
            </w:pPr>
            <w:r>
              <w:rPr>
                <w:rFonts w:ascii="宋体" w:hAnsi="宋体" w:eastAsia="宋体"/>
                <w:sz w:val="16"/>
              </w:rPr>
              <w:t>计划农资销售数量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85392E">
            <w:pPr>
              <w:jc w:val="center"/>
            </w:pPr>
            <w:r>
              <w:rPr>
                <w:rFonts w:ascii="宋体" w:hAnsi="宋体" w:eastAsia="宋体"/>
                <w:sz w:val="16"/>
              </w:rPr>
              <w:t>&gt;=9000吨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BF7338">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DD6D6">
            <w:pPr>
              <w:jc w:val="center"/>
            </w:pPr>
            <w:r>
              <w:rPr>
                <w:rFonts w:ascii="宋体" w:hAnsi="宋体" w:eastAsia="宋体"/>
                <w:sz w:val="16"/>
              </w:rPr>
              <w:t>15</w:t>
            </w:r>
          </w:p>
        </w:tc>
        <w:tc>
          <w:tcPr>
            <w:tcW w:w="9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F0974">
            <w:pPr>
              <w:jc w:val="center"/>
            </w:pPr>
            <w:r>
              <w:rPr>
                <w:rFonts w:ascii="宋体" w:hAnsi="宋体" w:eastAsia="宋体"/>
                <w:sz w:val="16"/>
              </w:rPr>
              <w:t>=9730吨</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D2D4B9">
            <w:pPr>
              <w:jc w:val="center"/>
            </w:pPr>
            <w:r>
              <w:rPr>
                <w:rFonts w:ascii="宋体" w:hAnsi="宋体" w:eastAsia="宋体"/>
                <w:sz w:val="16"/>
              </w:rPr>
              <w:t>108.11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2FF8AD">
            <w:pPr>
              <w:jc w:val="center"/>
            </w:pPr>
            <w:r>
              <w:rPr>
                <w:rFonts w:ascii="宋体" w:hAnsi="宋体" w:eastAsia="宋体"/>
                <w:sz w:val="16"/>
              </w:rPr>
              <w:t>15</w:t>
            </w:r>
          </w:p>
        </w:tc>
      </w:tr>
    </w:tbl>
    <w:p w14:paraId="27AC199E">
      <w:r>
        <w:br w:type="page"/>
      </w:r>
    </w:p>
    <w:p w14:paraId="45E85F98">
      <w:pPr>
        <w:spacing w:line="640" w:lineRule="exact"/>
        <w:ind w:firstLine="640"/>
        <w:jc w:val="both"/>
        <w:outlineLvl w:val="2"/>
      </w:pPr>
      <w:r>
        <w:rPr>
          <w:rFonts w:ascii="黑体" w:hAnsi="黑体" w:eastAsia="黑体"/>
          <w:sz w:val="32"/>
        </w:rPr>
        <w:t>十二、其他需说明的事项</w:t>
      </w:r>
    </w:p>
    <w:p w14:paraId="4B1944C5">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43D4594A">
      <w:r>
        <w:br w:type="page"/>
      </w:r>
    </w:p>
    <w:p w14:paraId="7951344A">
      <w:pPr>
        <w:spacing w:line="240" w:lineRule="auto"/>
        <w:jc w:val="center"/>
        <w:outlineLvl w:val="1"/>
      </w:pPr>
      <w:r>
        <w:rPr>
          <w:rFonts w:ascii="黑体" w:hAnsi="黑体" w:eastAsia="黑体"/>
          <w:sz w:val="32"/>
        </w:rPr>
        <w:t>第三部分 专业名词解释</w:t>
      </w:r>
    </w:p>
    <w:p w14:paraId="6FE0F3B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8CFDFFE">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AE8D82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D2A865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EF0BBA">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2977BF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290CAA3">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8981E3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0C9C3DB">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FD494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F180E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EE3D54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EAA1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588F9BD">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CE0BAAA">
      <w:r>
        <w:br w:type="page"/>
      </w:r>
    </w:p>
    <w:p w14:paraId="54527433">
      <w:pPr>
        <w:spacing w:line="240" w:lineRule="auto"/>
        <w:jc w:val="center"/>
        <w:outlineLvl w:val="1"/>
      </w:pPr>
      <w:r>
        <w:rPr>
          <w:rFonts w:ascii="黑体" w:hAnsi="黑体" w:eastAsia="黑体"/>
          <w:sz w:val="32"/>
        </w:rPr>
        <w:t>第四部分 部门决算报表（见附表）</w:t>
      </w:r>
    </w:p>
    <w:p w14:paraId="03DF93EE">
      <w:pPr>
        <w:spacing w:line="240" w:lineRule="auto"/>
        <w:ind w:firstLine="640"/>
        <w:jc w:val="both"/>
      </w:pPr>
      <w:r>
        <w:rPr>
          <w:rFonts w:ascii="仿宋_GB2312" w:hAnsi="仿宋_GB2312" w:eastAsia="仿宋_GB2312"/>
          <w:b w:val="0"/>
          <w:sz w:val="32"/>
        </w:rPr>
        <w:t>一、《收入支出决算总表》</w:t>
      </w:r>
    </w:p>
    <w:p w14:paraId="2CB60F6C">
      <w:pPr>
        <w:spacing w:line="240" w:lineRule="auto"/>
        <w:ind w:firstLine="640"/>
        <w:jc w:val="both"/>
      </w:pPr>
      <w:r>
        <w:rPr>
          <w:rFonts w:ascii="仿宋_GB2312" w:hAnsi="仿宋_GB2312" w:eastAsia="仿宋_GB2312"/>
          <w:b w:val="0"/>
          <w:sz w:val="32"/>
        </w:rPr>
        <w:t>二、《收入决算表》</w:t>
      </w:r>
    </w:p>
    <w:p w14:paraId="088DCAEB">
      <w:pPr>
        <w:spacing w:line="240" w:lineRule="auto"/>
        <w:ind w:firstLine="640"/>
        <w:jc w:val="both"/>
      </w:pPr>
      <w:r>
        <w:rPr>
          <w:rFonts w:ascii="仿宋_GB2312" w:hAnsi="仿宋_GB2312" w:eastAsia="仿宋_GB2312"/>
          <w:b w:val="0"/>
          <w:sz w:val="32"/>
        </w:rPr>
        <w:t>三、《支出决算表》</w:t>
      </w:r>
    </w:p>
    <w:p w14:paraId="253879A6">
      <w:pPr>
        <w:spacing w:line="240" w:lineRule="auto"/>
        <w:ind w:firstLine="640"/>
        <w:jc w:val="both"/>
      </w:pPr>
      <w:r>
        <w:rPr>
          <w:rFonts w:ascii="仿宋_GB2312" w:hAnsi="仿宋_GB2312" w:eastAsia="仿宋_GB2312"/>
          <w:b w:val="0"/>
          <w:sz w:val="32"/>
        </w:rPr>
        <w:t>四、《财政拨款收入支出决算总表》</w:t>
      </w:r>
    </w:p>
    <w:p w14:paraId="7FB28382">
      <w:pPr>
        <w:spacing w:line="240" w:lineRule="auto"/>
        <w:ind w:firstLine="640"/>
        <w:jc w:val="both"/>
      </w:pPr>
      <w:r>
        <w:rPr>
          <w:rFonts w:ascii="仿宋_GB2312" w:hAnsi="仿宋_GB2312" w:eastAsia="仿宋_GB2312"/>
          <w:b w:val="0"/>
          <w:sz w:val="32"/>
        </w:rPr>
        <w:t>五、《一般公共预算财政拨款支出决算表》</w:t>
      </w:r>
    </w:p>
    <w:p w14:paraId="5823C8EE">
      <w:pPr>
        <w:spacing w:line="240" w:lineRule="auto"/>
        <w:ind w:firstLine="640"/>
        <w:jc w:val="both"/>
      </w:pPr>
      <w:r>
        <w:rPr>
          <w:rFonts w:ascii="仿宋_GB2312" w:hAnsi="仿宋_GB2312" w:eastAsia="仿宋_GB2312"/>
          <w:b w:val="0"/>
          <w:sz w:val="32"/>
        </w:rPr>
        <w:t>六、《一般公共预算财政拨款基本支出决算表》</w:t>
      </w:r>
    </w:p>
    <w:p w14:paraId="1E7995F0">
      <w:pPr>
        <w:spacing w:line="240" w:lineRule="auto"/>
        <w:ind w:firstLine="640"/>
        <w:jc w:val="both"/>
      </w:pPr>
      <w:r>
        <w:rPr>
          <w:rFonts w:ascii="仿宋_GB2312" w:hAnsi="仿宋_GB2312" w:eastAsia="仿宋_GB2312"/>
          <w:b w:val="0"/>
          <w:sz w:val="32"/>
        </w:rPr>
        <w:t>七、《政府性基金预算财政拨款收入支出决算表》</w:t>
      </w:r>
    </w:p>
    <w:p w14:paraId="03B565B9">
      <w:pPr>
        <w:spacing w:line="240" w:lineRule="auto"/>
        <w:ind w:firstLine="640"/>
        <w:jc w:val="both"/>
      </w:pPr>
      <w:r>
        <w:rPr>
          <w:rFonts w:ascii="仿宋_GB2312" w:hAnsi="仿宋_GB2312" w:eastAsia="仿宋_GB2312"/>
          <w:b w:val="0"/>
          <w:sz w:val="32"/>
        </w:rPr>
        <w:t>八、《国有资本经营预算财政拨款收入支出决算表》</w:t>
      </w:r>
    </w:p>
    <w:p w14:paraId="2C65C9E3">
      <w:pPr>
        <w:spacing w:line="240" w:lineRule="auto"/>
        <w:ind w:firstLine="640"/>
        <w:jc w:val="both"/>
      </w:pPr>
      <w:r>
        <w:rPr>
          <w:rFonts w:ascii="仿宋_GB2312" w:hAnsi="仿宋_GB2312" w:eastAsia="仿宋_GB2312"/>
          <w:b w:val="0"/>
          <w:sz w:val="32"/>
        </w:rPr>
        <w:t>九、《财政拨款“三公”经费支出决算表》</w:t>
      </w:r>
    </w:p>
    <w:p w14:paraId="033FA8FB">
      <w:pPr>
        <w:spacing w:line="240" w:lineRule="auto"/>
        <w:ind w:firstLine="640"/>
        <w:jc w:val="both"/>
      </w:pPr>
    </w:p>
    <w:p w14:paraId="436745F1">
      <w:pPr>
        <w:spacing w:line="240" w:lineRule="auto"/>
        <w:ind w:firstLine="640"/>
        <w:jc w:val="both"/>
      </w:pPr>
    </w:p>
    <w:p w14:paraId="22F4B186">
      <w:pPr>
        <w:spacing w:line="240" w:lineRule="auto"/>
        <w:ind w:firstLine="640"/>
        <w:jc w:val="both"/>
      </w:pPr>
    </w:p>
    <w:p w14:paraId="74E3E3C3">
      <w:pPr>
        <w:spacing w:line="240" w:lineRule="auto"/>
        <w:ind w:firstLine="640"/>
        <w:jc w:val="both"/>
      </w:pPr>
    </w:p>
    <w:p w14:paraId="5CD1F50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M1MjNkYjVmZWQ2OTZhMTIzM2Q0N2EwOWRhYTM1NmM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EBD630A"/>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DDC2CB3"/>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4FDA4F4D"/>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3882</Words>
  <Characters>4467</Characters>
  <Lines>0</Lines>
  <Paragraphs>0</Paragraphs>
  <TotalTime>3</TotalTime>
  <ScaleCrop>false</ScaleCrop>
  <LinksUpToDate>false</LinksUpToDate>
  <CharactersWithSpaces>4475</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2025-09-17T05:15:06Z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B858A68E913346F885B5BC17D4DBEB06_13</vt:lpwstr>
  </property>
  <property fmtid="{D5CDD505-2E9C-101B-9397-08002B2CF9AE}" pid="4" name="KSOTemplateDocerSaveRecord">
    <vt:lpwstr>eyJoZGlkIjoiZjc0YWFlMzUxNjVlZTcxY2FlZTNjZDFlMzE3YzBjNDEiLCJ1c2VySWQiOiIyMDM3MTI1NTkifQ==</vt:lpwstr>
  </property>
</Properties>
</file>