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8C0099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E16C0F">
      <w:r>
        <w:br w:type="page"/>
      </w:r>
    </w:p>
    <w:p w14:paraId="130ADC21">
      <w:pPr>
        <w:spacing w:line="640" w:lineRule="exact"/>
        <w:jc w:val="center"/>
        <w:outlineLvl w:val="1"/>
      </w:pPr>
      <w:r>
        <w:rPr>
          <w:rFonts w:ascii="黑体" w:hAnsi="黑体" w:eastAsia="黑体"/>
          <w:sz w:val="32"/>
        </w:rPr>
        <w:t>第一部分 单位概况</w:t>
      </w:r>
    </w:p>
    <w:p w14:paraId="0B580FCC">
      <w:pPr>
        <w:spacing w:line="640" w:lineRule="exact"/>
        <w:ind w:firstLine="640"/>
        <w:jc w:val="both"/>
        <w:outlineLvl w:val="2"/>
      </w:pPr>
      <w:r>
        <w:rPr>
          <w:rFonts w:ascii="黑体" w:hAnsi="黑体" w:eastAsia="黑体"/>
          <w:sz w:val="32"/>
        </w:rPr>
        <w:t>一、主要职能</w:t>
      </w:r>
    </w:p>
    <w:p w14:paraId="7BFC9532">
      <w:pPr>
        <w:spacing w:line="580" w:lineRule="exact"/>
        <w:ind w:firstLine="640"/>
        <w:jc w:val="both"/>
      </w:pPr>
      <w:r>
        <w:rPr>
          <w:rFonts w:ascii="仿宋_GB2312" w:hAnsi="仿宋_GB2312" w:eastAsia="仿宋_GB2312"/>
          <w:sz w:val="32"/>
        </w:rPr>
        <w:t>1.研究提出县</w:t>
      </w:r>
      <w:r>
        <w:rPr>
          <w:rFonts w:hint="eastAsia" w:ascii="仿宋_GB2312" w:hAnsi="仿宋_GB2312" w:eastAsia="仿宋_GB2312"/>
          <w:sz w:val="32"/>
          <w:lang w:eastAsia="zh-CN"/>
        </w:rPr>
        <w:t>GM</w:t>
      </w:r>
      <w:r>
        <w:rPr>
          <w:rFonts w:ascii="仿宋_GB2312" w:hAnsi="仿宋_GB2312" w:eastAsia="仿宋_GB2312"/>
          <w:sz w:val="32"/>
        </w:rPr>
        <w:t>经济和社会发展战略、中长期规划，贯彻执行国家、自治区、地区</w:t>
      </w:r>
      <w:r>
        <w:rPr>
          <w:rFonts w:hint="eastAsia" w:ascii="仿宋_GB2312" w:hAnsi="仿宋_GB2312" w:eastAsia="仿宋_GB2312"/>
          <w:sz w:val="32"/>
          <w:lang w:eastAsia="zh-CN"/>
        </w:rPr>
        <w:t>GM</w:t>
      </w:r>
      <w:r>
        <w:rPr>
          <w:rFonts w:ascii="仿宋_GB2312" w:hAnsi="仿宋_GB2312" w:eastAsia="仿宋_GB2312"/>
          <w:sz w:val="32"/>
        </w:rPr>
        <w:t>经济和社会发展方针、政策；统筹协调</w:t>
      </w:r>
      <w:r>
        <w:rPr>
          <w:rFonts w:hint="eastAsia" w:ascii="仿宋_GB2312" w:hAnsi="仿宋_GB2312" w:eastAsia="仿宋_GB2312"/>
          <w:sz w:val="32"/>
          <w:lang w:val="en-US" w:eastAsia="zh-CN"/>
        </w:rPr>
        <w:t>全</w:t>
      </w:r>
      <w:r>
        <w:rPr>
          <w:rFonts w:ascii="仿宋_GB2312" w:hAnsi="仿宋_GB2312" w:eastAsia="仿宋_GB2312"/>
          <w:sz w:val="32"/>
        </w:rPr>
        <w:t>县经济社会发展，研究分析国内外、区内外经济形势，提出</w:t>
      </w:r>
      <w:r>
        <w:rPr>
          <w:rFonts w:hint="eastAsia" w:ascii="仿宋_GB2312" w:hAnsi="仿宋_GB2312" w:eastAsia="仿宋_GB2312"/>
          <w:sz w:val="32"/>
          <w:lang w:eastAsia="zh-CN"/>
        </w:rPr>
        <w:t>GM</w:t>
      </w:r>
      <w:r>
        <w:rPr>
          <w:rFonts w:ascii="仿宋_GB2312" w:hAnsi="仿宋_GB2312" w:eastAsia="仿宋_GB2312"/>
          <w:sz w:val="32"/>
        </w:rPr>
        <w:t>经济发展、价格总水平调控和优化重大经济结构的目标、政策，提出综合运用各种经济手段和政策的建议；组织研究、协调实施重点专项规划，平衡主要行业的规划；受县人民政府委托向县人大提交</w:t>
      </w:r>
      <w:r>
        <w:rPr>
          <w:rFonts w:hint="eastAsia" w:ascii="仿宋_GB2312" w:hAnsi="仿宋_GB2312" w:eastAsia="仿宋_GB2312"/>
          <w:sz w:val="32"/>
          <w:lang w:eastAsia="zh-CN"/>
        </w:rPr>
        <w:t>GM</w:t>
      </w:r>
      <w:r>
        <w:rPr>
          <w:rFonts w:ascii="仿宋_GB2312" w:hAnsi="仿宋_GB2312" w:eastAsia="仿宋_GB2312"/>
          <w:sz w:val="32"/>
        </w:rPr>
        <w:t>经济和社会发展计划报告。</w:t>
      </w:r>
    </w:p>
    <w:p w14:paraId="2214874D">
      <w:pPr>
        <w:spacing w:line="580" w:lineRule="exact"/>
        <w:ind w:firstLine="640"/>
        <w:jc w:val="both"/>
      </w:pPr>
      <w:r>
        <w:rPr>
          <w:rFonts w:ascii="仿宋_GB2312" w:hAnsi="仿宋_GB2312" w:eastAsia="仿宋_GB2312"/>
          <w:sz w:val="32"/>
        </w:rPr>
        <w:t>2.负责监测宏观经济和社会发展态势，承担预测预警和信息引导的责任；提出促进</w:t>
      </w:r>
      <w:r>
        <w:rPr>
          <w:rFonts w:hint="eastAsia" w:ascii="仿宋_GB2312" w:hAnsi="仿宋_GB2312" w:eastAsia="仿宋_GB2312"/>
          <w:sz w:val="32"/>
          <w:lang w:eastAsia="zh-CN"/>
        </w:rPr>
        <w:t>县域</w:t>
      </w:r>
      <w:r>
        <w:rPr>
          <w:rFonts w:ascii="仿宋_GB2312" w:hAnsi="仿宋_GB2312" w:eastAsia="仿宋_GB2312"/>
          <w:sz w:val="32"/>
        </w:rPr>
        <w:t>经济高质量发展的政策建议；研究涉及经济安全及总体产业安全等重要问题并提出政策措施和建议。</w:t>
      </w:r>
    </w:p>
    <w:p w14:paraId="645DF392">
      <w:pPr>
        <w:spacing w:line="580" w:lineRule="exact"/>
        <w:ind w:firstLine="640"/>
        <w:jc w:val="both"/>
      </w:pPr>
      <w:r>
        <w:rPr>
          <w:rFonts w:ascii="仿宋_GB2312" w:hAnsi="仿宋_GB2312" w:eastAsia="仿宋_GB2312"/>
          <w:sz w:val="32"/>
        </w:rPr>
        <w:t>3.负责汇总分析县域财政、金融、产业、价格政策等方面的情况和执行效果，提出政策建议；拟定并组织实施价格政策；制定和调整政府管理的重要商品价格、服务价格和收费项目、标准；发布重大价格信息，规范市场价格行为等。</w:t>
      </w:r>
    </w:p>
    <w:p w14:paraId="7E329949">
      <w:pPr>
        <w:spacing w:line="580" w:lineRule="exact"/>
        <w:ind w:firstLine="640"/>
        <w:jc w:val="both"/>
      </w:pPr>
      <w:r>
        <w:rPr>
          <w:rFonts w:ascii="仿宋_GB2312" w:hAnsi="仿宋_GB2312" w:eastAsia="仿宋_GB2312"/>
          <w:sz w:val="32"/>
        </w:rPr>
        <w:t>4.承担经济体制改革的责任，研究县经济体制改革和对外开放的重大问题，组织拟定县综合性经济体制改革方案，协调有关专项经济体制改革方案，指导经济体制改革试点工作；组织制定区域经济协调发展规划和政策；负责县推进实施“一带一路”建设的日常组织协调工作；推进西部大开发战略和重大政策的实施；</w:t>
      </w:r>
      <w:r>
        <w:rPr>
          <w:rFonts w:hint="eastAsia" w:ascii="仿宋_GB2312" w:hAnsi="仿宋_GB2312" w:eastAsia="仿宋_GB2312"/>
          <w:sz w:val="32"/>
          <w:lang w:eastAsia="zh-CN"/>
        </w:rPr>
        <w:t>推进</w:t>
      </w:r>
      <w:r>
        <w:rPr>
          <w:rFonts w:ascii="仿宋_GB2312" w:hAnsi="仿宋_GB2312" w:eastAsia="仿宋_GB2312"/>
          <w:sz w:val="32"/>
        </w:rPr>
        <w:t>城镇化建设。</w:t>
      </w:r>
    </w:p>
    <w:p w14:paraId="3A3BEB66">
      <w:pPr>
        <w:spacing w:line="580" w:lineRule="exact"/>
        <w:ind w:firstLine="640"/>
        <w:jc w:val="both"/>
      </w:pPr>
      <w:r>
        <w:rPr>
          <w:rFonts w:ascii="仿宋_GB2312" w:hAnsi="仿宋_GB2312" w:eastAsia="仿宋_GB2312"/>
          <w:sz w:val="32"/>
        </w:rPr>
        <w:t>5.承担规划重大建设项目和生产力布局的职责，研究提出县全社会固定资产投资总规模和投资结构的目标政策及措施，规划重大项目和生产力布局；衔接平衡需要中央财政、自治区财政投资和涉及重大建设项目的专项规划；编制、下达县固定资产投资计划、重点项目建设计划和前期项目计划；负责县重大项目的管理和组织协调；争取自治区财政预算内建设资金，引导社会投资方向；按照管理权限，负责审核上报、审批、备案固定资产投资项目，审查审批项目建议书、可行性研究报告、初步设计等；组织实施固定资产投资项目节能评估审查工作；指导和协调</w:t>
      </w:r>
      <w:r>
        <w:rPr>
          <w:rFonts w:hint="eastAsia" w:ascii="仿宋_GB2312" w:hAnsi="仿宋_GB2312" w:eastAsia="仿宋_GB2312"/>
          <w:sz w:val="32"/>
          <w:lang w:val="en-US" w:eastAsia="zh-CN"/>
        </w:rPr>
        <w:t>全</w:t>
      </w:r>
      <w:r>
        <w:rPr>
          <w:rFonts w:ascii="仿宋_GB2312" w:hAnsi="仿宋_GB2312" w:eastAsia="仿宋_GB2312"/>
          <w:sz w:val="32"/>
        </w:rPr>
        <w:t>县招投标工作；配合县涉外（建设）项目安全事项审查工作。</w:t>
      </w:r>
    </w:p>
    <w:p w14:paraId="2D5EB744">
      <w:pPr>
        <w:spacing w:line="580" w:lineRule="exact"/>
        <w:ind w:firstLine="640"/>
        <w:jc w:val="both"/>
      </w:pPr>
      <w:r>
        <w:rPr>
          <w:rFonts w:ascii="仿宋_GB2312" w:hAnsi="仿宋_GB2312" w:eastAsia="仿宋_GB2312"/>
          <w:sz w:val="32"/>
        </w:rPr>
        <w:t>6.推进产业结构战略性调整和升级。组织拟</w:t>
      </w:r>
      <w:r>
        <w:rPr>
          <w:rFonts w:hint="eastAsia" w:ascii="仿宋_GB2312" w:hAnsi="仿宋_GB2312" w:eastAsia="仿宋_GB2312"/>
          <w:sz w:val="32"/>
          <w:lang w:val="en-US" w:eastAsia="zh-CN"/>
        </w:rPr>
        <w:t>订</w:t>
      </w:r>
      <w:r>
        <w:rPr>
          <w:rFonts w:ascii="仿宋_GB2312" w:hAnsi="仿宋_GB2312" w:eastAsia="仿宋_GB2312"/>
          <w:sz w:val="32"/>
        </w:rPr>
        <w:t>综合性产业政策，负责协调第</w:t>
      </w:r>
      <w:r>
        <w:rPr>
          <w:rFonts w:hint="eastAsia" w:ascii="仿宋_GB2312" w:hAnsi="仿宋_GB2312" w:eastAsia="仿宋_GB2312"/>
          <w:sz w:val="32"/>
          <w:lang w:eastAsia="zh-CN"/>
        </w:rPr>
        <w:t>一二三产业</w:t>
      </w:r>
      <w:r>
        <w:rPr>
          <w:rFonts w:ascii="仿宋_GB2312" w:hAnsi="仿宋_GB2312" w:eastAsia="仿宋_GB2312"/>
          <w:sz w:val="32"/>
        </w:rPr>
        <w:t>发展的重大问题，做好与</w:t>
      </w:r>
      <w:r>
        <w:rPr>
          <w:rFonts w:hint="eastAsia" w:ascii="仿宋_GB2312" w:hAnsi="仿宋_GB2312" w:eastAsia="仿宋_GB2312"/>
          <w:sz w:val="32"/>
          <w:lang w:eastAsia="zh-CN"/>
        </w:rPr>
        <w:t>GM</w:t>
      </w:r>
      <w:r>
        <w:rPr>
          <w:rFonts w:ascii="仿宋_GB2312" w:hAnsi="仿宋_GB2312" w:eastAsia="仿宋_GB2312"/>
          <w:sz w:val="32"/>
        </w:rPr>
        <w:t>经济和社会发展规划、计划的衔接平衡；提出</w:t>
      </w:r>
      <w:r>
        <w:rPr>
          <w:rFonts w:hint="eastAsia" w:ascii="仿宋_GB2312" w:hAnsi="仿宋_GB2312" w:eastAsia="仿宋_GB2312"/>
          <w:sz w:val="32"/>
          <w:lang w:eastAsia="zh-CN"/>
        </w:rPr>
        <w:t>GM</w:t>
      </w:r>
      <w:r>
        <w:rPr>
          <w:rFonts w:ascii="仿宋_GB2312" w:hAnsi="仿宋_GB2312" w:eastAsia="仿宋_GB2312"/>
          <w:sz w:val="32"/>
        </w:rPr>
        <w:t>经济重要产业的发展战略和规划，组织审核上报、审批专项规划；研究农业和农村经济社会发展的有关重大问题，衔接农村专项规划和政策；拟定并实施以工代赈规划和计划；组织拟</w:t>
      </w:r>
      <w:r>
        <w:rPr>
          <w:rFonts w:hint="eastAsia" w:ascii="仿宋_GB2312" w:hAnsi="仿宋_GB2312" w:eastAsia="仿宋_GB2312"/>
          <w:sz w:val="32"/>
          <w:lang w:val="en-US" w:eastAsia="zh-CN"/>
        </w:rPr>
        <w:t>订</w:t>
      </w:r>
      <w:r>
        <w:rPr>
          <w:rFonts w:ascii="仿宋_GB2312" w:hAnsi="仿宋_GB2312" w:eastAsia="仿宋_GB2312"/>
          <w:sz w:val="32"/>
        </w:rPr>
        <w:t>高技术产业发展、产业技术进步的战略、规划和政策，推动高技术产业化发展；规划、指导服务业的建设与发展。</w:t>
      </w:r>
    </w:p>
    <w:p w14:paraId="4B40CD62">
      <w:pPr>
        <w:spacing w:line="580" w:lineRule="exact"/>
        <w:ind w:firstLine="640"/>
        <w:jc w:val="both"/>
      </w:pPr>
      <w:r>
        <w:rPr>
          <w:rFonts w:ascii="仿宋_GB2312" w:hAnsi="仿宋_GB2312" w:eastAsia="仿宋_GB2312"/>
          <w:sz w:val="32"/>
        </w:rPr>
        <w:t>7.研究提出利用外资和境外投资的战略、总量平衡和结构优化的目标和政策；监测国外资金利用和境外投资情况以及县外债结构优化状况；按照管理权限，负责审核上报、审批核准、备案国外贷款项目、外商直接投资项目和境外投资项目；会同有关部门协调和审查利用重大内外资项目；会同有关部门做好招商引资工作。</w:t>
      </w:r>
    </w:p>
    <w:p w14:paraId="2BCFDC70">
      <w:pPr>
        <w:spacing w:line="580" w:lineRule="exact"/>
        <w:ind w:firstLine="640"/>
        <w:jc w:val="both"/>
      </w:pPr>
      <w:r>
        <w:rPr>
          <w:rFonts w:ascii="仿宋_GB2312" w:hAnsi="仿宋_GB2312" w:eastAsia="仿宋_GB2312"/>
          <w:sz w:val="32"/>
        </w:rPr>
        <w:t>8.承担重要商品总量平衡和宏观调控的责任，研究分析区内外市场供求状况。</w:t>
      </w:r>
    </w:p>
    <w:p w14:paraId="2B3F2162">
      <w:pPr>
        <w:spacing w:line="580" w:lineRule="exact"/>
        <w:ind w:firstLine="640"/>
        <w:jc w:val="both"/>
      </w:pPr>
      <w:r>
        <w:rPr>
          <w:rFonts w:ascii="仿宋_GB2312" w:hAnsi="仿宋_GB2312" w:eastAsia="仿宋_GB2312"/>
          <w:sz w:val="32"/>
        </w:rPr>
        <w:t>9.负责县社会发展与</w:t>
      </w:r>
      <w:r>
        <w:rPr>
          <w:rFonts w:hint="eastAsia" w:ascii="仿宋_GB2312" w:hAnsi="仿宋_GB2312" w:eastAsia="仿宋_GB2312"/>
          <w:sz w:val="32"/>
          <w:lang w:eastAsia="zh-CN"/>
        </w:rPr>
        <w:t>GM</w:t>
      </w:r>
      <w:r>
        <w:rPr>
          <w:rFonts w:ascii="仿宋_GB2312" w:hAnsi="仿宋_GB2312" w:eastAsia="仿宋_GB2312"/>
          <w:sz w:val="32"/>
        </w:rPr>
        <w:t>经济发展的政策衔接，组织拟定社会发展战略、总体规划，参与拟定人口和科学技术、教育、文化、卫生、民政等发展政策，协调县社会事业发展的重大问题；研究提出促进就业、消费、调整收入分配、完善社会保障与经济协调发展的政策。</w:t>
      </w:r>
    </w:p>
    <w:p w14:paraId="49142152">
      <w:pPr>
        <w:spacing w:line="580" w:lineRule="exact"/>
        <w:ind w:firstLine="640"/>
        <w:jc w:val="both"/>
      </w:pPr>
      <w:r>
        <w:rPr>
          <w:rFonts w:ascii="仿宋_GB2312" w:hAnsi="仿宋_GB2312" w:eastAsia="仿宋_GB2312"/>
          <w:sz w:val="32"/>
        </w:rPr>
        <w:t>10.推进可持续发展战略，负责</w:t>
      </w:r>
      <w:r>
        <w:rPr>
          <w:rFonts w:hint="eastAsia" w:ascii="仿宋_GB2312" w:hAnsi="仿宋_GB2312" w:eastAsia="仿宋_GB2312"/>
          <w:sz w:val="32"/>
          <w:lang w:eastAsia="zh-CN"/>
        </w:rPr>
        <w:t>全县</w:t>
      </w:r>
      <w:r>
        <w:rPr>
          <w:rFonts w:ascii="仿宋_GB2312" w:hAnsi="仿宋_GB2312" w:eastAsia="仿宋_GB2312"/>
          <w:sz w:val="32"/>
        </w:rPr>
        <w:t>社会节能综合协调工作，组织拟</w:t>
      </w:r>
      <w:r>
        <w:rPr>
          <w:rFonts w:hint="eastAsia" w:ascii="仿宋_GB2312" w:hAnsi="仿宋_GB2312" w:eastAsia="仿宋_GB2312"/>
          <w:sz w:val="32"/>
          <w:lang w:val="en-US" w:eastAsia="zh-CN"/>
        </w:rPr>
        <w:t>订</w:t>
      </w:r>
      <w:r>
        <w:rPr>
          <w:rFonts w:ascii="仿宋_GB2312" w:hAnsi="仿宋_GB2312" w:eastAsia="仿宋_GB2312"/>
          <w:sz w:val="32"/>
        </w:rPr>
        <w:t>发展循环经济、全社会能源资源节约和综合利用规划及政策措施并协调实施。会同有关部门研究提出县生态建设、环境保护规划、资源节约综合利用规划和政策；协调生态建设、环保产业和资源节约综合利用等重大问题，综合协调环保产业和清洁生产促进有关工作。</w:t>
      </w:r>
    </w:p>
    <w:p w14:paraId="60E603DA">
      <w:pPr>
        <w:spacing w:line="580" w:lineRule="exact"/>
        <w:ind w:firstLine="640"/>
        <w:jc w:val="both"/>
      </w:pPr>
      <w:r>
        <w:rPr>
          <w:rFonts w:ascii="仿宋_GB2312" w:hAnsi="仿宋_GB2312" w:eastAsia="仿宋_GB2312"/>
          <w:sz w:val="32"/>
        </w:rPr>
        <w:t>11.贯彻执行国家、自治区、地区粮食和物资储备的方针政策和法律法规，拟</w:t>
      </w:r>
      <w:r>
        <w:rPr>
          <w:rFonts w:hint="eastAsia" w:ascii="仿宋_GB2312" w:hAnsi="仿宋_GB2312" w:eastAsia="仿宋_GB2312"/>
          <w:sz w:val="32"/>
          <w:lang w:val="en-US" w:eastAsia="zh-CN"/>
        </w:rPr>
        <w:t>订</w:t>
      </w:r>
      <w:r>
        <w:rPr>
          <w:rFonts w:ascii="仿宋_GB2312" w:hAnsi="仿宋_GB2312" w:eastAsia="仿宋_GB2312"/>
          <w:sz w:val="32"/>
        </w:rPr>
        <w:t>落实粮食流通、地方储备粮油和物资储备管理的办法、措施和方案。负责</w:t>
      </w:r>
      <w:r>
        <w:rPr>
          <w:rFonts w:hint="eastAsia" w:ascii="仿宋_GB2312" w:hAnsi="仿宋_GB2312" w:eastAsia="仿宋_GB2312"/>
          <w:sz w:val="32"/>
          <w:lang w:val="en-US" w:eastAsia="zh-CN"/>
        </w:rPr>
        <w:t>全</w:t>
      </w:r>
      <w:r>
        <w:rPr>
          <w:rFonts w:ascii="仿宋_GB2312" w:hAnsi="仿宋_GB2312" w:eastAsia="仿宋_GB2312"/>
          <w:sz w:val="32"/>
        </w:rPr>
        <w:t>县储备粮食和物资储备的行政管理工作；对管理的政府储备、企业储备以及储备政策落实情况和粮食流通进行监督检查。提出地方储备粮食和物资储备规划、储备品种目录的建议；根据粮食和物资储备总体发展规划，统一负责储备基础设施建设管理。起草粮食行业发展规划，组织实施国家粮食流通和物资储备有关标准、粮食质量标准和技术规范，会同有关部门执行并监督粮食流通和物资储备有关地方标准和技术规范。承担粮食流通的对外合作与交流；承担救灾物资采购和储备管理工作，落实有关动用计划和指令；承担粮食和物资储备系统军民融合工作。</w:t>
      </w:r>
    </w:p>
    <w:p w14:paraId="64B4B22D">
      <w:pPr>
        <w:spacing w:line="580" w:lineRule="exact"/>
        <w:ind w:firstLine="640"/>
        <w:jc w:val="both"/>
      </w:pPr>
      <w:r>
        <w:rPr>
          <w:rFonts w:ascii="仿宋_GB2312" w:hAnsi="仿宋_GB2312" w:eastAsia="仿宋_GB2312"/>
          <w:sz w:val="32"/>
        </w:rPr>
        <w:t>12.完成县委、县人民政府交办的其他任务。</w:t>
      </w:r>
    </w:p>
    <w:p w14:paraId="4BE32809">
      <w:pPr>
        <w:spacing w:line="640" w:lineRule="exact"/>
        <w:ind w:firstLine="640"/>
        <w:jc w:val="both"/>
        <w:outlineLvl w:val="2"/>
      </w:pPr>
      <w:r>
        <w:rPr>
          <w:rFonts w:ascii="黑体" w:hAnsi="黑体" w:eastAsia="黑体"/>
          <w:sz w:val="32"/>
        </w:rPr>
        <w:t>二、机构设置及人员情况</w:t>
      </w:r>
    </w:p>
    <w:p w14:paraId="4C45B764">
      <w:pPr>
        <w:spacing w:line="580" w:lineRule="exact"/>
        <w:ind w:firstLine="640"/>
        <w:jc w:val="both"/>
      </w:pPr>
      <w:r>
        <w:rPr>
          <w:rFonts w:ascii="仿宋_GB2312" w:hAnsi="仿宋_GB2312" w:eastAsia="仿宋_GB2312"/>
          <w:sz w:val="32"/>
        </w:rPr>
        <w:t>英吉沙县发展和改革委员会2024年度，实有人数29人，其中：在职人员15人，增加1人；离休人员0人，增加0人；退休人员14人,增加2人。</w:t>
      </w:r>
    </w:p>
    <w:p w14:paraId="3FB99704">
      <w:pPr>
        <w:spacing w:line="580" w:lineRule="exact"/>
        <w:ind w:firstLine="640"/>
        <w:jc w:val="both"/>
      </w:pPr>
      <w:r>
        <w:rPr>
          <w:rFonts w:ascii="仿宋_GB2312" w:hAnsi="仿宋_GB2312" w:eastAsia="仿宋_GB2312"/>
          <w:sz w:val="32"/>
        </w:rPr>
        <w:t>英吉沙县发展和改革委员会无下属预算单位，下设8个科室，分别是：办公室、综合股、投资股（重点项目股）、社会发展股（粮食和物资储备股）、农村经济股、基础产业股、收费管理及价格服务股、“一带一路”办公室。</w:t>
      </w:r>
    </w:p>
    <w:p w14:paraId="6FEACAFE">
      <w:r>
        <w:br w:type="page"/>
      </w:r>
    </w:p>
    <w:p w14:paraId="0F1EFBA6">
      <w:pPr>
        <w:spacing w:line="240" w:lineRule="auto"/>
        <w:jc w:val="center"/>
        <w:outlineLvl w:val="1"/>
      </w:pPr>
      <w:r>
        <w:rPr>
          <w:rFonts w:ascii="黑体" w:hAnsi="黑体" w:eastAsia="黑体"/>
          <w:sz w:val="32"/>
        </w:rPr>
        <w:t>第二部分 部门决算情况说明</w:t>
      </w:r>
    </w:p>
    <w:p w14:paraId="302EAEFD">
      <w:pPr>
        <w:spacing w:line="640" w:lineRule="exact"/>
        <w:ind w:firstLine="640"/>
        <w:jc w:val="both"/>
        <w:outlineLvl w:val="2"/>
      </w:pPr>
      <w:r>
        <w:rPr>
          <w:rFonts w:ascii="黑体" w:hAnsi="黑体" w:eastAsia="黑体"/>
          <w:sz w:val="32"/>
        </w:rPr>
        <w:t>一、收入支出决算总体情况说明</w:t>
      </w:r>
    </w:p>
    <w:p w14:paraId="31108612">
      <w:pPr>
        <w:spacing w:line="580" w:lineRule="exact"/>
        <w:ind w:firstLine="640"/>
        <w:jc w:val="both"/>
      </w:pPr>
      <w:r>
        <w:rPr>
          <w:rFonts w:ascii="仿宋_GB2312" w:hAnsi="仿宋_GB2312" w:eastAsia="仿宋_GB2312"/>
          <w:b/>
          <w:sz w:val="32"/>
        </w:rPr>
        <w:t>2024年度收入总计9,062.66万元，</w:t>
      </w:r>
      <w:r>
        <w:rPr>
          <w:rFonts w:ascii="仿宋_GB2312" w:hAnsi="仿宋_GB2312" w:eastAsia="仿宋_GB2312"/>
          <w:b w:val="0"/>
          <w:sz w:val="32"/>
        </w:rPr>
        <w:t>其中：本年收入合计9,062.66万元，使用非财政拨款结余（含专用结余）0.00万元，年初结转和结余0.00万元。</w:t>
      </w:r>
    </w:p>
    <w:p w14:paraId="52A280CD">
      <w:pPr>
        <w:spacing w:line="580" w:lineRule="exact"/>
        <w:ind w:firstLine="640"/>
        <w:jc w:val="both"/>
      </w:pPr>
      <w:r>
        <w:rPr>
          <w:rFonts w:ascii="仿宋_GB2312" w:hAnsi="仿宋_GB2312" w:eastAsia="仿宋_GB2312"/>
          <w:b/>
          <w:sz w:val="32"/>
        </w:rPr>
        <w:t>2024年度支出总计9,062.66万元，</w:t>
      </w:r>
      <w:r>
        <w:rPr>
          <w:rFonts w:ascii="仿宋_GB2312" w:hAnsi="仿宋_GB2312" w:eastAsia="仿宋_GB2312"/>
          <w:b w:val="0"/>
          <w:sz w:val="32"/>
        </w:rPr>
        <w:t>其中：本年支出合计9,062.66万元，结余分配0.00万元，年末结转和结余0.00万元。</w:t>
      </w:r>
    </w:p>
    <w:p w14:paraId="070FAA28">
      <w:pPr>
        <w:spacing w:line="580" w:lineRule="exact"/>
        <w:ind w:firstLine="640"/>
        <w:jc w:val="both"/>
      </w:pPr>
      <w:r>
        <w:rPr>
          <w:rFonts w:ascii="仿宋_GB2312" w:hAnsi="仿宋_GB2312" w:eastAsia="仿宋_GB2312"/>
          <w:b w:val="0"/>
          <w:sz w:val="32"/>
        </w:rPr>
        <w:t>收入支出总体与上年相比，减少12,807.00万元，下降58.56%，主要原因是：本年减少英吉沙县艾古斯乡康帕一村2022年综合发展与环境改善工程项目</w:t>
      </w:r>
      <w:r>
        <w:rPr>
          <w:rFonts w:hint="eastAsia" w:ascii="仿宋_GB2312" w:hAnsi="仿宋_GB2312" w:eastAsia="仿宋_GB2312"/>
          <w:b w:val="0"/>
          <w:sz w:val="32"/>
          <w:lang w:eastAsia="zh-CN"/>
        </w:rPr>
        <w:t>、</w:t>
      </w:r>
      <w:r>
        <w:rPr>
          <w:rFonts w:ascii="仿宋_GB2312" w:hAnsi="仿宋_GB2312" w:eastAsia="仿宋_GB2312"/>
          <w:b w:val="0"/>
          <w:sz w:val="32"/>
        </w:rPr>
        <w:t>喀什地区英吉沙县2023年综合发展与环境改善工程项目</w:t>
      </w:r>
      <w:r>
        <w:rPr>
          <w:rFonts w:hint="eastAsia" w:ascii="仿宋_GB2312" w:hAnsi="仿宋_GB2312" w:eastAsia="仿宋_GB2312"/>
          <w:b w:val="0"/>
          <w:sz w:val="32"/>
          <w:lang w:eastAsia="zh-CN"/>
        </w:rPr>
        <w:t>、</w:t>
      </w:r>
      <w:r>
        <w:rPr>
          <w:rFonts w:ascii="仿宋_GB2312" w:hAnsi="仿宋_GB2312" w:eastAsia="仿宋_GB2312"/>
          <w:b w:val="0"/>
          <w:sz w:val="32"/>
        </w:rPr>
        <w:t>英吉沙县艾古斯乡2023年度农村人居环境整治及基础设施配套建设项目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100694C5">
      <w:pPr>
        <w:spacing w:line="640" w:lineRule="exact"/>
        <w:ind w:firstLine="640"/>
        <w:jc w:val="both"/>
        <w:outlineLvl w:val="2"/>
      </w:pPr>
      <w:r>
        <w:rPr>
          <w:rFonts w:ascii="黑体" w:hAnsi="黑体" w:eastAsia="黑体"/>
          <w:sz w:val="32"/>
        </w:rPr>
        <w:t>二、收入决算情况说明</w:t>
      </w:r>
    </w:p>
    <w:p w14:paraId="28157BBF">
      <w:pPr>
        <w:spacing w:line="580" w:lineRule="exact"/>
        <w:ind w:firstLine="640"/>
        <w:jc w:val="both"/>
      </w:pPr>
      <w:r>
        <w:rPr>
          <w:rFonts w:ascii="仿宋_GB2312" w:hAnsi="仿宋_GB2312" w:eastAsia="仿宋_GB2312"/>
          <w:b/>
          <w:sz w:val="32"/>
        </w:rPr>
        <w:t>本年收入9,062.66万元，</w:t>
      </w:r>
      <w:r>
        <w:rPr>
          <w:rFonts w:ascii="仿宋_GB2312" w:hAnsi="仿宋_GB2312" w:eastAsia="仿宋_GB2312"/>
          <w:b w:val="0"/>
          <w:sz w:val="32"/>
        </w:rPr>
        <w:t>其中：财政拨款收入8,505.74万元，占93.85%；上级补助收入0.00万元，占0.00%；事业收入0.00万元，占0.00%；经营收入0.00万元，占0.00%；附属单位上缴收入0.00万元，占0.00%；其他收入556.93万元，占6.15%。</w:t>
      </w:r>
    </w:p>
    <w:p w14:paraId="29C2301D">
      <w:pPr>
        <w:spacing w:line="640" w:lineRule="exact"/>
        <w:ind w:firstLine="640"/>
        <w:jc w:val="both"/>
        <w:outlineLvl w:val="2"/>
      </w:pPr>
      <w:r>
        <w:rPr>
          <w:rFonts w:ascii="黑体" w:hAnsi="黑体" w:eastAsia="黑体"/>
          <w:sz w:val="32"/>
        </w:rPr>
        <w:t>三、支出决算情况说明</w:t>
      </w:r>
    </w:p>
    <w:p w14:paraId="5789B2E9">
      <w:pPr>
        <w:spacing w:line="580" w:lineRule="exact"/>
        <w:ind w:firstLine="640"/>
        <w:jc w:val="both"/>
      </w:pPr>
      <w:r>
        <w:rPr>
          <w:rFonts w:ascii="仿宋_GB2312" w:hAnsi="仿宋_GB2312" w:eastAsia="仿宋_GB2312"/>
          <w:b/>
          <w:sz w:val="32"/>
        </w:rPr>
        <w:t>本年支出9,062.66万元，</w:t>
      </w:r>
      <w:r>
        <w:rPr>
          <w:rFonts w:ascii="仿宋_GB2312" w:hAnsi="仿宋_GB2312" w:eastAsia="仿宋_GB2312"/>
          <w:b w:val="0"/>
          <w:sz w:val="32"/>
        </w:rPr>
        <w:t>其中：基本支出342.08万元，占3.77%；项目支出8,720.58万元，占96.23%；上缴上级支出0.00万元，占0.00%；经营支出0.00万元，占0.00%；对附属单位补助支出0.00万元，占0.00%。</w:t>
      </w:r>
    </w:p>
    <w:p w14:paraId="4C5EFA01">
      <w:pPr>
        <w:spacing w:line="640" w:lineRule="exact"/>
        <w:ind w:firstLine="640"/>
        <w:jc w:val="both"/>
        <w:outlineLvl w:val="2"/>
      </w:pPr>
      <w:r>
        <w:rPr>
          <w:rFonts w:ascii="黑体" w:hAnsi="黑体" w:eastAsia="黑体"/>
          <w:sz w:val="32"/>
        </w:rPr>
        <w:t>四、财政拨款收入支出决算总体情况说明</w:t>
      </w:r>
    </w:p>
    <w:p w14:paraId="365165B5">
      <w:pPr>
        <w:spacing w:line="580" w:lineRule="exact"/>
        <w:ind w:firstLine="640"/>
        <w:jc w:val="both"/>
      </w:pPr>
      <w:r>
        <w:rPr>
          <w:rFonts w:ascii="仿宋_GB2312" w:hAnsi="仿宋_GB2312" w:eastAsia="仿宋_GB2312"/>
          <w:b/>
          <w:sz w:val="32"/>
        </w:rPr>
        <w:t>2024年度财政拨款收入总计8,505.74万元，</w:t>
      </w:r>
      <w:r>
        <w:rPr>
          <w:rFonts w:ascii="仿宋_GB2312" w:hAnsi="仿宋_GB2312" w:eastAsia="仿宋_GB2312"/>
          <w:b w:val="0"/>
          <w:sz w:val="32"/>
        </w:rPr>
        <w:t>其中：年初财政拨款结转和结余0.00万元，本年财政拨款收入8,505.74万元。</w:t>
      </w:r>
      <w:r>
        <w:rPr>
          <w:rFonts w:ascii="仿宋_GB2312" w:hAnsi="仿宋_GB2312" w:eastAsia="仿宋_GB2312"/>
          <w:b/>
          <w:sz w:val="32"/>
        </w:rPr>
        <w:t>财政拨款支出总计8,505.74万元，</w:t>
      </w:r>
      <w:r>
        <w:rPr>
          <w:rFonts w:ascii="仿宋_GB2312" w:hAnsi="仿宋_GB2312" w:eastAsia="仿宋_GB2312"/>
          <w:b w:val="0"/>
          <w:sz w:val="32"/>
        </w:rPr>
        <w:t>其中：年末财政拨款结转和结余0.00万元，本年财政拨款支出8,505.74万元。</w:t>
      </w:r>
    </w:p>
    <w:p w14:paraId="0F483C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减少12,778.97万元，下降60.04%，主要原因是：本年减少英吉沙县艾古斯乡康帕一村2022年综合发展与环境改善工程项目</w:t>
      </w:r>
      <w:r>
        <w:rPr>
          <w:rFonts w:hint="eastAsia" w:ascii="仿宋_GB2312" w:hAnsi="仿宋_GB2312" w:eastAsia="仿宋_GB2312"/>
          <w:b w:val="0"/>
          <w:sz w:val="32"/>
          <w:lang w:eastAsia="zh-CN"/>
        </w:rPr>
        <w:t>、</w:t>
      </w:r>
      <w:r>
        <w:rPr>
          <w:rFonts w:ascii="仿宋_GB2312" w:hAnsi="仿宋_GB2312" w:eastAsia="仿宋_GB2312"/>
          <w:b w:val="0"/>
          <w:sz w:val="32"/>
        </w:rPr>
        <w:t>喀什地区英吉沙县2023年综合发展与环境改善工程项目</w:t>
      </w:r>
      <w:r>
        <w:rPr>
          <w:rFonts w:hint="eastAsia" w:ascii="仿宋_GB2312" w:hAnsi="仿宋_GB2312" w:eastAsia="仿宋_GB2312"/>
          <w:b w:val="0"/>
          <w:sz w:val="32"/>
          <w:lang w:eastAsia="zh-CN"/>
        </w:rPr>
        <w:t>、</w:t>
      </w:r>
      <w:r>
        <w:rPr>
          <w:rFonts w:ascii="仿宋_GB2312" w:hAnsi="仿宋_GB2312" w:eastAsia="仿宋_GB2312"/>
          <w:b w:val="0"/>
          <w:sz w:val="32"/>
        </w:rPr>
        <w:t>英吉沙县艾古斯乡2023年度农村人居环境整治及基础设施配套建设项目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年初预算数1,485.08万元，决算数8,505.74万元，预决算差异率472.75%，主要原因是：年中</w:t>
      </w:r>
      <w:r>
        <w:rPr>
          <w:rFonts w:hint="eastAsia" w:ascii="仿宋_GB2312" w:hAnsi="仿宋_GB2312" w:eastAsia="仿宋_GB2312"/>
          <w:b w:val="0"/>
          <w:sz w:val="32"/>
          <w:lang w:val="en-US" w:eastAsia="zh-CN"/>
        </w:rPr>
        <w:t>追加</w:t>
      </w:r>
      <w:r>
        <w:rPr>
          <w:rFonts w:hint="eastAsia" w:ascii="仿宋_GB2312" w:hAnsi="仿宋_GB2312" w:eastAsia="仿宋_GB2312"/>
          <w:b w:val="0"/>
          <w:sz w:val="32"/>
        </w:rPr>
        <w:t>2022年、2023年目标价格补贴</w:t>
      </w:r>
      <w:r>
        <w:rPr>
          <w:rFonts w:hint="eastAsia" w:ascii="仿宋_GB2312" w:hAnsi="仿宋_GB2312" w:eastAsia="仿宋_GB2312"/>
          <w:b w:val="0"/>
          <w:sz w:val="32"/>
          <w:lang w:val="en-US" w:eastAsia="zh-CN"/>
        </w:rPr>
        <w:t>项目，2024年超长期特别国债【英吉沙山水水泥综合节能降碳】项目等经费，导致预决算存在差异</w:t>
      </w:r>
      <w:r>
        <w:rPr>
          <w:rFonts w:ascii="仿宋_GB2312" w:hAnsi="仿宋_GB2312" w:eastAsia="仿宋_GB2312"/>
          <w:b w:val="0"/>
          <w:sz w:val="32"/>
        </w:rPr>
        <w:t>。</w:t>
      </w:r>
    </w:p>
    <w:p w14:paraId="3EAB9827">
      <w:pPr>
        <w:spacing w:line="640" w:lineRule="exact"/>
        <w:ind w:firstLine="640"/>
        <w:jc w:val="both"/>
        <w:outlineLvl w:val="2"/>
      </w:pPr>
      <w:r>
        <w:rPr>
          <w:rFonts w:ascii="黑体" w:hAnsi="黑体" w:eastAsia="黑体"/>
          <w:sz w:val="32"/>
        </w:rPr>
        <w:t>五、一般公共预算财政拨款支出决算情况说明</w:t>
      </w:r>
    </w:p>
    <w:p w14:paraId="1BC38A87">
      <w:pPr>
        <w:spacing w:line="640" w:lineRule="exact"/>
        <w:ind w:firstLine="640"/>
        <w:jc w:val="both"/>
        <w:outlineLvl w:val="3"/>
      </w:pPr>
      <w:r>
        <w:rPr>
          <w:rFonts w:ascii="楷体_GB2312" w:hAnsi="楷体_GB2312" w:eastAsia="楷体_GB2312"/>
          <w:b/>
          <w:sz w:val="32"/>
        </w:rPr>
        <w:t>（一）一般公共预算财政拨款支出决算总体情况</w:t>
      </w:r>
    </w:p>
    <w:p w14:paraId="4E4C66A1">
      <w:pPr>
        <w:spacing w:line="580" w:lineRule="exact"/>
        <w:ind w:firstLine="640"/>
        <w:jc w:val="both"/>
      </w:pPr>
      <w:r>
        <w:rPr>
          <w:rFonts w:ascii="仿宋_GB2312" w:hAnsi="仿宋_GB2312" w:eastAsia="仿宋_GB2312"/>
          <w:b/>
          <w:sz w:val="32"/>
        </w:rPr>
        <w:t>2024年度一般公共预算财政拨款支出8,375.74万元，</w:t>
      </w:r>
      <w:r>
        <w:rPr>
          <w:rFonts w:ascii="仿宋_GB2312" w:hAnsi="仿宋_GB2312" w:eastAsia="仿宋_GB2312"/>
          <w:b w:val="0"/>
          <w:sz w:val="32"/>
        </w:rPr>
        <w:t>占本年支出合计的92.42%。</w:t>
      </w:r>
      <w:r>
        <w:rPr>
          <w:rFonts w:ascii="仿宋_GB2312" w:hAnsi="仿宋_GB2312" w:eastAsia="仿宋_GB2312"/>
          <w:b/>
          <w:sz w:val="32"/>
        </w:rPr>
        <w:t>与上年相比，</w:t>
      </w:r>
      <w:r>
        <w:rPr>
          <w:rFonts w:ascii="仿宋_GB2312" w:hAnsi="仿宋_GB2312" w:eastAsia="仿宋_GB2312"/>
          <w:b w:val="0"/>
          <w:sz w:val="32"/>
        </w:rPr>
        <w:t>减少12,908.97万元，下降60.65%，主要原因是：本年减少英吉沙县艾古斯乡康帕一村2022年综合发展与环境改善工程项目</w:t>
      </w:r>
      <w:r>
        <w:rPr>
          <w:rFonts w:hint="eastAsia" w:ascii="仿宋_GB2312" w:hAnsi="仿宋_GB2312" w:eastAsia="仿宋_GB2312"/>
          <w:b w:val="0"/>
          <w:sz w:val="32"/>
          <w:lang w:eastAsia="zh-CN"/>
        </w:rPr>
        <w:t>、</w:t>
      </w:r>
      <w:r>
        <w:rPr>
          <w:rFonts w:ascii="仿宋_GB2312" w:hAnsi="仿宋_GB2312" w:eastAsia="仿宋_GB2312"/>
          <w:b w:val="0"/>
          <w:sz w:val="32"/>
        </w:rPr>
        <w:t>喀什地区英吉沙县2023年综合发展与环境改善工程项目</w:t>
      </w:r>
      <w:r>
        <w:rPr>
          <w:rFonts w:hint="eastAsia" w:ascii="仿宋_GB2312" w:hAnsi="仿宋_GB2312" w:eastAsia="仿宋_GB2312"/>
          <w:b w:val="0"/>
          <w:sz w:val="32"/>
          <w:lang w:eastAsia="zh-CN"/>
        </w:rPr>
        <w:t>、</w:t>
      </w:r>
      <w:r>
        <w:rPr>
          <w:rFonts w:ascii="仿宋_GB2312" w:hAnsi="仿宋_GB2312" w:eastAsia="仿宋_GB2312"/>
          <w:b w:val="0"/>
          <w:sz w:val="32"/>
        </w:rPr>
        <w:t>英吉沙县艾古斯乡2023年度农村人居环境整治及基础设施配套建设项目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年初预算数1,485.08万元，决算数8,375.74万元，预决算差异率463.99%，主要原因是：年中</w:t>
      </w:r>
      <w:r>
        <w:rPr>
          <w:rFonts w:hint="eastAsia" w:ascii="仿宋_GB2312" w:hAnsi="仿宋_GB2312" w:eastAsia="仿宋_GB2312"/>
          <w:b w:val="0"/>
          <w:sz w:val="32"/>
          <w:lang w:val="en-US" w:eastAsia="zh-CN"/>
        </w:rPr>
        <w:t>追加</w:t>
      </w:r>
      <w:r>
        <w:rPr>
          <w:rFonts w:hint="eastAsia" w:ascii="仿宋_GB2312" w:hAnsi="仿宋_GB2312" w:eastAsia="仿宋_GB2312"/>
          <w:b w:val="0"/>
          <w:sz w:val="32"/>
        </w:rPr>
        <w:t>2022年、2023年目标价格补贴</w:t>
      </w:r>
      <w:r>
        <w:rPr>
          <w:rFonts w:hint="eastAsia" w:ascii="仿宋_GB2312" w:hAnsi="仿宋_GB2312" w:eastAsia="仿宋_GB2312"/>
          <w:b w:val="0"/>
          <w:sz w:val="32"/>
          <w:lang w:val="en-US" w:eastAsia="zh-CN"/>
        </w:rPr>
        <w:t>项目等经费，导致预决算存在差异</w:t>
      </w:r>
      <w:r>
        <w:rPr>
          <w:rFonts w:ascii="仿宋_GB2312" w:hAnsi="仿宋_GB2312" w:eastAsia="仿宋_GB2312"/>
          <w:b w:val="0"/>
          <w:sz w:val="32"/>
        </w:rPr>
        <w:t>。</w:t>
      </w:r>
    </w:p>
    <w:p w14:paraId="5F2EC035">
      <w:pPr>
        <w:spacing w:line="640" w:lineRule="exact"/>
        <w:ind w:firstLine="640"/>
        <w:jc w:val="both"/>
        <w:outlineLvl w:val="3"/>
      </w:pPr>
      <w:r>
        <w:rPr>
          <w:rFonts w:ascii="楷体_GB2312" w:hAnsi="楷体_GB2312" w:eastAsia="楷体_GB2312"/>
          <w:b/>
          <w:sz w:val="32"/>
        </w:rPr>
        <w:t>（二）一般公共预算财政拨款支出决算结构情况</w:t>
      </w:r>
    </w:p>
    <w:p w14:paraId="03C0B616">
      <w:pPr>
        <w:spacing w:line="580" w:lineRule="exact"/>
        <w:ind w:firstLine="640"/>
        <w:jc w:val="both"/>
      </w:pPr>
      <w:r>
        <w:rPr>
          <w:rFonts w:ascii="仿宋_GB2312" w:hAnsi="仿宋_GB2312" w:eastAsia="仿宋_GB2312"/>
          <w:b w:val="0"/>
          <w:sz w:val="32"/>
        </w:rPr>
        <w:t>1.一般公共服务支出(类)213.10万元,占2.54%。</w:t>
      </w:r>
    </w:p>
    <w:p w14:paraId="0B50536C">
      <w:pPr>
        <w:spacing w:line="580" w:lineRule="exact"/>
        <w:ind w:firstLine="640"/>
        <w:jc w:val="both"/>
      </w:pPr>
      <w:r>
        <w:rPr>
          <w:rFonts w:ascii="仿宋_GB2312" w:hAnsi="仿宋_GB2312" w:eastAsia="仿宋_GB2312"/>
          <w:b w:val="0"/>
          <w:sz w:val="32"/>
        </w:rPr>
        <w:t>2.社会保障和就业支出(类)96.12万元,占1.15%。</w:t>
      </w:r>
    </w:p>
    <w:p w14:paraId="0A18B39B">
      <w:pPr>
        <w:spacing w:line="580" w:lineRule="exact"/>
        <w:ind w:firstLine="640"/>
        <w:jc w:val="both"/>
      </w:pPr>
      <w:r>
        <w:rPr>
          <w:rFonts w:ascii="仿宋_GB2312" w:hAnsi="仿宋_GB2312" w:eastAsia="仿宋_GB2312"/>
          <w:b w:val="0"/>
          <w:sz w:val="32"/>
        </w:rPr>
        <w:t>3.卫生健康支出(类)14.15万元,占0.17%。</w:t>
      </w:r>
    </w:p>
    <w:p w14:paraId="37495458">
      <w:pPr>
        <w:spacing w:line="580" w:lineRule="exact"/>
        <w:ind w:firstLine="640"/>
        <w:jc w:val="both"/>
      </w:pPr>
      <w:r>
        <w:rPr>
          <w:rFonts w:ascii="仿宋_GB2312" w:hAnsi="仿宋_GB2312" w:eastAsia="仿宋_GB2312"/>
          <w:b w:val="0"/>
          <w:sz w:val="32"/>
        </w:rPr>
        <w:t>4.城乡社区支出(类)10.66万元,占0.13%。</w:t>
      </w:r>
    </w:p>
    <w:p w14:paraId="45F9729C">
      <w:pPr>
        <w:spacing w:line="580" w:lineRule="exact"/>
        <w:ind w:firstLine="640"/>
        <w:jc w:val="both"/>
      </w:pPr>
      <w:r>
        <w:rPr>
          <w:rFonts w:ascii="仿宋_GB2312" w:hAnsi="仿宋_GB2312" w:eastAsia="仿宋_GB2312"/>
          <w:b w:val="0"/>
          <w:sz w:val="32"/>
        </w:rPr>
        <w:t>5.农林水支出(类)7,857.69万元,占93.81%。</w:t>
      </w:r>
    </w:p>
    <w:p w14:paraId="02DE3C47">
      <w:pPr>
        <w:spacing w:line="580" w:lineRule="exact"/>
        <w:ind w:firstLine="640"/>
        <w:jc w:val="both"/>
      </w:pPr>
      <w:r>
        <w:rPr>
          <w:rFonts w:ascii="仿宋_GB2312" w:hAnsi="仿宋_GB2312" w:eastAsia="仿宋_GB2312"/>
          <w:b w:val="0"/>
          <w:sz w:val="32"/>
        </w:rPr>
        <w:t>6.住房保障支出(类)21.08万元,占0.25%。</w:t>
      </w:r>
    </w:p>
    <w:p w14:paraId="527F587D">
      <w:pPr>
        <w:spacing w:line="580" w:lineRule="exact"/>
        <w:ind w:firstLine="640"/>
        <w:jc w:val="both"/>
      </w:pPr>
      <w:r>
        <w:rPr>
          <w:rFonts w:ascii="仿宋_GB2312" w:hAnsi="仿宋_GB2312" w:eastAsia="仿宋_GB2312"/>
          <w:b w:val="0"/>
          <w:sz w:val="32"/>
        </w:rPr>
        <w:t>7.粮油物资储备支出(类)162.94万元,占1.95%。</w:t>
      </w:r>
    </w:p>
    <w:p w14:paraId="10540083">
      <w:pPr>
        <w:spacing w:line="640" w:lineRule="exact"/>
        <w:ind w:firstLine="640"/>
        <w:jc w:val="both"/>
        <w:outlineLvl w:val="3"/>
      </w:pPr>
      <w:r>
        <w:rPr>
          <w:rFonts w:ascii="楷体_GB2312" w:hAnsi="楷体_GB2312" w:eastAsia="楷体_GB2312"/>
          <w:b/>
          <w:sz w:val="32"/>
        </w:rPr>
        <w:t>（三）一般公共预算财政拨款支出决算具体情况</w:t>
      </w:r>
    </w:p>
    <w:p w14:paraId="359071DB">
      <w:pPr>
        <w:spacing w:line="580" w:lineRule="exact"/>
        <w:ind w:firstLine="640"/>
        <w:jc w:val="both"/>
      </w:pPr>
      <w:r>
        <w:rPr>
          <w:rFonts w:ascii="仿宋_GB2312" w:hAnsi="仿宋_GB2312" w:eastAsia="仿宋_GB2312"/>
          <w:b w:val="0"/>
          <w:sz w:val="32"/>
        </w:rPr>
        <w:t>1.一般公共服务支出(类)发展与改革事务(款)行政运行(项):支出决算数为210.55万元，比上年决算减少11.12万元，下降5.02%,主要原因是：本年在职人员调入调出，人员职级不同，工资基数不同，导致人员经费较上年减少。</w:t>
      </w:r>
    </w:p>
    <w:p w14:paraId="54719028">
      <w:pPr>
        <w:spacing w:line="580" w:lineRule="exact"/>
        <w:ind w:firstLine="640"/>
        <w:jc w:val="both"/>
      </w:pPr>
      <w:r>
        <w:rPr>
          <w:rFonts w:ascii="仿宋_GB2312" w:hAnsi="仿宋_GB2312" w:eastAsia="仿宋_GB2312"/>
          <w:b w:val="0"/>
          <w:sz w:val="32"/>
        </w:rPr>
        <w:t>2.一般公共服务支出(类)发展与改革事务(款)事业运行(项):支出决算数为0.18万元，比上年决算增加0.18万元，增长100.00%,主要原因是：本年一人基本工资增资部分调整至此科目列支。</w:t>
      </w:r>
    </w:p>
    <w:p w14:paraId="2FD81AE9">
      <w:pPr>
        <w:spacing w:line="580" w:lineRule="exact"/>
        <w:ind w:firstLine="640"/>
        <w:jc w:val="both"/>
      </w:pPr>
      <w:r>
        <w:rPr>
          <w:rFonts w:ascii="仿宋_GB2312" w:hAnsi="仿宋_GB2312" w:eastAsia="仿宋_GB2312"/>
          <w:b w:val="0"/>
          <w:sz w:val="32"/>
        </w:rPr>
        <w:t>3.一般公共服务支出(类)发展与改革事务(款)其他发展与改革事务支出(项):支出决算数为2.37万元，比上年决算增加0.37万元，增长18.50%,主要原因是：增加2024年度农产品成本调查经费项目。</w:t>
      </w:r>
    </w:p>
    <w:p w14:paraId="763FECD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4.社会保障和就业支出(类)行政事业单位养老支出(款)行政单位离退休(项):支出决算数为18.15万元，比上年决算增加5.54万元，增长43.93%,主要原因是：本年增加退休人员基础绩效奖，退休费支出增加。</w:t>
      </w:r>
    </w:p>
    <w:p w14:paraId="0879A817">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28.04万元，比上年决算增加0.61万元，增长2.22%,主要原因是：本年在职人员工资基数调增，养老缴费基数上涨，相应支出增加。</w:t>
      </w:r>
    </w:p>
    <w:p w14:paraId="53023760">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6.社会保障和就业支出(类)行政事业单位养老支出(款)机关事业单位职业年金缴费支出(项):支出决算数为23.36万元，比上年决算增加13.13万元，增长128.35%,主要原因是：本年新增退休人员，职业年金缴费支出增加。</w:t>
      </w:r>
    </w:p>
    <w:p w14:paraId="2448046B">
      <w:pPr>
        <w:spacing w:line="580" w:lineRule="exact"/>
        <w:ind w:firstLine="640"/>
        <w:jc w:val="both"/>
      </w:pPr>
      <w:r>
        <w:rPr>
          <w:rFonts w:ascii="仿宋_GB2312" w:hAnsi="仿宋_GB2312" w:eastAsia="仿宋_GB2312"/>
          <w:b w:val="0"/>
          <w:sz w:val="32"/>
        </w:rPr>
        <w:t>7.社会保障和就业支出(类)抚恤(款)死亡抚恤(项):支出决算数为26.56万元，比上年决算减少1.86万元，下降6.54%,主要原因是：本年无新增死亡人员，死亡抚恤支出较上年减少。</w:t>
      </w:r>
    </w:p>
    <w:p w14:paraId="557C3E91">
      <w:pPr>
        <w:spacing w:line="580" w:lineRule="exact"/>
        <w:ind w:firstLine="640"/>
        <w:jc w:val="both"/>
      </w:pPr>
      <w:r>
        <w:rPr>
          <w:rFonts w:ascii="仿宋_GB2312" w:hAnsi="仿宋_GB2312" w:eastAsia="仿宋_GB2312"/>
          <w:b w:val="0"/>
          <w:sz w:val="32"/>
        </w:rPr>
        <w:t>8.卫生健康支出(类)行政事业单位医疗(款)行政单位医疗(项):支出决算数为11.92万元，比上年决算减少1.03万元，下降7.95%,主要原因是：本年在职人员调入调出，人员职级不同，缴费基数不同，导致行政单位医疗较上年减少。</w:t>
      </w:r>
    </w:p>
    <w:p w14:paraId="5E5FA410">
      <w:pPr>
        <w:spacing w:line="580" w:lineRule="exact"/>
        <w:ind w:firstLine="640"/>
        <w:jc w:val="both"/>
      </w:pPr>
      <w:r>
        <w:rPr>
          <w:rFonts w:ascii="仿宋_GB2312" w:hAnsi="仿宋_GB2312" w:eastAsia="仿宋_GB2312"/>
          <w:b w:val="0"/>
          <w:sz w:val="32"/>
        </w:rPr>
        <w:t>9.卫生健康支出(类)行政事业单位医疗(款)公务员医疗补助(项):支出决算数为2.24万元，比上年决算增加0.02万元，增长0.90%,主要原因是：本年在职人员工资基数调增，公务员医疗补助上涨，相应支出增加。</w:t>
      </w:r>
    </w:p>
    <w:p w14:paraId="2543DE68">
      <w:pPr>
        <w:spacing w:line="580" w:lineRule="exact"/>
        <w:ind w:firstLine="640"/>
        <w:jc w:val="both"/>
      </w:pPr>
      <w:r>
        <w:rPr>
          <w:rFonts w:ascii="仿宋_GB2312" w:hAnsi="仿宋_GB2312" w:eastAsia="仿宋_GB2312"/>
          <w:b w:val="0"/>
          <w:sz w:val="32"/>
        </w:rPr>
        <w:t>10.城乡社区支出(类)城乡社区公共设施(款)小城镇基础设施建设(项):支出决算数为0.00万元，比上年决算减少30.00万元，下降100.00%,主要原因是：本年减少英吉沙县艾古斯乡康帕一村2022年综合发展与环境改善工程项目。</w:t>
      </w:r>
    </w:p>
    <w:p w14:paraId="0D7CC058">
      <w:pPr>
        <w:spacing w:line="580" w:lineRule="exact"/>
        <w:ind w:firstLine="640"/>
        <w:jc w:val="both"/>
      </w:pPr>
      <w:r>
        <w:rPr>
          <w:rFonts w:ascii="仿宋_GB2312" w:hAnsi="仿宋_GB2312" w:eastAsia="仿宋_GB2312"/>
          <w:b w:val="0"/>
          <w:sz w:val="32"/>
        </w:rPr>
        <w:t>11.城乡社区支出(类)城乡社区公共设施(款)其他城乡社区公共设施支出(项):支出决算数为10.66万元，比上年决算减少0.68万元，下降6.00%,主要原因是：本年减少喀什地区英吉沙县2023年综合发展与环境改善工</w:t>
      </w:r>
      <w:r>
        <w:rPr>
          <w:rFonts w:hint="eastAsia" w:ascii="仿宋_GB2312" w:hAnsi="仿宋_GB2312" w:eastAsia="仿宋_GB2312"/>
          <w:b w:val="0"/>
          <w:sz w:val="32"/>
          <w:lang w:eastAsia="zh-CN"/>
        </w:rPr>
        <w:t>程项</w:t>
      </w:r>
      <w:r>
        <w:rPr>
          <w:rFonts w:ascii="仿宋_GB2312" w:hAnsi="仿宋_GB2312" w:eastAsia="仿宋_GB2312"/>
          <w:b w:val="0"/>
          <w:sz w:val="32"/>
        </w:rPr>
        <w:t>目。</w:t>
      </w:r>
    </w:p>
    <w:p w14:paraId="39F5A797">
      <w:pPr>
        <w:spacing w:line="580" w:lineRule="exact"/>
        <w:ind w:firstLine="640"/>
        <w:jc w:val="both"/>
      </w:pPr>
      <w:r>
        <w:rPr>
          <w:rFonts w:ascii="仿宋_GB2312" w:hAnsi="仿宋_GB2312" w:eastAsia="仿宋_GB2312"/>
          <w:b w:val="0"/>
          <w:sz w:val="32"/>
        </w:rPr>
        <w:t>12.农林水支出(类)</w:t>
      </w:r>
      <w:r>
        <w:rPr>
          <w:rFonts w:hint="eastAsia" w:ascii="仿宋_GB2312" w:hAnsi="仿宋_GB2312" w:eastAsia="仿宋_GB2312"/>
          <w:b w:val="0"/>
          <w:sz w:val="32"/>
          <w:lang w:eastAsia="zh-CN"/>
        </w:rPr>
        <w:t>巩固脱贫攻坚成果</w:t>
      </w:r>
      <w:r>
        <w:rPr>
          <w:rFonts w:ascii="仿宋_GB2312" w:hAnsi="仿宋_GB2312" w:eastAsia="仿宋_GB2312"/>
          <w:b w:val="0"/>
          <w:sz w:val="32"/>
        </w:rPr>
        <w:t>衔接乡村振兴(款)农村基础设施建设(项):支出决算数为0.00万元，比上年决算减少43.86万元，下降100.00%,主要原因是：本年减少英吉沙县艾古斯乡2023年度农村人居环境整治及基础设施配套建设项目。</w:t>
      </w:r>
    </w:p>
    <w:p w14:paraId="5ACB65F8">
      <w:pPr>
        <w:spacing w:line="580" w:lineRule="exact"/>
        <w:ind w:firstLine="640"/>
        <w:jc w:val="both"/>
      </w:pPr>
      <w:r>
        <w:rPr>
          <w:rFonts w:ascii="仿宋_GB2312" w:hAnsi="仿宋_GB2312" w:eastAsia="仿宋_GB2312"/>
          <w:b w:val="0"/>
          <w:sz w:val="32"/>
        </w:rPr>
        <w:t>13.农林水支出(类)目标价格补贴(款):支出决算数为7,857.69万元，比上年决算减少11,993.66万元，下降60.42%,主要原因是：本年</w:t>
      </w:r>
      <w:r>
        <w:rPr>
          <w:rFonts w:hint="eastAsia" w:ascii="仿宋_GB2312" w:hAnsi="仿宋_GB2312" w:eastAsia="仿宋_GB2312"/>
          <w:b w:val="0"/>
          <w:sz w:val="32"/>
          <w:lang w:val="en-US" w:eastAsia="zh-CN"/>
        </w:rPr>
        <w:t>种植</w:t>
      </w:r>
      <w:r>
        <w:rPr>
          <w:rFonts w:ascii="仿宋_GB2312" w:hAnsi="仿宋_GB2312" w:eastAsia="仿宋_GB2312"/>
          <w:b w:val="0"/>
          <w:sz w:val="32"/>
        </w:rPr>
        <w:t>价格补贴经费较上年大幅减少。</w:t>
      </w:r>
    </w:p>
    <w:p w14:paraId="5EE5E62B">
      <w:pPr>
        <w:spacing w:line="580" w:lineRule="exact"/>
        <w:ind w:firstLine="640"/>
        <w:jc w:val="both"/>
      </w:pPr>
      <w:r>
        <w:rPr>
          <w:rFonts w:ascii="仿宋_GB2312" w:hAnsi="仿宋_GB2312" w:eastAsia="仿宋_GB2312"/>
          <w:b w:val="0"/>
          <w:sz w:val="32"/>
        </w:rPr>
        <w:t>14.住房保障支出(类)住房改革支出(款)住房公积金(项):支出决算数为21.08万元，比上年决算减少1.78万元，下降7.79%,主要原因是：本年在职人员调入调出，人员职级不同，缴费基数不同，导致住房公积金较上年减少。</w:t>
      </w:r>
    </w:p>
    <w:p w14:paraId="338A9963">
      <w:pPr>
        <w:spacing w:line="580" w:lineRule="exact"/>
        <w:ind w:firstLine="640"/>
        <w:jc w:val="both"/>
      </w:pPr>
      <w:r>
        <w:rPr>
          <w:rFonts w:ascii="仿宋_GB2312" w:hAnsi="仿宋_GB2312" w:eastAsia="仿宋_GB2312"/>
          <w:b w:val="0"/>
          <w:sz w:val="32"/>
        </w:rPr>
        <w:t>15.粮油物资储备支出(类)粮油物资事务(款)其他粮油物资事务支出(项):支出决算数为162.94万元，比上年决算减少411.89万元，下降71.65%,主要原因是：本年减少2023年度国有粮食企业划拨地转为出让地项目。</w:t>
      </w:r>
    </w:p>
    <w:p w14:paraId="42AC96AB">
      <w:pPr>
        <w:spacing w:line="580" w:lineRule="exact"/>
        <w:ind w:firstLine="640"/>
        <w:jc w:val="both"/>
      </w:pPr>
      <w:r>
        <w:rPr>
          <w:rFonts w:ascii="仿宋_GB2312" w:hAnsi="仿宋_GB2312" w:eastAsia="仿宋_GB2312"/>
          <w:b w:val="0"/>
          <w:sz w:val="32"/>
        </w:rPr>
        <w:t>16.粮油物资储备支出(类)粮油储备(款)其他粮油储备支出(项):支出决算数为0.00万元，比上年决算减少382.95万元，下降100.00%,主要原因是：本年减少2022年度英吉沙县“优质粮食工程”建设项目—萨罕镇及托普鲁克乡3500T粮库建设项目、英吉沙县2023年本</w:t>
      </w:r>
      <w:bookmarkStart w:id="0" w:name="_GoBack"/>
      <w:bookmarkEnd w:id="0"/>
      <w:r>
        <w:rPr>
          <w:rFonts w:ascii="仿宋_GB2312" w:hAnsi="仿宋_GB2312" w:eastAsia="仿宋_GB2312"/>
          <w:b w:val="0"/>
          <w:sz w:val="32"/>
        </w:rPr>
        <w:t>级应急成品粮油代储费项目。</w:t>
      </w:r>
    </w:p>
    <w:p w14:paraId="2D172CCA">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17.粮油物资储备支出(类)重要商品储备(款)应急物资储备(项):支出决算数为0.00万元，比上年决算减少50.00万元，下降100.00%,主要原因是：本年减少英吉沙县2022年应急救援救灾物资采购项目。</w:t>
      </w:r>
    </w:p>
    <w:p w14:paraId="48A091B5">
      <w:pPr>
        <w:spacing w:line="580" w:lineRule="exact"/>
        <w:ind w:firstLine="640"/>
        <w:jc w:val="both"/>
        <w:rPr>
          <w:rFonts w:hint="default" w:ascii="仿宋_GB2312" w:hAnsi="仿宋_GB2312" w:eastAsia="仿宋_GB2312"/>
          <w:b w:val="0"/>
          <w:sz w:val="32"/>
          <w:lang w:val="en-US" w:eastAsia="zh-CN"/>
        </w:rPr>
      </w:pPr>
      <w:r>
        <w:rPr>
          <w:rFonts w:hint="eastAsia" w:ascii="仿宋_GB2312" w:hAnsi="仿宋_GB2312" w:eastAsia="仿宋_GB2312"/>
          <w:b w:val="0"/>
          <w:sz w:val="32"/>
          <w:lang w:val="en-US" w:eastAsia="zh-CN"/>
        </w:rPr>
        <w:t>本单位部分科目不予公开。</w:t>
      </w:r>
    </w:p>
    <w:p w14:paraId="708C225C">
      <w:pPr>
        <w:spacing w:line="640" w:lineRule="exact"/>
        <w:ind w:firstLine="640"/>
        <w:jc w:val="both"/>
        <w:outlineLvl w:val="2"/>
      </w:pPr>
      <w:r>
        <w:rPr>
          <w:rFonts w:ascii="黑体" w:hAnsi="黑体" w:eastAsia="黑体"/>
          <w:sz w:val="32"/>
        </w:rPr>
        <w:t>六、一般公共预算财政拨款基本支出决算情况说明</w:t>
      </w:r>
    </w:p>
    <w:p w14:paraId="0A65E768">
      <w:pPr>
        <w:spacing w:line="580" w:lineRule="exact"/>
        <w:ind w:firstLine="640"/>
        <w:jc w:val="both"/>
      </w:pPr>
      <w:r>
        <w:rPr>
          <w:rFonts w:ascii="仿宋_GB2312" w:hAnsi="仿宋_GB2312" w:eastAsia="仿宋_GB2312"/>
          <w:b w:val="0"/>
          <w:sz w:val="32"/>
        </w:rPr>
        <w:t>2024年度一般公共预算财政拨款基本支出342.08万元，其中：</w:t>
      </w:r>
      <w:r>
        <w:rPr>
          <w:rFonts w:ascii="仿宋_GB2312" w:hAnsi="仿宋_GB2312" w:eastAsia="仿宋_GB2312"/>
          <w:b/>
          <w:sz w:val="32"/>
        </w:rPr>
        <w:t>人员经费336.33万元，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583F47FA">
      <w:pPr>
        <w:spacing w:line="580" w:lineRule="exact"/>
        <w:ind w:firstLine="640"/>
        <w:jc w:val="both"/>
      </w:pPr>
      <w:r>
        <w:rPr>
          <w:rFonts w:ascii="仿宋_GB2312" w:hAnsi="仿宋_GB2312" w:eastAsia="仿宋_GB2312"/>
          <w:b/>
          <w:sz w:val="32"/>
        </w:rPr>
        <w:t>公用经费5.75万元，</w:t>
      </w:r>
      <w:r>
        <w:rPr>
          <w:rFonts w:ascii="仿宋_GB2312" w:hAnsi="仿宋_GB2312" w:eastAsia="仿宋_GB2312"/>
          <w:b w:val="0"/>
          <w:sz w:val="32"/>
        </w:rPr>
        <w:t>包括：办公费、水费、电费、邮电费、差旅费、公务用车运行维护费。</w:t>
      </w:r>
    </w:p>
    <w:p w14:paraId="35674950">
      <w:pPr>
        <w:spacing w:line="640" w:lineRule="exact"/>
        <w:ind w:firstLine="640"/>
        <w:jc w:val="both"/>
        <w:outlineLvl w:val="2"/>
      </w:pPr>
      <w:r>
        <w:rPr>
          <w:rFonts w:ascii="黑体" w:hAnsi="黑体" w:eastAsia="黑体"/>
          <w:sz w:val="32"/>
        </w:rPr>
        <w:t>七、政府性基金预算财政拨款收入支出决算情况说明</w:t>
      </w:r>
    </w:p>
    <w:p w14:paraId="0D82B769">
      <w:pPr>
        <w:spacing w:line="580" w:lineRule="exact"/>
        <w:ind w:firstLine="640"/>
        <w:jc w:val="both"/>
      </w:pPr>
      <w:r>
        <w:rPr>
          <w:rFonts w:ascii="仿宋_GB2312" w:hAnsi="仿宋_GB2312" w:eastAsia="仿宋_GB2312"/>
          <w:b/>
          <w:sz w:val="32"/>
        </w:rPr>
        <w:t>2024年度政府性基金预算财政拨款收入总计130.00万元，</w:t>
      </w:r>
      <w:r>
        <w:rPr>
          <w:rFonts w:ascii="仿宋_GB2312" w:hAnsi="仿宋_GB2312" w:eastAsia="仿宋_GB2312"/>
          <w:b w:val="0"/>
          <w:sz w:val="32"/>
        </w:rPr>
        <w:t>其中：年初结转和结余0.00万元，本年收入130.00万元。</w:t>
      </w:r>
      <w:r>
        <w:rPr>
          <w:rFonts w:ascii="仿宋_GB2312" w:hAnsi="仿宋_GB2312" w:eastAsia="仿宋_GB2312"/>
          <w:b/>
          <w:sz w:val="32"/>
        </w:rPr>
        <w:t>政府性基金预算财政拨款支出总计130.00万元，</w:t>
      </w:r>
      <w:r>
        <w:rPr>
          <w:rFonts w:ascii="仿宋_GB2312" w:hAnsi="仿宋_GB2312" w:eastAsia="仿宋_GB2312"/>
          <w:b w:val="0"/>
          <w:sz w:val="32"/>
        </w:rPr>
        <w:t>其中：年末结转和结余0.00万元，本年支出130.00万元。</w:t>
      </w:r>
    </w:p>
    <w:p w14:paraId="5DD451A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增加130.00万元，增长100.00%，主要原因是：增加2024年超长期特别国债【英吉沙山水水泥综合节能降碳】项目。</w:t>
      </w:r>
      <w:r>
        <w:rPr>
          <w:rFonts w:ascii="仿宋_GB2312" w:hAnsi="仿宋_GB2312" w:eastAsia="仿宋_GB2312"/>
          <w:b/>
          <w:sz w:val="32"/>
        </w:rPr>
        <w:t>与年初预算相比，</w:t>
      </w:r>
      <w:r>
        <w:rPr>
          <w:rFonts w:ascii="仿宋_GB2312" w:hAnsi="仿宋_GB2312" w:eastAsia="仿宋_GB2312"/>
          <w:b w:val="0"/>
          <w:sz w:val="32"/>
        </w:rPr>
        <w:t>年初预算数0.00万元，决算数130.00万元，预决算差异率100.00%，主要原因是：年中追加超长期特别国债【英吉沙山水水泥综合节能降碳】项目，导致预决算存在差异。</w:t>
      </w:r>
    </w:p>
    <w:p w14:paraId="78A560C3">
      <w:pPr>
        <w:spacing w:line="580" w:lineRule="exact"/>
        <w:ind w:firstLine="640"/>
        <w:jc w:val="both"/>
      </w:pPr>
      <w:r>
        <w:rPr>
          <w:rFonts w:ascii="仿宋_GB2312" w:hAnsi="仿宋_GB2312" w:eastAsia="仿宋_GB2312"/>
          <w:b w:val="0"/>
          <w:sz w:val="32"/>
        </w:rPr>
        <w:t>政府性基金预算财政拨款支出130.00万元。</w:t>
      </w:r>
    </w:p>
    <w:p w14:paraId="15630102">
      <w:pPr>
        <w:spacing w:line="580" w:lineRule="exact"/>
        <w:ind w:firstLine="640"/>
        <w:jc w:val="both"/>
      </w:pPr>
      <w:r>
        <w:rPr>
          <w:rFonts w:ascii="仿宋_GB2312" w:hAnsi="仿宋_GB2312" w:eastAsia="仿宋_GB2312"/>
          <w:b w:val="0"/>
          <w:sz w:val="32"/>
        </w:rPr>
        <w:t>1.节能环保支出(类)超长期特别国债安排的支出(款)其他节能环保支出(项):支出决算数为130.00万元，比上年决算增加130.00万元，增长100.00%,主要原因是：增加2024年超长期特别国债【英吉沙山水水泥综合节能降碳】项目。</w:t>
      </w:r>
    </w:p>
    <w:p w14:paraId="6BE64444">
      <w:pPr>
        <w:spacing w:line="640" w:lineRule="exact"/>
        <w:ind w:firstLine="640"/>
        <w:jc w:val="both"/>
        <w:outlineLvl w:val="2"/>
      </w:pPr>
      <w:r>
        <w:rPr>
          <w:rFonts w:ascii="黑体" w:hAnsi="黑体" w:eastAsia="黑体"/>
          <w:sz w:val="32"/>
        </w:rPr>
        <w:t>八、国有资本经营预算财政拨款收入支出决算情况说明</w:t>
      </w:r>
    </w:p>
    <w:p w14:paraId="6A4A25E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F1793CF">
      <w:pPr>
        <w:spacing w:line="640" w:lineRule="exact"/>
        <w:ind w:firstLine="640"/>
        <w:jc w:val="both"/>
        <w:outlineLvl w:val="2"/>
      </w:pPr>
      <w:r>
        <w:rPr>
          <w:rFonts w:ascii="黑体" w:hAnsi="黑体" w:eastAsia="黑体"/>
          <w:sz w:val="32"/>
        </w:rPr>
        <w:t>九、财政拨款“三公”经费支出决算情况说明</w:t>
      </w:r>
    </w:p>
    <w:p w14:paraId="321327EB">
      <w:pPr>
        <w:spacing w:line="580" w:lineRule="exact"/>
        <w:ind w:firstLine="640"/>
        <w:jc w:val="both"/>
      </w:pPr>
      <w:r>
        <w:rPr>
          <w:rFonts w:ascii="仿宋_GB2312" w:hAnsi="仿宋_GB2312" w:eastAsia="仿宋_GB2312"/>
          <w:b/>
          <w:sz w:val="32"/>
        </w:rPr>
        <w:t>2024年度财政拨款“三公”经费支出1.11万元，</w:t>
      </w:r>
      <w:r>
        <w:rPr>
          <w:rFonts w:ascii="仿宋_GB2312" w:hAnsi="仿宋_GB2312" w:eastAsia="仿宋_GB2312"/>
          <w:b w:val="0"/>
          <w:sz w:val="32"/>
        </w:rPr>
        <w:t>比上年增加0.23万元，增长26.14%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1.11万元，占100.00%，比上年增加0.23万元，增长26.14%，主要原因是：本年因业务需求，用车次数增加，燃油费增加，导致公务用车运行维护费较上年增加。公务接待费支出0.00万元，占0.00%，比上年增加0.00万元，增长0.00%，主要原因是：2023年与2024年均未安排公务接待费支出。</w:t>
      </w:r>
    </w:p>
    <w:p w14:paraId="794C6209">
      <w:pPr>
        <w:spacing w:line="580" w:lineRule="exact"/>
        <w:ind w:firstLine="640"/>
        <w:jc w:val="both"/>
      </w:pPr>
      <w:r>
        <w:rPr>
          <w:rFonts w:ascii="仿宋_GB2312" w:hAnsi="仿宋_GB2312" w:eastAsia="仿宋_GB2312"/>
          <w:b/>
          <w:sz w:val="32"/>
        </w:rPr>
        <w:t>具体情况如下：</w:t>
      </w:r>
    </w:p>
    <w:p w14:paraId="6C645AC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997C8F">
      <w:pPr>
        <w:spacing w:line="580" w:lineRule="exact"/>
        <w:ind w:firstLine="640"/>
        <w:jc w:val="both"/>
      </w:pPr>
      <w:r>
        <w:rPr>
          <w:rFonts w:ascii="仿宋_GB2312" w:hAnsi="仿宋_GB2312" w:eastAsia="仿宋_GB2312"/>
          <w:b w:val="0"/>
          <w:sz w:val="32"/>
        </w:rPr>
        <w:t>公务用车购置及运行维护费1.11万元，其中：公务用车购置费0.00万元，公务用车运行维护费1.11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0E7723B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5FF1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1.11万元，决算数1.11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1.11万元，决算数1.11万元，预决算差异率0.00%，主要原因是：严格按照预算执行，预决算无差异。公务接待费全年预算数0.00万元，决算数0.00万元，预决算差异率0.00%，主要原因是：本单位无公务接待费。</w:t>
      </w:r>
    </w:p>
    <w:p w14:paraId="0D92FBD1">
      <w:pPr>
        <w:spacing w:line="640" w:lineRule="exact"/>
        <w:ind w:firstLine="640"/>
        <w:jc w:val="both"/>
        <w:outlineLvl w:val="2"/>
      </w:pPr>
      <w:r>
        <w:rPr>
          <w:rFonts w:ascii="黑体" w:hAnsi="黑体" w:eastAsia="黑体"/>
          <w:sz w:val="32"/>
        </w:rPr>
        <w:t>十、其他重要事项的情况说明</w:t>
      </w:r>
    </w:p>
    <w:p w14:paraId="59945526">
      <w:pPr>
        <w:spacing w:line="640" w:lineRule="exact"/>
        <w:ind w:firstLine="640"/>
        <w:jc w:val="both"/>
        <w:outlineLvl w:val="3"/>
      </w:pPr>
      <w:r>
        <w:rPr>
          <w:rFonts w:ascii="楷体_GB2312" w:hAnsi="楷体_GB2312" w:eastAsia="楷体_GB2312"/>
          <w:b/>
          <w:sz w:val="32"/>
        </w:rPr>
        <w:t>（一）机关运行经费及公用经费支出情况</w:t>
      </w:r>
    </w:p>
    <w:p w14:paraId="53ED2AC3">
      <w:pPr>
        <w:spacing w:line="580" w:lineRule="exact"/>
        <w:ind w:firstLine="640"/>
        <w:jc w:val="both"/>
      </w:pPr>
      <w:r>
        <w:rPr>
          <w:rFonts w:ascii="仿宋_GB2312" w:hAnsi="仿宋_GB2312" w:eastAsia="仿宋_GB2312"/>
          <w:b w:val="0"/>
          <w:sz w:val="32"/>
        </w:rPr>
        <w:t>2024年度英吉沙县发展和改革委员会（行政单位和参照公务员法管理事业单位）机关运行经费支出5.75万元，比上年增加0.98万元，增长20.55%，主要原因是：本年更新、维修补充办公用品，导致机关运行经费较上年增加。</w:t>
      </w:r>
    </w:p>
    <w:p w14:paraId="563EBE2A">
      <w:pPr>
        <w:spacing w:line="640" w:lineRule="exact"/>
        <w:ind w:firstLine="640"/>
        <w:jc w:val="both"/>
        <w:outlineLvl w:val="3"/>
      </w:pPr>
      <w:r>
        <w:rPr>
          <w:rFonts w:ascii="楷体_GB2312" w:hAnsi="楷体_GB2312" w:eastAsia="楷体_GB2312"/>
          <w:b/>
          <w:sz w:val="32"/>
        </w:rPr>
        <w:t>（二）政府采购情况</w:t>
      </w:r>
    </w:p>
    <w:p w14:paraId="7C4A6D10">
      <w:pPr>
        <w:spacing w:line="580" w:lineRule="exact"/>
        <w:ind w:firstLine="640"/>
        <w:jc w:val="both"/>
      </w:pPr>
      <w:r>
        <w:rPr>
          <w:rFonts w:ascii="仿宋_GB2312" w:hAnsi="仿宋_GB2312" w:eastAsia="仿宋_GB2312"/>
          <w:b w:val="0"/>
          <w:sz w:val="32"/>
        </w:rPr>
        <w:t>2024年度政府采购支出总额6.98万元，其中：政府采购货物支出6.38万元、政府采购工程支出0.36万元、政府采购服务支出0.24万元。</w:t>
      </w:r>
    </w:p>
    <w:p w14:paraId="161A78B3">
      <w:pPr>
        <w:spacing w:line="580" w:lineRule="exact"/>
        <w:ind w:firstLine="640"/>
        <w:jc w:val="both"/>
      </w:pPr>
      <w:r>
        <w:rPr>
          <w:rFonts w:ascii="仿宋_GB2312" w:hAnsi="仿宋_GB2312" w:eastAsia="仿宋_GB2312"/>
          <w:b w:val="0"/>
          <w:sz w:val="32"/>
        </w:rPr>
        <w:t>授予中小企业合同金额6.73万元，占政府采购支出总额的96.42%，其中：授予小微企业合同金额6.73万元，占政府采购支出总额的96.42%。</w:t>
      </w:r>
    </w:p>
    <w:p w14:paraId="4C123880">
      <w:pPr>
        <w:spacing w:line="640" w:lineRule="exact"/>
        <w:ind w:firstLine="640"/>
        <w:jc w:val="both"/>
        <w:outlineLvl w:val="3"/>
      </w:pPr>
      <w:r>
        <w:rPr>
          <w:rFonts w:ascii="楷体_GB2312" w:hAnsi="楷体_GB2312" w:eastAsia="楷体_GB2312"/>
          <w:b/>
          <w:sz w:val="32"/>
        </w:rPr>
        <w:t>（三）国有资产占用情况说明</w:t>
      </w:r>
    </w:p>
    <w:p w14:paraId="5E2C69EC">
      <w:pPr>
        <w:spacing w:line="580" w:lineRule="exact"/>
        <w:ind w:firstLine="640"/>
        <w:jc w:val="both"/>
      </w:pPr>
      <w:r>
        <w:rPr>
          <w:rFonts w:ascii="仿宋_GB2312" w:hAnsi="仿宋_GB2312" w:eastAsia="仿宋_GB2312"/>
          <w:b w:val="0"/>
          <w:sz w:val="32"/>
        </w:rPr>
        <w:t>截至2024年12月31日，房屋1,545.00平方米，价值260.29万元。车辆2辆，价值46.44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E44DE93">
      <w:pPr>
        <w:spacing w:line="640" w:lineRule="exact"/>
        <w:ind w:firstLine="640"/>
        <w:jc w:val="both"/>
        <w:outlineLvl w:val="2"/>
      </w:pPr>
      <w:r>
        <w:rPr>
          <w:rFonts w:ascii="黑体" w:hAnsi="黑体" w:eastAsia="黑体"/>
          <w:sz w:val="32"/>
        </w:rPr>
        <w:t>十一、预算绩效的情况说明</w:t>
      </w:r>
    </w:p>
    <w:p w14:paraId="5708A62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根据预算绩效管理要求，本单位2024年度预算绩效管理形成整体支出绩效自评表1个，全年预算总额9,173.91万元，实际执行总额9,126.82万元；预算绩效评价项目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040.12</w:t>
      </w:r>
      <w:r>
        <w:rPr>
          <w:rFonts w:ascii="仿宋_GB2312" w:hAnsi="仿宋_GB2312" w:eastAsia="仿宋_GB2312"/>
          <w:b w:val="0"/>
          <w:sz w:val="32"/>
        </w:rPr>
        <w:t>万元，全年执行数</w:t>
      </w:r>
      <w:r>
        <w:rPr>
          <w:rFonts w:hint="eastAsia" w:ascii="仿宋_GB2312" w:hAnsi="仿宋_GB2312" w:eastAsia="仿宋_GB2312"/>
          <w:b w:val="0"/>
          <w:sz w:val="32"/>
        </w:rPr>
        <w:t>991.44</w:t>
      </w:r>
      <w:r>
        <w:rPr>
          <w:rFonts w:ascii="仿宋_GB2312" w:hAnsi="仿宋_GB2312" w:eastAsia="仿宋_GB2312"/>
          <w:b w:val="0"/>
          <w:sz w:val="32"/>
        </w:rPr>
        <w:t>万元。预算绩效管理取得的成效：一是确保资金的高效使用，切实发挥财政资金使用作用。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下一步改进措施：一是加强新行政单位会计制度和新预算法学习培训、规范账务处理，加强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和评价报告。</w:t>
      </w:r>
    </w:p>
    <w:p w14:paraId="3578EA7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B099E3">
        <w:tblPrEx>
          <w:tblCellMar>
            <w:top w:w="0" w:type="dxa"/>
            <w:left w:w="108" w:type="dxa"/>
            <w:bottom w:w="0" w:type="dxa"/>
            <w:right w:w="108" w:type="dxa"/>
          </w:tblCellMar>
        </w:tblPrEx>
        <w:tc>
          <w:tcPr>
            <w:tcW w:w="8847" w:type="dxa"/>
            <w:gridSpan w:val="9"/>
            <w:vAlign w:val="center"/>
          </w:tcPr>
          <w:p w14:paraId="279561E1">
            <w:pPr>
              <w:jc w:val="center"/>
            </w:pPr>
            <w:r>
              <w:rPr>
                <w:rFonts w:ascii="宋体" w:hAnsi="宋体" w:eastAsia="宋体"/>
                <w:sz w:val="24"/>
              </w:rPr>
              <w:t>单位整体支出绩效自评表</w:t>
            </w:r>
          </w:p>
        </w:tc>
      </w:tr>
      <w:tr w14:paraId="19E6CBDF">
        <w:tblPrEx>
          <w:tblCellMar>
            <w:top w:w="0" w:type="dxa"/>
            <w:left w:w="108" w:type="dxa"/>
            <w:bottom w:w="0" w:type="dxa"/>
            <w:right w:w="108" w:type="dxa"/>
          </w:tblCellMar>
        </w:tblPrEx>
        <w:tc>
          <w:tcPr>
            <w:tcW w:w="8847" w:type="dxa"/>
            <w:gridSpan w:val="9"/>
            <w:vAlign w:val="center"/>
          </w:tcPr>
          <w:p w14:paraId="5DC8008D">
            <w:pPr>
              <w:jc w:val="center"/>
            </w:pPr>
            <w:r>
              <w:rPr>
                <w:rFonts w:ascii="宋体" w:hAnsi="宋体" w:eastAsia="宋体"/>
                <w:sz w:val="24"/>
              </w:rPr>
              <w:t>（2024年度）</w:t>
            </w:r>
          </w:p>
        </w:tc>
      </w:tr>
      <w:tr w14:paraId="3B94D8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3462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1136369">
            <w:pPr>
              <w:jc w:val="center"/>
            </w:pPr>
            <w:r>
              <w:rPr>
                <w:rFonts w:ascii="宋体" w:hAnsi="宋体" w:eastAsia="宋体"/>
                <w:sz w:val="16"/>
              </w:rPr>
              <w:t>英吉沙县发展和改革委员会</w:t>
            </w:r>
          </w:p>
        </w:tc>
      </w:tr>
      <w:tr w14:paraId="1E6DC6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F0E1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0EF2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CB18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D65E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279C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F8B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A6D5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F5E0F">
            <w:pPr>
              <w:jc w:val="center"/>
            </w:pPr>
            <w:r>
              <w:rPr>
                <w:rFonts w:ascii="宋体" w:hAnsi="宋体" w:eastAsia="宋体"/>
                <w:sz w:val="16"/>
              </w:rPr>
              <w:t>得分</w:t>
            </w:r>
          </w:p>
        </w:tc>
      </w:tr>
      <w:tr w14:paraId="5216AC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C0B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F069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C7D74">
            <w:pPr>
              <w:jc w:val="center"/>
            </w:pPr>
            <w:r>
              <w:rPr>
                <w:rFonts w:ascii="宋体" w:hAnsi="宋体" w:eastAsia="宋体"/>
                <w:sz w:val="16"/>
              </w:rPr>
              <w:t>1,485.08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2A448">
            <w:pPr>
              <w:jc w:val="center"/>
            </w:pPr>
            <w:r>
              <w:rPr>
                <w:rFonts w:ascii="宋体" w:hAnsi="宋体" w:eastAsia="宋体"/>
                <w:sz w:val="16"/>
              </w:rPr>
              <w:t>9,173.91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256D2">
            <w:pPr>
              <w:jc w:val="center"/>
            </w:pPr>
            <w:r>
              <w:rPr>
                <w:rFonts w:ascii="宋体" w:hAnsi="宋体" w:eastAsia="宋体"/>
                <w:sz w:val="16"/>
              </w:rPr>
              <w:t>9,126.82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923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57459">
            <w:pPr>
              <w:jc w:val="center"/>
            </w:pPr>
            <w:r>
              <w:rPr>
                <w:rFonts w:ascii="宋体" w:hAnsi="宋体" w:eastAsia="宋体"/>
                <w:sz w:val="16"/>
              </w:rPr>
              <w:t>99.49%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7D5B8">
            <w:pPr>
              <w:jc w:val="center"/>
            </w:pPr>
            <w:r>
              <w:rPr>
                <w:rFonts w:ascii="宋体" w:hAnsi="宋体" w:eastAsia="宋体"/>
                <w:sz w:val="16"/>
              </w:rPr>
              <w:t>9.95</w:t>
            </w:r>
          </w:p>
        </w:tc>
      </w:tr>
      <w:tr w14:paraId="447DC9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DD9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D915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8A785">
            <w:pPr>
              <w:jc w:val="center"/>
            </w:pPr>
            <w:r>
              <w:rPr>
                <w:rFonts w:ascii="宋体" w:hAnsi="宋体" w:eastAsia="宋体"/>
                <w:sz w:val="16"/>
              </w:rPr>
              <w:t>1,071.64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BF820">
            <w:pPr>
              <w:jc w:val="center"/>
            </w:pPr>
            <w:r>
              <w:rPr>
                <w:rFonts w:ascii="宋体" w:hAnsi="宋体" w:eastAsia="宋体"/>
                <w:sz w:val="16"/>
              </w:rPr>
              <w:t>8,490.19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9FA2D">
            <w:pPr>
              <w:jc w:val="center"/>
            </w:pPr>
            <w:r>
              <w:rPr>
                <w:rFonts w:ascii="宋体" w:hAnsi="宋体" w:eastAsia="宋体"/>
                <w:sz w:val="16"/>
              </w:rPr>
              <w:t>8,443.10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545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B6A7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CA5F6">
            <w:pPr>
              <w:jc w:val="center"/>
            </w:pPr>
            <w:r>
              <w:rPr>
                <w:rFonts w:ascii="宋体" w:hAnsi="宋体" w:eastAsia="宋体"/>
                <w:sz w:val="16"/>
              </w:rPr>
              <w:t>—</w:t>
            </w:r>
          </w:p>
        </w:tc>
      </w:tr>
      <w:tr w14:paraId="4CE122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A6B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36AF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A8BD3">
            <w:pPr>
              <w:jc w:val="center"/>
            </w:pPr>
            <w:r>
              <w:rPr>
                <w:rFonts w:ascii="宋体" w:hAnsi="宋体" w:eastAsia="宋体"/>
                <w:sz w:val="16"/>
              </w:rPr>
              <w:t>413.44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3F12A">
            <w:pPr>
              <w:jc w:val="center"/>
            </w:pPr>
            <w:r>
              <w:rPr>
                <w:rFonts w:ascii="宋体" w:hAnsi="宋体" w:eastAsia="宋体"/>
                <w:sz w:val="16"/>
              </w:rPr>
              <w:t>546.89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4AB68">
            <w:pPr>
              <w:jc w:val="center"/>
            </w:pPr>
            <w:r>
              <w:rPr>
                <w:rFonts w:ascii="宋体" w:hAnsi="宋体" w:eastAsia="宋体"/>
                <w:sz w:val="16"/>
              </w:rPr>
              <w:t>546.89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431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9A53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0CC67">
            <w:pPr>
              <w:jc w:val="center"/>
            </w:pPr>
            <w:r>
              <w:rPr>
                <w:rFonts w:ascii="宋体" w:hAnsi="宋体" w:eastAsia="宋体"/>
                <w:sz w:val="16"/>
              </w:rPr>
              <w:t>—</w:t>
            </w:r>
          </w:p>
        </w:tc>
      </w:tr>
      <w:tr w14:paraId="1042AE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3F2A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A6BA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9E5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811A0">
            <w:pPr>
              <w:jc w:val="center"/>
            </w:pPr>
            <w:r>
              <w:rPr>
                <w:rFonts w:ascii="宋体" w:hAnsi="宋体" w:eastAsia="宋体"/>
                <w:sz w:val="16"/>
              </w:rPr>
              <w:t>136.83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A597D">
            <w:pPr>
              <w:jc w:val="center"/>
            </w:pPr>
            <w:r>
              <w:rPr>
                <w:rFonts w:ascii="宋体" w:hAnsi="宋体" w:eastAsia="宋体"/>
                <w:sz w:val="16"/>
              </w:rPr>
              <w:t>136.83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A51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1BD7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A7FBD">
            <w:pPr>
              <w:jc w:val="center"/>
            </w:pPr>
            <w:r>
              <w:rPr>
                <w:rFonts w:ascii="宋体" w:hAnsi="宋体" w:eastAsia="宋体"/>
                <w:sz w:val="16"/>
              </w:rPr>
              <w:t>—</w:t>
            </w:r>
          </w:p>
        </w:tc>
      </w:tr>
      <w:tr w14:paraId="1F3B2B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53F5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92A35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C8CC89">
            <w:pPr>
              <w:jc w:val="center"/>
            </w:pPr>
            <w:r>
              <w:rPr>
                <w:rFonts w:ascii="宋体" w:hAnsi="宋体" w:eastAsia="宋体"/>
                <w:sz w:val="16"/>
              </w:rPr>
              <w:t>实际完成情况</w:t>
            </w:r>
          </w:p>
        </w:tc>
      </w:tr>
      <w:tr w14:paraId="5E4944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6B34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AEA444">
            <w:pPr>
              <w:jc w:val="both"/>
            </w:pPr>
            <w:r>
              <w:rPr>
                <w:rFonts w:ascii="宋体" w:hAnsi="宋体" w:eastAsia="宋体"/>
                <w:sz w:val="16"/>
              </w:rPr>
              <w:t>2024年计划全社会固定资产投资目标任务同比增长12%以上。持续用力，发挥好上下联动机制，积极对接掌握2024年中央预算内、专项债券项目最新政策导向，组织各行业单位做好项目审核把关，确保所申报项目符合国家、自治区政策导向，做好2024年各口径项目申报工作，积极对接行业单位共同编制好2024年英吉沙县固定资产投资项目，不断充实完善项目库，常态化对入库项目进行审核、论证和优化，确保项目储备充足、前期手续完备。贯彻落实党的二十大精神，面对新的形势、新的任务、新的挑战，全县粮食和物资储备系统将进一步压实粮食安全党政同责，加强粮食储备和应急能力建设，加快建设粮油产业集群，持续深化粮食节约行动，积极推动建设国家进口粮食储备加工基地，推进物资储备改革不断深入，持续巩固专项整治成果，将粮食安全工作摆在更加突出的位置。深入学习贯彻《中共中央 国务院关于促进民营经济发展壮大的意见》实行对在生产民营企业精准帮扶，强化协调配合，做好生产要素调度，积极协助、协调有关部门做好影响民营经济健康发展的要素保障工作。持续抓好涉企惠企政策宣传，严格落实国家和自治区、地区涉企惠企政策落实。</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203142">
            <w:pPr>
              <w:jc w:val="both"/>
            </w:pPr>
            <w:r>
              <w:rPr>
                <w:rFonts w:ascii="宋体" w:hAnsi="宋体" w:eastAsia="宋体"/>
                <w:sz w:val="16"/>
              </w:rPr>
              <w:t>根据县委扩大会议上提出的年度任务目标，认真谋划、编制中央预算内、债券、乡村振兴、国债、援疆资金等各类项目清单，切实编制实施一批符合本县实际的产业类项目、民生项目，2024年已完成77个全社会固定资产投资项目，政策性原粮及应急成品粮油储备数量达到3200吨，完成17.45亿元</w:t>
            </w:r>
            <w:r>
              <w:rPr>
                <w:rFonts w:hint="eastAsia" w:ascii="宋体" w:hAnsi="宋体"/>
                <w:sz w:val="16"/>
                <w:lang w:val="en-US" w:eastAsia="zh-CN"/>
              </w:rPr>
              <w:t>固定</w:t>
            </w:r>
            <w:r>
              <w:rPr>
                <w:rFonts w:ascii="宋体" w:hAnsi="宋体" w:eastAsia="宋体"/>
                <w:sz w:val="16"/>
              </w:rPr>
              <w:t>资产投资额，出具117份价格认定结论书，5个升规企业，有效实行对在生产民营企业精准帮扶，强化协调配合，做好生产要素调度，积极协助、协调有关部门做好影响民营经济健康发展的要素保障工作。持续抓好涉企惠企政策宣传，严格落实国家和自治区、地区涉企惠企政策落实。</w:t>
            </w:r>
          </w:p>
        </w:tc>
      </w:tr>
      <w:tr w14:paraId="734E52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70DE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1858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CE35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490A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0DA7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9E65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3C6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33AC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8155B">
            <w:pPr>
              <w:jc w:val="center"/>
            </w:pPr>
            <w:r>
              <w:rPr>
                <w:rFonts w:ascii="宋体" w:hAnsi="宋体" w:eastAsia="宋体"/>
                <w:sz w:val="16"/>
              </w:rPr>
              <w:t>得分</w:t>
            </w:r>
          </w:p>
        </w:tc>
      </w:tr>
      <w:tr w14:paraId="3C9766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0F38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95B1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E323E">
            <w:pPr>
              <w:jc w:val="center"/>
            </w:pPr>
            <w:r>
              <w:rPr>
                <w:rFonts w:ascii="宋体" w:hAnsi="宋体" w:eastAsia="宋体"/>
                <w:sz w:val="16"/>
              </w:rPr>
              <w:t>完成全社会固定资产投资项目个数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3E92A">
            <w:pPr>
              <w:jc w:val="center"/>
            </w:pPr>
            <w:r>
              <w:rPr>
                <w:rFonts w:ascii="宋体" w:hAnsi="宋体" w:eastAsia="宋体"/>
                <w:sz w:val="16"/>
              </w:rPr>
              <w:t>&gt;=77个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A079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083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31F8E">
            <w:pPr>
              <w:jc w:val="center"/>
            </w:pPr>
            <w:r>
              <w:rPr>
                <w:rFonts w:ascii="宋体" w:hAnsi="宋体" w:eastAsia="宋体"/>
                <w:sz w:val="16"/>
              </w:rPr>
              <w:t>=77个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D83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278E3">
            <w:pPr>
              <w:jc w:val="center"/>
            </w:pPr>
            <w:r>
              <w:rPr>
                <w:rFonts w:ascii="宋体" w:hAnsi="宋体" w:eastAsia="宋体"/>
                <w:sz w:val="16"/>
              </w:rPr>
              <w:t>20</w:t>
            </w:r>
          </w:p>
        </w:tc>
      </w:tr>
      <w:tr w14:paraId="25B2DF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2052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D68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DD5BE">
            <w:pPr>
              <w:jc w:val="center"/>
            </w:pPr>
            <w:r>
              <w:rPr>
                <w:rFonts w:ascii="宋体" w:hAnsi="宋体" w:eastAsia="宋体"/>
                <w:sz w:val="16"/>
              </w:rPr>
              <w:t>政策性原粮及应急成品粮油储备数量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CBD71">
            <w:pPr>
              <w:jc w:val="center"/>
            </w:pPr>
            <w:r>
              <w:rPr>
                <w:rFonts w:ascii="宋体" w:hAnsi="宋体" w:eastAsia="宋体"/>
                <w:sz w:val="16"/>
              </w:rPr>
              <w:t>&gt;=3200吨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FDFE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7C7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937F0">
            <w:pPr>
              <w:jc w:val="center"/>
            </w:pPr>
            <w:r>
              <w:rPr>
                <w:rFonts w:ascii="宋体" w:hAnsi="宋体" w:eastAsia="宋体"/>
                <w:sz w:val="16"/>
              </w:rPr>
              <w:t>=3200吨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97D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1D241">
            <w:pPr>
              <w:jc w:val="center"/>
            </w:pPr>
            <w:r>
              <w:rPr>
                <w:rFonts w:ascii="宋体" w:hAnsi="宋体" w:eastAsia="宋体"/>
                <w:sz w:val="16"/>
              </w:rPr>
              <w:t>10</w:t>
            </w:r>
          </w:p>
        </w:tc>
      </w:tr>
      <w:tr w14:paraId="6B7EEE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192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F8D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0F8A9">
            <w:pPr>
              <w:jc w:val="center"/>
            </w:pPr>
            <w:r>
              <w:rPr>
                <w:rFonts w:ascii="宋体" w:hAnsi="宋体" w:eastAsia="宋体"/>
                <w:sz w:val="16"/>
              </w:rPr>
              <w:t>完成固定资产投资额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4C944">
            <w:pPr>
              <w:jc w:val="center"/>
            </w:pPr>
            <w:r>
              <w:rPr>
                <w:rFonts w:ascii="宋体" w:hAnsi="宋体" w:eastAsia="宋体"/>
                <w:sz w:val="16"/>
              </w:rPr>
              <w:t>&gt;=17.45亿元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10C4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8BF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FE442">
            <w:pPr>
              <w:jc w:val="center"/>
            </w:pPr>
            <w:r>
              <w:rPr>
                <w:rFonts w:ascii="宋体" w:hAnsi="宋体" w:eastAsia="宋体"/>
                <w:sz w:val="16"/>
              </w:rPr>
              <w:t>=17.45亿元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392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28452">
            <w:pPr>
              <w:jc w:val="center"/>
            </w:pPr>
            <w:r>
              <w:rPr>
                <w:rFonts w:ascii="宋体" w:hAnsi="宋体" w:eastAsia="宋体"/>
                <w:sz w:val="16"/>
              </w:rPr>
              <w:t>20</w:t>
            </w:r>
          </w:p>
        </w:tc>
      </w:tr>
      <w:tr w14:paraId="63A98C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77C0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4D1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70DE8">
            <w:pPr>
              <w:jc w:val="center"/>
            </w:pPr>
            <w:r>
              <w:rPr>
                <w:rFonts w:ascii="宋体" w:hAnsi="宋体" w:eastAsia="宋体"/>
                <w:sz w:val="16"/>
              </w:rPr>
              <w:t>出具价格认定结论书数量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06F40">
            <w:pPr>
              <w:jc w:val="center"/>
            </w:pPr>
            <w:r>
              <w:rPr>
                <w:rFonts w:ascii="宋体" w:hAnsi="宋体" w:eastAsia="宋体"/>
                <w:sz w:val="16"/>
              </w:rPr>
              <w:t>&gt;=112份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1B06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DB68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89228">
            <w:pPr>
              <w:jc w:val="center"/>
            </w:pPr>
            <w:r>
              <w:rPr>
                <w:rFonts w:ascii="宋体" w:hAnsi="宋体" w:eastAsia="宋体"/>
                <w:sz w:val="16"/>
              </w:rPr>
              <w:t>=117份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8BDC9">
            <w:pPr>
              <w:jc w:val="center"/>
            </w:pPr>
            <w:r>
              <w:rPr>
                <w:rFonts w:ascii="宋体" w:hAnsi="宋体" w:eastAsia="宋体"/>
                <w:sz w:val="16"/>
              </w:rPr>
              <w:t>104.46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07E92">
            <w:pPr>
              <w:jc w:val="center"/>
            </w:pPr>
            <w:r>
              <w:rPr>
                <w:rFonts w:ascii="宋体" w:hAnsi="宋体" w:eastAsia="宋体"/>
                <w:sz w:val="16"/>
              </w:rPr>
              <w:t>20</w:t>
            </w:r>
          </w:p>
        </w:tc>
      </w:tr>
      <w:tr w14:paraId="2EF400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47BB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7BE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3423B">
            <w:pPr>
              <w:jc w:val="center"/>
            </w:pPr>
            <w:r>
              <w:rPr>
                <w:rFonts w:ascii="宋体" w:hAnsi="宋体" w:eastAsia="宋体"/>
                <w:sz w:val="16"/>
              </w:rPr>
              <w:t>2024年升规企业个数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537EE">
            <w:pPr>
              <w:jc w:val="center"/>
            </w:pPr>
            <w:r>
              <w:rPr>
                <w:rFonts w:ascii="宋体" w:hAnsi="宋体" w:eastAsia="宋体"/>
                <w:sz w:val="16"/>
              </w:rPr>
              <w:t>&gt;=4个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A29F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54D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EAE98">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9359A">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FDE19">
            <w:pPr>
              <w:jc w:val="center"/>
            </w:pPr>
            <w:r>
              <w:rPr>
                <w:rFonts w:ascii="宋体" w:hAnsi="宋体" w:eastAsia="宋体"/>
                <w:sz w:val="16"/>
              </w:rPr>
              <w:t>20</w:t>
            </w:r>
          </w:p>
        </w:tc>
      </w:tr>
    </w:tbl>
    <w:p w14:paraId="1E51DF7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6"/>
        <w:gridCol w:w="632"/>
        <w:gridCol w:w="596"/>
        <w:gridCol w:w="631"/>
      </w:tblGrid>
      <w:tr w14:paraId="2D941560">
        <w:tblPrEx>
          <w:tblCellMar>
            <w:top w:w="0" w:type="dxa"/>
            <w:left w:w="108" w:type="dxa"/>
            <w:bottom w:w="0" w:type="dxa"/>
            <w:right w:w="108" w:type="dxa"/>
          </w:tblCellMar>
        </w:tblPrEx>
        <w:tc>
          <w:tcPr>
            <w:tcW w:w="8848" w:type="dxa"/>
            <w:gridSpan w:val="14"/>
            <w:vAlign w:val="center"/>
          </w:tcPr>
          <w:p w14:paraId="21D7F9E3">
            <w:pPr>
              <w:jc w:val="center"/>
            </w:pPr>
            <w:r>
              <w:rPr>
                <w:rFonts w:ascii="宋体" w:hAnsi="宋体" w:eastAsia="宋体"/>
                <w:sz w:val="24"/>
              </w:rPr>
              <w:t>项目支出绩效自评表</w:t>
            </w:r>
          </w:p>
        </w:tc>
      </w:tr>
      <w:tr w14:paraId="003A03F3">
        <w:tblPrEx>
          <w:tblCellMar>
            <w:top w:w="0" w:type="dxa"/>
            <w:left w:w="108" w:type="dxa"/>
            <w:bottom w:w="0" w:type="dxa"/>
            <w:right w:w="108" w:type="dxa"/>
          </w:tblCellMar>
        </w:tblPrEx>
        <w:tc>
          <w:tcPr>
            <w:tcW w:w="8848" w:type="dxa"/>
            <w:gridSpan w:val="14"/>
            <w:vAlign w:val="center"/>
          </w:tcPr>
          <w:p w14:paraId="3D59DBE8">
            <w:pPr>
              <w:jc w:val="center"/>
            </w:pPr>
            <w:r>
              <w:rPr>
                <w:rFonts w:ascii="宋体" w:hAnsi="宋体" w:eastAsia="宋体"/>
                <w:sz w:val="24"/>
              </w:rPr>
              <w:t>(2024年度)</w:t>
            </w:r>
          </w:p>
        </w:tc>
      </w:tr>
      <w:tr w14:paraId="00B7F1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FD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7C3ED0">
            <w:pPr>
              <w:jc w:val="center"/>
            </w:pPr>
            <w:r>
              <w:rPr>
                <w:rFonts w:ascii="宋体" w:hAnsi="宋体" w:eastAsia="宋体"/>
                <w:sz w:val="16"/>
              </w:rPr>
              <w:t>2024年产粮大县奖励资金（粮库建设、改造、设备采购及面粉厂补助）项目</w:t>
            </w:r>
          </w:p>
        </w:tc>
      </w:tr>
      <w:tr w14:paraId="3CDCF7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E2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056AF">
            <w:pPr>
              <w:jc w:val="center"/>
            </w:pPr>
            <w:r>
              <w:rPr>
                <w:rFonts w:ascii="宋体" w:hAnsi="宋体" w:eastAsia="宋体"/>
                <w:sz w:val="16"/>
              </w:rPr>
              <w:t>英吉沙县发展和改革委员会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09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A8D26E">
            <w:pPr>
              <w:jc w:val="center"/>
            </w:pPr>
            <w:r>
              <w:rPr>
                <w:rFonts w:ascii="宋体" w:hAnsi="宋体" w:eastAsia="宋体"/>
                <w:sz w:val="16"/>
              </w:rPr>
              <w:t>英吉沙县发展和改革委员会</w:t>
            </w:r>
          </w:p>
        </w:tc>
      </w:tr>
      <w:tr w14:paraId="645ED5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8E1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5D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117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7B3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C96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9F1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D3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E5A8">
            <w:pPr>
              <w:jc w:val="center"/>
            </w:pPr>
            <w:r>
              <w:rPr>
                <w:rFonts w:ascii="宋体" w:hAnsi="宋体" w:eastAsia="宋体"/>
                <w:sz w:val="16"/>
              </w:rPr>
              <w:t>得分</w:t>
            </w:r>
          </w:p>
        </w:tc>
      </w:tr>
      <w:tr w14:paraId="2BE82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C7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3A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75209">
            <w:pPr>
              <w:jc w:val="center"/>
            </w:pPr>
            <w:r>
              <w:rPr>
                <w:rFonts w:ascii="宋体" w:hAnsi="宋体" w:eastAsia="宋体"/>
                <w:sz w:val="16"/>
              </w:rPr>
              <w:t>779.86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2A1C">
            <w:pPr>
              <w:jc w:val="center"/>
            </w:pPr>
            <w:r>
              <w:rPr>
                <w:rFonts w:ascii="宋体" w:hAnsi="宋体" w:eastAsia="宋体"/>
                <w:sz w:val="16"/>
              </w:rPr>
              <w:t>162.94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C6474">
            <w:pPr>
              <w:jc w:val="center"/>
            </w:pPr>
            <w:r>
              <w:rPr>
                <w:rFonts w:ascii="宋体" w:hAnsi="宋体" w:eastAsia="宋体"/>
                <w:sz w:val="16"/>
              </w:rPr>
              <w:t>162.94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DCC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A4E2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FFA7">
            <w:pPr>
              <w:jc w:val="center"/>
            </w:pPr>
            <w:r>
              <w:rPr>
                <w:rFonts w:ascii="宋体" w:hAnsi="宋体" w:eastAsia="宋体"/>
                <w:sz w:val="16"/>
              </w:rPr>
              <w:t>10.00分</w:t>
            </w:r>
          </w:p>
        </w:tc>
      </w:tr>
      <w:tr w14:paraId="62CF1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80F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0B3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DE3E8">
            <w:pPr>
              <w:jc w:val="center"/>
            </w:pPr>
            <w:r>
              <w:rPr>
                <w:rFonts w:ascii="宋体" w:hAnsi="宋体" w:eastAsia="宋体"/>
                <w:sz w:val="16"/>
              </w:rPr>
              <w:t>779.86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C8FDE">
            <w:pPr>
              <w:jc w:val="center"/>
            </w:pPr>
            <w:r>
              <w:rPr>
                <w:rFonts w:ascii="宋体" w:hAnsi="宋体" w:eastAsia="宋体"/>
                <w:sz w:val="16"/>
              </w:rPr>
              <w:t>162.94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25D1C">
            <w:pPr>
              <w:jc w:val="center"/>
            </w:pPr>
            <w:r>
              <w:rPr>
                <w:rFonts w:ascii="宋体" w:hAnsi="宋体" w:eastAsia="宋体"/>
                <w:sz w:val="16"/>
              </w:rPr>
              <w:t>162.94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D2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1C4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A8DA">
            <w:pPr>
              <w:jc w:val="center"/>
            </w:pPr>
            <w:r>
              <w:rPr>
                <w:rFonts w:ascii="宋体" w:hAnsi="宋体" w:eastAsia="宋体"/>
                <w:sz w:val="16"/>
              </w:rPr>
              <w:t>—</w:t>
            </w:r>
          </w:p>
        </w:tc>
      </w:tr>
      <w:tr w14:paraId="3BC93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E4F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502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9E3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08B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832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F14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AC4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5D09">
            <w:pPr>
              <w:jc w:val="center"/>
            </w:pPr>
            <w:r>
              <w:rPr>
                <w:rFonts w:ascii="宋体" w:hAnsi="宋体" w:eastAsia="宋体"/>
                <w:sz w:val="16"/>
              </w:rPr>
              <w:t>—</w:t>
            </w:r>
          </w:p>
        </w:tc>
      </w:tr>
      <w:tr w14:paraId="62E63D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221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35C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472C89">
            <w:pPr>
              <w:jc w:val="center"/>
            </w:pPr>
            <w:r>
              <w:rPr>
                <w:rFonts w:ascii="宋体" w:hAnsi="宋体" w:eastAsia="宋体"/>
                <w:sz w:val="16"/>
              </w:rPr>
              <w:t>实际完成情况</w:t>
            </w:r>
          </w:p>
        </w:tc>
      </w:tr>
      <w:tr w14:paraId="51B31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D7D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4243F">
            <w:pPr>
              <w:jc w:val="both"/>
            </w:pPr>
            <w:r>
              <w:rPr>
                <w:rFonts w:ascii="宋体" w:hAnsi="宋体" w:eastAsia="宋体"/>
                <w:sz w:val="16"/>
              </w:rPr>
              <w:t>该项目计划总投资162.94万元，用于：目标1：用于支付2023年度英吉沙县“优质粮食工程”建设项目—萨罕镇及托普鲁克乡3500T粮库建设项目工程尾款162.94万元，通过此项目的实施，能有效提高本县粮食储备能力和管理水平，确保国家粮食安全，保障全县人民的粮食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A5C0DB">
            <w:pPr>
              <w:jc w:val="both"/>
            </w:pPr>
            <w:r>
              <w:rPr>
                <w:rFonts w:hint="eastAsia" w:ascii="宋体" w:hAnsi="宋体"/>
                <w:sz w:val="16"/>
                <w:lang w:eastAsia="zh-CN"/>
              </w:rPr>
              <w:t>截至</w:t>
            </w:r>
            <w:r>
              <w:rPr>
                <w:rFonts w:ascii="宋体" w:hAnsi="宋体" w:eastAsia="宋体"/>
                <w:sz w:val="16"/>
              </w:rPr>
              <w:t>自评日，项目已支付162.94万元，用于支付2023年度英吉沙县“优质粮食工程”建设项目—萨罕镇及托普鲁克乡3500T粮库建设项目工程尾款162.94万元，通过此项目的实施，有效提高了本县粮食储备能力和管理水平，确保国家粮食安全，保障了全县人民的粮食需求。</w:t>
            </w:r>
            <w:r>
              <w:rPr>
                <w:rFonts w:ascii="宋体" w:hAnsi="宋体" w:eastAsia="宋体"/>
                <w:sz w:val="16"/>
              </w:rPr>
              <w:br w:type="textWrapping"/>
            </w:r>
          </w:p>
        </w:tc>
      </w:tr>
      <w:tr w14:paraId="6D88C2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9C7E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B4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73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DE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8E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73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F4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B1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51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AC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50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4D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BBC6B">
            <w:pPr>
              <w:jc w:val="center"/>
            </w:pPr>
            <w:r>
              <w:rPr>
                <w:rFonts w:ascii="宋体" w:hAnsi="宋体" w:eastAsia="宋体"/>
                <w:sz w:val="16"/>
              </w:rPr>
              <w:t>偏差原因分析及改进措施</w:t>
            </w:r>
          </w:p>
        </w:tc>
      </w:tr>
      <w:tr w14:paraId="0849DC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E42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26E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F5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1D1B">
            <w:pPr>
              <w:jc w:val="center"/>
            </w:pPr>
            <w:r>
              <w:rPr>
                <w:rFonts w:ascii="宋体" w:hAnsi="宋体" w:eastAsia="宋体"/>
                <w:sz w:val="16"/>
              </w:rPr>
              <w:t>支付优质粮库工程尾款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3841">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5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D5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F6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D9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A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142C">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8E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8A4E0">
            <w:pPr>
              <w:jc w:val="center"/>
            </w:pPr>
          </w:p>
        </w:tc>
      </w:tr>
      <w:tr w14:paraId="2E847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10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666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E27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787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2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C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92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AE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08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15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3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33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27800">
            <w:pPr>
              <w:jc w:val="center"/>
            </w:pPr>
          </w:p>
        </w:tc>
      </w:tr>
      <w:tr w14:paraId="630ED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AC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875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83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4694">
            <w:pPr>
              <w:jc w:val="center"/>
            </w:pPr>
            <w:r>
              <w:rPr>
                <w:rFonts w:ascii="宋体" w:hAnsi="宋体" w:eastAsia="宋体"/>
                <w:sz w:val="16"/>
              </w:rPr>
              <w:t>资金使用</w:t>
            </w:r>
            <w:r>
              <w:rPr>
                <w:rFonts w:hint="eastAsia" w:ascii="宋体" w:hAnsi="宋体"/>
                <w:sz w:val="16"/>
                <w:lang w:eastAsia="zh-CN"/>
              </w:rPr>
              <w:t>合规</w:t>
            </w:r>
            <w:r>
              <w:rPr>
                <w:rFonts w:ascii="宋体" w:hAnsi="宋体" w:eastAsia="宋体"/>
                <w:sz w:val="16"/>
              </w:rPr>
              <w:t>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17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9C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EB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F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F1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0D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7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C4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23FE7">
            <w:pPr>
              <w:jc w:val="center"/>
            </w:pPr>
          </w:p>
        </w:tc>
      </w:tr>
      <w:tr w14:paraId="49C08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7C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E8B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ECB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14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927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0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7B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DF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54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EE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EA6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4A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55274">
            <w:pPr>
              <w:jc w:val="center"/>
            </w:pPr>
          </w:p>
        </w:tc>
      </w:tr>
      <w:tr w14:paraId="31E22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7E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5E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4B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774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3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2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CA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FC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12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E1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1F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BA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A8F9">
            <w:pPr>
              <w:jc w:val="center"/>
            </w:pPr>
          </w:p>
        </w:tc>
      </w:tr>
      <w:tr w14:paraId="056632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F9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E1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53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4B42">
            <w:pPr>
              <w:jc w:val="center"/>
            </w:pPr>
            <w:r>
              <w:rPr>
                <w:rFonts w:ascii="宋体" w:hAnsi="宋体" w:eastAsia="宋体"/>
                <w:sz w:val="16"/>
              </w:rPr>
              <w:t>优质粮食工程粮库建设项目工程尾款成本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1ABE">
            <w:pPr>
              <w:jc w:val="center"/>
            </w:pPr>
            <w:r>
              <w:rPr>
                <w:rFonts w:ascii="宋体" w:hAnsi="宋体" w:eastAsia="宋体"/>
                <w:sz w:val="16"/>
              </w:rPr>
              <w:t>&lt;=162.94万元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C5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1C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5C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B5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20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D339">
            <w:pPr>
              <w:jc w:val="center"/>
            </w:pPr>
            <w:r>
              <w:rPr>
                <w:rFonts w:ascii="宋体" w:hAnsi="宋体" w:eastAsia="宋体"/>
                <w:sz w:val="16"/>
              </w:rPr>
              <w:t>=162.94万元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02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5C75C">
            <w:pPr>
              <w:jc w:val="center"/>
            </w:pPr>
          </w:p>
        </w:tc>
      </w:tr>
      <w:tr w14:paraId="77AEB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82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C8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5B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29CA">
            <w:pPr>
              <w:jc w:val="center"/>
            </w:pPr>
            <w:r>
              <w:rPr>
                <w:rFonts w:ascii="宋体" w:hAnsi="宋体" w:eastAsia="宋体"/>
                <w:sz w:val="16"/>
              </w:rPr>
              <w:t>确保国家粮食安全，保障全县人民的粮食需求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22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7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DC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3A8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7B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A5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9AF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52D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32065">
            <w:pPr>
              <w:jc w:val="center"/>
            </w:pPr>
          </w:p>
        </w:tc>
      </w:tr>
      <w:tr w14:paraId="2D1DFC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2EA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205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CF6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646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F998E8"/>
        </w:tc>
      </w:tr>
    </w:tbl>
    <w:p w14:paraId="16640E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2154E0A">
        <w:tblPrEx>
          <w:tblCellMar>
            <w:top w:w="0" w:type="dxa"/>
            <w:left w:w="108" w:type="dxa"/>
            <w:bottom w:w="0" w:type="dxa"/>
            <w:right w:w="108" w:type="dxa"/>
          </w:tblCellMar>
        </w:tblPrEx>
        <w:tc>
          <w:tcPr>
            <w:tcW w:w="8848" w:type="dxa"/>
            <w:gridSpan w:val="14"/>
            <w:vAlign w:val="center"/>
          </w:tcPr>
          <w:p w14:paraId="27DB6889">
            <w:pPr>
              <w:jc w:val="center"/>
            </w:pPr>
            <w:r>
              <w:rPr>
                <w:rFonts w:ascii="宋体" w:hAnsi="宋体" w:eastAsia="宋体"/>
                <w:sz w:val="24"/>
              </w:rPr>
              <w:t>项目支出绩效自评表</w:t>
            </w:r>
          </w:p>
        </w:tc>
      </w:tr>
      <w:tr w14:paraId="27383F55">
        <w:tblPrEx>
          <w:tblCellMar>
            <w:top w:w="0" w:type="dxa"/>
            <w:left w:w="108" w:type="dxa"/>
            <w:bottom w:w="0" w:type="dxa"/>
            <w:right w:w="108" w:type="dxa"/>
          </w:tblCellMar>
        </w:tblPrEx>
        <w:tc>
          <w:tcPr>
            <w:tcW w:w="8848" w:type="dxa"/>
            <w:gridSpan w:val="14"/>
            <w:vAlign w:val="center"/>
          </w:tcPr>
          <w:p w14:paraId="3BB48E1B">
            <w:pPr>
              <w:jc w:val="center"/>
            </w:pPr>
            <w:r>
              <w:rPr>
                <w:rFonts w:ascii="宋体" w:hAnsi="宋体" w:eastAsia="宋体"/>
                <w:sz w:val="24"/>
              </w:rPr>
              <w:t>(2024年度)</w:t>
            </w:r>
          </w:p>
        </w:tc>
      </w:tr>
      <w:tr w14:paraId="27F7AB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A9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1A49BC">
            <w:pPr>
              <w:jc w:val="center"/>
            </w:pPr>
            <w:r>
              <w:rPr>
                <w:rFonts w:ascii="宋体" w:hAnsi="宋体" w:eastAsia="宋体"/>
                <w:sz w:val="16"/>
              </w:rPr>
              <w:t>喀什地区英吉沙县2023年综合发展与环境改善工程</w:t>
            </w:r>
          </w:p>
        </w:tc>
      </w:tr>
      <w:tr w14:paraId="389140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7D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0DB24">
            <w:pPr>
              <w:jc w:val="center"/>
            </w:pPr>
            <w:r>
              <w:rPr>
                <w:rFonts w:ascii="宋体" w:hAnsi="宋体" w:eastAsia="宋体"/>
                <w:sz w:val="16"/>
              </w:rPr>
              <w:t>英吉沙县发展和改革委员会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F5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657732">
            <w:pPr>
              <w:jc w:val="center"/>
            </w:pPr>
            <w:r>
              <w:rPr>
                <w:rFonts w:ascii="宋体" w:hAnsi="宋体" w:eastAsia="宋体"/>
                <w:sz w:val="16"/>
              </w:rPr>
              <w:t>英吉沙县发展和改革委员会</w:t>
            </w:r>
          </w:p>
        </w:tc>
      </w:tr>
      <w:tr w14:paraId="594871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080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939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EB5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741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0D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8D4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1CE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FB08">
            <w:pPr>
              <w:jc w:val="center"/>
            </w:pPr>
            <w:r>
              <w:rPr>
                <w:rFonts w:ascii="宋体" w:hAnsi="宋体" w:eastAsia="宋体"/>
                <w:sz w:val="16"/>
              </w:rPr>
              <w:t>得分</w:t>
            </w:r>
          </w:p>
        </w:tc>
      </w:tr>
      <w:tr w14:paraId="23626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369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7F0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D9278">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11AB">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3A771">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280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43D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E867">
            <w:pPr>
              <w:jc w:val="center"/>
            </w:pPr>
            <w:r>
              <w:rPr>
                <w:rFonts w:ascii="宋体" w:hAnsi="宋体" w:eastAsia="宋体"/>
                <w:sz w:val="16"/>
              </w:rPr>
              <w:t>10.00分</w:t>
            </w:r>
          </w:p>
        </w:tc>
      </w:tr>
      <w:tr w14:paraId="08ABE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855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389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36EF">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3F6A5">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809E2">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7B3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9AE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7FC1">
            <w:pPr>
              <w:jc w:val="center"/>
            </w:pPr>
            <w:r>
              <w:rPr>
                <w:rFonts w:ascii="宋体" w:hAnsi="宋体" w:eastAsia="宋体"/>
                <w:sz w:val="16"/>
              </w:rPr>
              <w:t>—</w:t>
            </w:r>
          </w:p>
        </w:tc>
      </w:tr>
      <w:tr w14:paraId="5F345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88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968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BD4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9D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34F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245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CCB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DF1C">
            <w:pPr>
              <w:jc w:val="center"/>
            </w:pPr>
            <w:r>
              <w:rPr>
                <w:rFonts w:ascii="宋体" w:hAnsi="宋体" w:eastAsia="宋体"/>
                <w:sz w:val="16"/>
              </w:rPr>
              <w:t>—</w:t>
            </w:r>
          </w:p>
        </w:tc>
      </w:tr>
      <w:tr w14:paraId="547597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7D1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F46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95C303">
            <w:pPr>
              <w:jc w:val="center"/>
            </w:pPr>
            <w:r>
              <w:rPr>
                <w:rFonts w:ascii="宋体" w:hAnsi="宋体" w:eastAsia="宋体"/>
                <w:sz w:val="16"/>
              </w:rPr>
              <w:t>实际完成情况</w:t>
            </w:r>
          </w:p>
        </w:tc>
      </w:tr>
      <w:tr w14:paraId="3E9F7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0DD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239198">
            <w:pPr>
              <w:jc w:val="both"/>
            </w:pPr>
            <w:r>
              <w:rPr>
                <w:rFonts w:ascii="宋体" w:hAnsi="宋体" w:eastAsia="宋体"/>
                <w:sz w:val="16"/>
              </w:rPr>
              <w:t>该项目计划投入资金18.66万元，用于支付喀什地区英吉沙县2023年综合发展与环境改善工程的1笔工程尾款。通过该项目的实施，有效提高政府公信力。预期受益还款单位满意度不低于95%。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F0941">
            <w:pPr>
              <w:jc w:val="both"/>
            </w:pPr>
            <w:r>
              <w:rPr>
                <w:rFonts w:ascii="宋体" w:hAnsi="宋体" w:eastAsia="宋体"/>
                <w:sz w:val="16"/>
              </w:rPr>
              <w:t>截至目前，本项目已支出资金18.66万元，已全额支付喀什地区英吉沙县2023年综合发展与环境改善工程的1笔工程尾款。该项目的实施，有效提高政府公信力。</w:t>
            </w:r>
          </w:p>
        </w:tc>
      </w:tr>
      <w:tr w14:paraId="4AACEF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42B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206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30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88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EE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C1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87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4C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BD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DE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6A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69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1B49">
            <w:pPr>
              <w:jc w:val="center"/>
            </w:pPr>
            <w:r>
              <w:rPr>
                <w:rFonts w:ascii="宋体" w:hAnsi="宋体" w:eastAsia="宋体"/>
                <w:sz w:val="16"/>
              </w:rPr>
              <w:t>偏差原因分析及改进措施</w:t>
            </w:r>
          </w:p>
        </w:tc>
      </w:tr>
      <w:tr w14:paraId="4776DB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E4E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5F5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FE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89F8">
            <w:pPr>
              <w:jc w:val="center"/>
            </w:pPr>
            <w:r>
              <w:rPr>
                <w:rFonts w:ascii="宋体" w:hAnsi="宋体" w:eastAsia="宋体"/>
                <w:sz w:val="16"/>
              </w:rPr>
              <w:t>涉及支付项目尾款笔数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9532">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C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F9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88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48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1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966D">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CD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2BE8">
            <w:pPr>
              <w:jc w:val="center"/>
            </w:pPr>
          </w:p>
        </w:tc>
      </w:tr>
      <w:tr w14:paraId="4AA52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50D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F3A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EB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561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A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98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8A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DC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9E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5B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C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EB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34CC">
            <w:pPr>
              <w:jc w:val="center"/>
            </w:pPr>
          </w:p>
        </w:tc>
      </w:tr>
      <w:tr w14:paraId="1F10F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11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EF1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0E4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DBE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F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A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1D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9C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33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C4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8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17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7A06">
            <w:pPr>
              <w:jc w:val="center"/>
            </w:pPr>
          </w:p>
        </w:tc>
      </w:tr>
      <w:tr w14:paraId="71364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5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45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9D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726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16F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E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68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48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A1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C7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51F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ED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8793B">
            <w:pPr>
              <w:jc w:val="center"/>
            </w:pPr>
          </w:p>
        </w:tc>
      </w:tr>
      <w:tr w14:paraId="394D1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99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63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23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3E63">
            <w:pPr>
              <w:jc w:val="center"/>
            </w:pPr>
            <w:r>
              <w:rPr>
                <w:rFonts w:ascii="宋体" w:hAnsi="宋体" w:eastAsia="宋体"/>
                <w:sz w:val="16"/>
              </w:rPr>
              <w:t>支付尾款成本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093A">
            <w:pPr>
              <w:jc w:val="center"/>
            </w:pPr>
            <w:r>
              <w:rPr>
                <w:rFonts w:ascii="宋体" w:hAnsi="宋体" w:eastAsia="宋体"/>
                <w:sz w:val="16"/>
              </w:rPr>
              <w:t>&lt;=18.66万元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99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B4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D4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4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4B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2CD2">
            <w:pPr>
              <w:jc w:val="center"/>
            </w:pPr>
            <w:r>
              <w:rPr>
                <w:rFonts w:ascii="宋体" w:hAnsi="宋体" w:eastAsia="宋体"/>
                <w:sz w:val="16"/>
              </w:rPr>
              <w:t>=18.66万元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61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27A89">
            <w:pPr>
              <w:jc w:val="center"/>
            </w:pPr>
          </w:p>
        </w:tc>
      </w:tr>
      <w:tr w14:paraId="16FE9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CC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7A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73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5E63">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CB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12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23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67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C6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D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93C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CC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650BF">
            <w:pPr>
              <w:jc w:val="center"/>
            </w:pPr>
          </w:p>
        </w:tc>
      </w:tr>
      <w:tr w14:paraId="0A06A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24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2B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5D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0F82">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F9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E7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8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E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D2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1E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1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F0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E267">
            <w:pPr>
              <w:jc w:val="center"/>
            </w:pPr>
            <w:r>
              <w:rPr>
                <w:rFonts w:ascii="宋体" w:hAnsi="宋体" w:eastAsia="宋体"/>
                <w:sz w:val="16"/>
              </w:rPr>
              <w:t>满意度指标的预期目标值设置偏低，指标超额完成。</w:t>
            </w:r>
          </w:p>
        </w:tc>
      </w:tr>
      <w:tr w14:paraId="65B40F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70BC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F1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DD2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98E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A47BE9"/>
        </w:tc>
      </w:tr>
    </w:tbl>
    <w:p w14:paraId="7F2ED466">
      <w:r>
        <w:br w:type="page"/>
      </w:r>
    </w:p>
    <w:tbl>
      <w:tblPr>
        <w:tblStyle w:val="9"/>
        <w:tblW w:w="5000" w:type="pct"/>
        <w:jc w:val="center"/>
        <w:tblLayout w:type="autofit"/>
        <w:tblCellMar>
          <w:top w:w="40" w:type="dxa"/>
          <w:left w:w="64" w:type="dxa"/>
          <w:bottom w:w="40" w:type="dxa"/>
          <w:right w:w="64" w:type="dxa"/>
        </w:tblCellMar>
      </w:tblPr>
      <w:tblGrid>
        <w:gridCol w:w="626"/>
        <w:gridCol w:w="423"/>
        <w:gridCol w:w="459"/>
        <w:gridCol w:w="1071"/>
        <w:gridCol w:w="816"/>
        <w:gridCol w:w="484"/>
        <w:gridCol w:w="607"/>
        <w:gridCol w:w="402"/>
        <w:gridCol w:w="736"/>
        <w:gridCol w:w="515"/>
        <w:gridCol w:w="985"/>
        <w:gridCol w:w="734"/>
        <w:gridCol w:w="1114"/>
      </w:tblGrid>
      <w:tr w14:paraId="6D8067C7">
        <w:tblPrEx>
          <w:tblCellMar>
            <w:top w:w="40" w:type="dxa"/>
            <w:left w:w="64" w:type="dxa"/>
            <w:bottom w:w="40" w:type="dxa"/>
            <w:right w:w="64" w:type="dxa"/>
          </w:tblCellMar>
        </w:tblPrEx>
        <w:trPr>
          <w:trHeight w:val="0" w:hRule="atLeast"/>
          <w:jc w:val="center"/>
        </w:trPr>
        <w:tc>
          <w:tcPr>
            <w:tcW w:w="5000" w:type="pct"/>
            <w:gridSpan w:val="13"/>
            <w:vAlign w:val="center"/>
          </w:tcPr>
          <w:p w14:paraId="6FE8F5B6">
            <w:pPr>
              <w:snapToGrid w:val="0"/>
              <w:jc w:val="center"/>
            </w:pPr>
            <w:r>
              <w:rPr>
                <w:rFonts w:ascii="宋体" w:hAnsi="宋体" w:eastAsia="宋体"/>
                <w:sz w:val="24"/>
              </w:rPr>
              <w:t>项目支出绩效自评表</w:t>
            </w:r>
          </w:p>
        </w:tc>
      </w:tr>
      <w:tr w14:paraId="0C91E016">
        <w:tblPrEx>
          <w:tblCellMar>
            <w:top w:w="40" w:type="dxa"/>
            <w:left w:w="64" w:type="dxa"/>
            <w:bottom w:w="40" w:type="dxa"/>
            <w:right w:w="64" w:type="dxa"/>
          </w:tblCellMar>
        </w:tblPrEx>
        <w:trPr>
          <w:trHeight w:val="0" w:hRule="atLeast"/>
          <w:jc w:val="center"/>
        </w:trPr>
        <w:tc>
          <w:tcPr>
            <w:tcW w:w="5000" w:type="pct"/>
            <w:gridSpan w:val="13"/>
            <w:vAlign w:val="center"/>
          </w:tcPr>
          <w:p w14:paraId="626FDD94">
            <w:pPr>
              <w:snapToGrid w:val="0"/>
              <w:jc w:val="center"/>
            </w:pPr>
            <w:r>
              <w:rPr>
                <w:rFonts w:ascii="宋体" w:hAnsi="宋体" w:eastAsia="宋体"/>
                <w:sz w:val="24"/>
              </w:rPr>
              <w:t>(2024年度)</w:t>
            </w:r>
          </w:p>
        </w:tc>
      </w:tr>
      <w:tr w14:paraId="60B4D31D">
        <w:tblPrEx>
          <w:tblCellMar>
            <w:top w:w="40" w:type="dxa"/>
            <w:left w:w="64" w:type="dxa"/>
            <w:bottom w:w="40" w:type="dxa"/>
            <w:right w:w="64" w:type="dxa"/>
          </w:tblCellMar>
        </w:tblPrEx>
        <w:trPr>
          <w:trHeight w:val="0" w:hRule="atLeast"/>
          <w:jc w:val="center"/>
        </w:trPr>
        <w:tc>
          <w:tcPr>
            <w:tcW w:w="349" w:type="pct"/>
            <w:tcBorders>
              <w:top w:val="single" w:color="auto" w:sz="10" w:space="0"/>
              <w:left w:val="single" w:color="auto" w:sz="10" w:space="0"/>
              <w:bottom w:val="single" w:color="auto" w:sz="10" w:space="0"/>
              <w:right w:val="single" w:color="auto" w:sz="10" w:space="0"/>
              <w:insideV w:val="single" w:sz="10" w:space="0"/>
            </w:tcBorders>
            <w:vAlign w:val="center"/>
          </w:tcPr>
          <w:p w14:paraId="78420778">
            <w:pPr>
              <w:snapToGrid w:val="0"/>
              <w:jc w:val="center"/>
            </w:pPr>
            <w:r>
              <w:rPr>
                <w:rFonts w:ascii="宋体" w:hAnsi="宋体" w:eastAsia="宋体"/>
                <w:sz w:val="16"/>
              </w:rPr>
              <w:t>项目名称</w:t>
            </w:r>
          </w:p>
        </w:tc>
        <w:tc>
          <w:tcPr>
            <w:tcW w:w="4650" w:type="pct"/>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2D57B11">
            <w:pPr>
              <w:snapToGrid w:val="0"/>
              <w:jc w:val="center"/>
            </w:pPr>
            <w:r>
              <w:rPr>
                <w:rFonts w:ascii="宋体" w:hAnsi="宋体" w:eastAsia="宋体"/>
                <w:sz w:val="16"/>
              </w:rPr>
              <w:t>英吉沙县2024年农产品成本调查经费</w:t>
            </w:r>
          </w:p>
        </w:tc>
      </w:tr>
      <w:tr w14:paraId="04B63404">
        <w:tblPrEx>
          <w:tblCellMar>
            <w:top w:w="40" w:type="dxa"/>
            <w:left w:w="64" w:type="dxa"/>
            <w:bottom w:w="40" w:type="dxa"/>
            <w:right w:w="64" w:type="dxa"/>
          </w:tblCellMar>
        </w:tblPrEx>
        <w:trPr>
          <w:trHeight w:val="0" w:hRule="atLeast"/>
          <w:jc w:val="center"/>
        </w:trPr>
        <w:tc>
          <w:tcPr>
            <w:tcW w:w="349" w:type="pct"/>
            <w:tcBorders>
              <w:top w:val="single" w:color="auto" w:sz="10" w:space="0"/>
              <w:left w:val="single" w:color="auto" w:sz="10" w:space="0"/>
              <w:bottom w:val="single" w:color="auto" w:sz="10" w:space="0"/>
              <w:right w:val="single" w:color="auto" w:sz="10" w:space="0"/>
              <w:insideV w:val="single" w:sz="10" w:space="0"/>
            </w:tcBorders>
            <w:vAlign w:val="center"/>
          </w:tcPr>
          <w:p w14:paraId="20F3AB90">
            <w:pPr>
              <w:snapToGrid w:val="0"/>
              <w:jc w:val="center"/>
            </w:pPr>
            <w:r>
              <w:rPr>
                <w:rFonts w:ascii="宋体" w:hAnsi="宋体" w:eastAsia="宋体"/>
                <w:sz w:val="16"/>
              </w:rPr>
              <w:t>主管部门</w:t>
            </w:r>
          </w:p>
        </w:tc>
        <w:tc>
          <w:tcPr>
            <w:tcW w:w="2373"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0588B">
            <w:pPr>
              <w:snapToGrid w:val="0"/>
              <w:jc w:val="center"/>
            </w:pPr>
            <w:r>
              <w:rPr>
                <w:rFonts w:ascii="宋体" w:hAnsi="宋体" w:eastAsia="宋体"/>
                <w:sz w:val="16"/>
              </w:rPr>
              <w:t>英吉沙县发展和改革委员会</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2B825EB4">
            <w:pPr>
              <w:snapToGrid w:val="0"/>
              <w:jc w:val="center"/>
            </w:pPr>
            <w:r>
              <w:rPr>
                <w:rFonts w:ascii="宋体" w:hAnsi="宋体" w:eastAsia="宋体"/>
                <w:sz w:val="16"/>
              </w:rPr>
              <w:t>实施单位</w:t>
            </w:r>
          </w:p>
        </w:tc>
        <w:tc>
          <w:tcPr>
            <w:tcW w:w="1865"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B5015F">
            <w:pPr>
              <w:snapToGrid w:val="0"/>
              <w:jc w:val="center"/>
            </w:pPr>
            <w:r>
              <w:rPr>
                <w:rFonts w:ascii="宋体" w:hAnsi="宋体" w:eastAsia="宋体"/>
                <w:sz w:val="16"/>
              </w:rPr>
              <w:t>英吉沙县发展和改革委员会</w:t>
            </w:r>
          </w:p>
        </w:tc>
      </w:tr>
      <w:tr w14:paraId="6F7D19A6">
        <w:tblPrEx>
          <w:tblCellMar>
            <w:top w:w="40" w:type="dxa"/>
            <w:left w:w="64" w:type="dxa"/>
            <w:bottom w:w="40" w:type="dxa"/>
            <w:right w:w="64" w:type="dxa"/>
          </w:tblCellMar>
        </w:tblPrEx>
        <w:trPr>
          <w:trHeight w:val="0" w:hRule="atLeast"/>
          <w:jc w:val="center"/>
        </w:trPr>
        <w:tc>
          <w:tcPr>
            <w:tcW w:w="34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A49B9">
            <w:pPr>
              <w:snapToGrid w:val="0"/>
              <w:jc w:val="center"/>
            </w:pPr>
            <w:r>
              <w:rPr>
                <w:rFonts w:ascii="宋体" w:hAnsi="宋体" w:eastAsia="宋体"/>
                <w:sz w:val="16"/>
              </w:rPr>
              <w:t>项目资金 （万元）</w:t>
            </w:r>
          </w:p>
        </w:tc>
        <w:tc>
          <w:tcPr>
            <w:tcW w:w="4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B06C0">
            <w:pPr>
              <w:snapToGrid w:val="0"/>
              <w:jc w:val="center"/>
            </w:pPr>
          </w:p>
        </w:tc>
        <w:tc>
          <w:tcPr>
            <w:tcW w:w="10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D2B8B">
            <w:pPr>
              <w:snapToGrid w:val="0"/>
              <w:jc w:val="center"/>
            </w:pPr>
            <w:r>
              <w:rPr>
                <w:rFonts w:ascii="宋体" w:hAnsi="宋体" w:eastAsia="宋体"/>
                <w:sz w:val="16"/>
              </w:rPr>
              <w:t>年初预算数</w:t>
            </w:r>
          </w:p>
        </w:tc>
        <w:tc>
          <w:tcPr>
            <w:tcW w:w="60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DA2E2">
            <w:pPr>
              <w:snapToGrid w:val="0"/>
              <w:jc w:val="center"/>
            </w:pPr>
            <w:r>
              <w:rPr>
                <w:rFonts w:ascii="宋体" w:hAnsi="宋体" w:eastAsia="宋体"/>
                <w:sz w:val="16"/>
              </w:rPr>
              <w:t>全年预算数</w:t>
            </w:r>
          </w:p>
        </w:tc>
        <w:tc>
          <w:tcPr>
            <w:tcW w:w="63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7E650">
            <w:pPr>
              <w:snapToGrid w:val="0"/>
              <w:jc w:val="center"/>
            </w:pPr>
            <w:r>
              <w:rPr>
                <w:rFonts w:ascii="宋体" w:hAnsi="宋体" w:eastAsia="宋体"/>
                <w:sz w:val="16"/>
              </w:rPr>
              <w:t>全年执行数</w:t>
            </w:r>
          </w:p>
        </w:tc>
        <w:tc>
          <w:tcPr>
            <w:tcW w:w="83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59EA">
            <w:pPr>
              <w:snapToGrid w:val="0"/>
              <w:jc w:val="center"/>
            </w:pPr>
            <w:r>
              <w:rPr>
                <w:rFonts w:ascii="宋体" w:hAnsi="宋体" w:eastAsia="宋体"/>
                <w:sz w:val="16"/>
              </w:rPr>
              <w:t>分值</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682A2A22">
            <w:pPr>
              <w:snapToGrid w:val="0"/>
              <w:jc w:val="center"/>
            </w:pPr>
            <w:r>
              <w:rPr>
                <w:rFonts w:ascii="宋体" w:hAnsi="宋体" w:eastAsia="宋体"/>
                <w:sz w:val="16"/>
              </w:rPr>
              <w:t>执行率</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31EFE5B9">
            <w:pPr>
              <w:snapToGrid w:val="0"/>
              <w:jc w:val="center"/>
            </w:pPr>
            <w:r>
              <w:rPr>
                <w:rFonts w:ascii="宋体" w:hAnsi="宋体" w:eastAsia="宋体"/>
                <w:sz w:val="16"/>
              </w:rPr>
              <w:t>得分</w:t>
            </w:r>
          </w:p>
        </w:tc>
      </w:tr>
      <w:tr w14:paraId="0CEEAA3B">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7BC43B17">
            <w:pPr>
              <w:snapToGrid w:val="0"/>
            </w:pPr>
          </w:p>
        </w:tc>
        <w:tc>
          <w:tcPr>
            <w:tcW w:w="4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B741">
            <w:pPr>
              <w:snapToGrid w:val="0"/>
              <w:jc w:val="center"/>
            </w:pPr>
            <w:r>
              <w:rPr>
                <w:rFonts w:ascii="宋体" w:hAnsi="宋体" w:eastAsia="宋体"/>
                <w:sz w:val="16"/>
              </w:rPr>
              <w:t>年度资金总额</w:t>
            </w:r>
          </w:p>
        </w:tc>
        <w:tc>
          <w:tcPr>
            <w:tcW w:w="10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08B6D">
            <w:pPr>
              <w:snapToGrid w:val="0"/>
              <w:jc w:val="center"/>
            </w:pPr>
            <w:r>
              <w:rPr>
                <w:rFonts w:ascii="宋体" w:hAnsi="宋体" w:eastAsia="宋体"/>
                <w:sz w:val="16"/>
              </w:rPr>
              <w:t>2.40</w:t>
            </w:r>
          </w:p>
        </w:tc>
        <w:tc>
          <w:tcPr>
            <w:tcW w:w="60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EF891">
            <w:pPr>
              <w:snapToGrid w:val="0"/>
              <w:jc w:val="center"/>
            </w:pPr>
            <w:r>
              <w:rPr>
                <w:rFonts w:ascii="宋体" w:hAnsi="宋体" w:eastAsia="宋体"/>
                <w:sz w:val="16"/>
              </w:rPr>
              <w:t>2.37</w:t>
            </w:r>
          </w:p>
        </w:tc>
        <w:tc>
          <w:tcPr>
            <w:tcW w:w="63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5B56F">
            <w:pPr>
              <w:snapToGrid w:val="0"/>
              <w:jc w:val="center"/>
            </w:pPr>
            <w:r>
              <w:rPr>
                <w:rFonts w:ascii="宋体" w:hAnsi="宋体" w:eastAsia="宋体"/>
                <w:sz w:val="16"/>
              </w:rPr>
              <w:t>2.37</w:t>
            </w:r>
          </w:p>
        </w:tc>
        <w:tc>
          <w:tcPr>
            <w:tcW w:w="83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771DE">
            <w:pPr>
              <w:snapToGrid w:val="0"/>
              <w:jc w:val="center"/>
            </w:pPr>
            <w:r>
              <w:rPr>
                <w:rFonts w:ascii="宋体" w:hAnsi="宋体" w:eastAsia="宋体"/>
                <w:sz w:val="16"/>
              </w:rPr>
              <w:t>10</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281CC9EA">
            <w:pPr>
              <w:snapToGrid w:val="0"/>
              <w:jc w:val="center"/>
            </w:pPr>
            <w:r>
              <w:rPr>
                <w:rFonts w:ascii="宋体" w:hAnsi="宋体" w:eastAsia="宋体"/>
                <w:sz w:val="16"/>
              </w:rPr>
              <w:t>100.0%</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6A5C1498">
            <w:pPr>
              <w:snapToGrid w:val="0"/>
              <w:jc w:val="center"/>
            </w:pPr>
            <w:r>
              <w:rPr>
                <w:rFonts w:ascii="宋体" w:hAnsi="宋体" w:eastAsia="宋体"/>
                <w:sz w:val="16"/>
              </w:rPr>
              <w:t>10.00分</w:t>
            </w:r>
          </w:p>
        </w:tc>
      </w:tr>
      <w:tr w14:paraId="4BAF4BAF">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43B92E5F">
            <w:pPr>
              <w:snapToGrid w:val="0"/>
            </w:pPr>
          </w:p>
        </w:tc>
        <w:tc>
          <w:tcPr>
            <w:tcW w:w="4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8F8F">
            <w:pPr>
              <w:snapToGrid w:val="0"/>
              <w:jc w:val="center"/>
            </w:pPr>
            <w:r>
              <w:rPr>
                <w:rFonts w:ascii="宋体" w:hAnsi="宋体" w:eastAsia="宋体"/>
                <w:sz w:val="16"/>
              </w:rPr>
              <w:t>其中：当年财政拨款</w:t>
            </w:r>
          </w:p>
        </w:tc>
        <w:tc>
          <w:tcPr>
            <w:tcW w:w="10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28763">
            <w:pPr>
              <w:snapToGrid w:val="0"/>
              <w:jc w:val="center"/>
            </w:pPr>
            <w:r>
              <w:rPr>
                <w:rFonts w:ascii="宋体" w:hAnsi="宋体" w:eastAsia="宋体"/>
                <w:sz w:val="16"/>
              </w:rPr>
              <w:t>2.40</w:t>
            </w:r>
          </w:p>
        </w:tc>
        <w:tc>
          <w:tcPr>
            <w:tcW w:w="60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EFC2B">
            <w:pPr>
              <w:snapToGrid w:val="0"/>
              <w:jc w:val="center"/>
            </w:pPr>
            <w:r>
              <w:rPr>
                <w:rFonts w:ascii="宋体" w:hAnsi="宋体" w:eastAsia="宋体"/>
                <w:sz w:val="16"/>
              </w:rPr>
              <w:t>2.37</w:t>
            </w:r>
          </w:p>
        </w:tc>
        <w:tc>
          <w:tcPr>
            <w:tcW w:w="63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3BCF9">
            <w:pPr>
              <w:snapToGrid w:val="0"/>
              <w:jc w:val="center"/>
            </w:pPr>
            <w:r>
              <w:rPr>
                <w:rFonts w:ascii="宋体" w:hAnsi="宋体" w:eastAsia="宋体"/>
                <w:sz w:val="16"/>
              </w:rPr>
              <w:t>2.37</w:t>
            </w:r>
          </w:p>
        </w:tc>
        <w:tc>
          <w:tcPr>
            <w:tcW w:w="83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54FE9">
            <w:pPr>
              <w:snapToGrid w:val="0"/>
              <w:jc w:val="center"/>
            </w:pPr>
            <w:r>
              <w:rPr>
                <w:rFonts w:ascii="宋体" w:hAnsi="宋体" w:eastAsia="宋体"/>
                <w:sz w:val="16"/>
              </w:rPr>
              <w:t>—</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13EEFE44">
            <w:pPr>
              <w:snapToGrid w:val="0"/>
              <w:jc w:val="center"/>
            </w:pPr>
            <w:r>
              <w:rPr>
                <w:rFonts w:ascii="宋体" w:hAnsi="宋体" w:eastAsia="宋体"/>
                <w:sz w:val="16"/>
              </w:rPr>
              <w:t>—</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0088BDC0">
            <w:pPr>
              <w:snapToGrid w:val="0"/>
              <w:jc w:val="center"/>
            </w:pPr>
            <w:r>
              <w:rPr>
                <w:rFonts w:ascii="宋体" w:hAnsi="宋体" w:eastAsia="宋体"/>
                <w:sz w:val="16"/>
              </w:rPr>
              <w:t>—</w:t>
            </w:r>
          </w:p>
        </w:tc>
      </w:tr>
      <w:tr w14:paraId="21ADA790">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653238D0">
            <w:pPr>
              <w:snapToGrid w:val="0"/>
            </w:pPr>
          </w:p>
        </w:tc>
        <w:tc>
          <w:tcPr>
            <w:tcW w:w="49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0D912">
            <w:pPr>
              <w:snapToGrid w:val="0"/>
              <w:jc w:val="center"/>
            </w:pPr>
            <w:r>
              <w:rPr>
                <w:rFonts w:ascii="宋体" w:hAnsi="宋体" w:eastAsia="宋体"/>
                <w:sz w:val="16"/>
              </w:rPr>
              <w:t xml:space="preserve">  其他资金</w:t>
            </w:r>
          </w:p>
        </w:tc>
        <w:tc>
          <w:tcPr>
            <w:tcW w:w="105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8332D">
            <w:pPr>
              <w:snapToGrid w:val="0"/>
              <w:jc w:val="center"/>
            </w:pPr>
            <w:r>
              <w:rPr>
                <w:rFonts w:ascii="宋体" w:hAnsi="宋体" w:eastAsia="宋体"/>
                <w:sz w:val="16"/>
              </w:rPr>
              <w:t>0.00</w:t>
            </w:r>
          </w:p>
        </w:tc>
        <w:tc>
          <w:tcPr>
            <w:tcW w:w="60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E319">
            <w:pPr>
              <w:snapToGrid w:val="0"/>
              <w:jc w:val="center"/>
            </w:pPr>
            <w:r>
              <w:rPr>
                <w:rFonts w:ascii="宋体" w:hAnsi="宋体" w:eastAsia="宋体"/>
                <w:sz w:val="16"/>
              </w:rPr>
              <w:t>0.00</w:t>
            </w:r>
          </w:p>
        </w:tc>
        <w:tc>
          <w:tcPr>
            <w:tcW w:w="63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DBC4B">
            <w:pPr>
              <w:snapToGrid w:val="0"/>
              <w:jc w:val="center"/>
            </w:pPr>
            <w:r>
              <w:rPr>
                <w:rFonts w:ascii="宋体" w:hAnsi="宋体" w:eastAsia="宋体"/>
                <w:sz w:val="16"/>
              </w:rPr>
              <w:t>0.00</w:t>
            </w:r>
          </w:p>
        </w:tc>
        <w:tc>
          <w:tcPr>
            <w:tcW w:w="83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B3777">
            <w:pPr>
              <w:snapToGrid w:val="0"/>
              <w:jc w:val="center"/>
            </w:pPr>
            <w:r>
              <w:rPr>
                <w:rFonts w:ascii="宋体" w:hAnsi="宋体" w:eastAsia="宋体"/>
                <w:sz w:val="16"/>
              </w:rPr>
              <w:t>—</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4F993DDD">
            <w:pPr>
              <w:snapToGrid w:val="0"/>
              <w:jc w:val="center"/>
            </w:pPr>
            <w:r>
              <w:rPr>
                <w:rFonts w:ascii="宋体" w:hAnsi="宋体" w:eastAsia="宋体"/>
                <w:sz w:val="16"/>
              </w:rPr>
              <w:t>—</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4CD78C5A">
            <w:pPr>
              <w:snapToGrid w:val="0"/>
              <w:jc w:val="center"/>
            </w:pPr>
            <w:r>
              <w:rPr>
                <w:rFonts w:ascii="宋体" w:hAnsi="宋体" w:eastAsia="宋体"/>
                <w:sz w:val="16"/>
              </w:rPr>
              <w:t>—</w:t>
            </w:r>
          </w:p>
        </w:tc>
      </w:tr>
      <w:tr w14:paraId="5420B4B2">
        <w:tblPrEx>
          <w:tblCellMar>
            <w:top w:w="40" w:type="dxa"/>
            <w:left w:w="64" w:type="dxa"/>
            <w:bottom w:w="40" w:type="dxa"/>
            <w:right w:w="64" w:type="dxa"/>
          </w:tblCellMar>
        </w:tblPrEx>
        <w:trPr>
          <w:trHeight w:val="0" w:hRule="atLeast"/>
          <w:jc w:val="center"/>
        </w:trPr>
        <w:tc>
          <w:tcPr>
            <w:tcW w:w="34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BCE5E">
            <w:pPr>
              <w:snapToGrid w:val="0"/>
              <w:jc w:val="center"/>
            </w:pPr>
            <w:r>
              <w:rPr>
                <w:rFonts w:ascii="宋体" w:hAnsi="宋体" w:eastAsia="宋体"/>
                <w:sz w:val="16"/>
              </w:rPr>
              <w:t>三、目标完成情况</w:t>
            </w:r>
          </w:p>
        </w:tc>
        <w:tc>
          <w:tcPr>
            <w:tcW w:w="2373"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BFD123">
            <w:pPr>
              <w:snapToGrid w:val="0"/>
              <w:jc w:val="center"/>
            </w:pPr>
            <w:r>
              <w:rPr>
                <w:rFonts w:ascii="宋体" w:hAnsi="宋体" w:eastAsia="宋体"/>
                <w:sz w:val="16"/>
              </w:rPr>
              <w:t>预期目标</w:t>
            </w:r>
          </w:p>
        </w:tc>
        <w:tc>
          <w:tcPr>
            <w:tcW w:w="2276"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316CD5">
            <w:pPr>
              <w:snapToGrid w:val="0"/>
              <w:jc w:val="center"/>
            </w:pPr>
            <w:r>
              <w:rPr>
                <w:rFonts w:ascii="宋体" w:hAnsi="宋体" w:eastAsia="宋体"/>
                <w:sz w:val="16"/>
              </w:rPr>
              <w:t>实际完成情况</w:t>
            </w:r>
          </w:p>
        </w:tc>
      </w:tr>
      <w:tr w14:paraId="6B3B8864">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5FA34A01">
            <w:pPr>
              <w:snapToGrid w:val="0"/>
            </w:pPr>
          </w:p>
        </w:tc>
        <w:tc>
          <w:tcPr>
            <w:tcW w:w="2373"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9A123">
            <w:pPr>
              <w:snapToGrid w:val="0"/>
              <w:jc w:val="both"/>
            </w:pPr>
            <w:r>
              <w:rPr>
                <w:rFonts w:ascii="宋体" w:hAnsi="宋体" w:eastAsia="宋体"/>
                <w:sz w:val="16"/>
              </w:rPr>
              <w:t>目标1：项目预算安排资金2.37万元，目标2：调查人员培训4次，调查农户误工补贴12户，购买农产品调查办公用品2批，项目的实施有效为各级政府研究和制定农产品价格与流通政策提供决策依据。</w:t>
            </w:r>
          </w:p>
        </w:tc>
        <w:tc>
          <w:tcPr>
            <w:tcW w:w="2276"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B5F7BB">
            <w:pPr>
              <w:snapToGrid w:val="0"/>
              <w:jc w:val="both"/>
            </w:pPr>
            <w:r>
              <w:rPr>
                <w:rFonts w:hint="eastAsia" w:ascii="宋体" w:hAnsi="宋体"/>
                <w:sz w:val="16"/>
                <w:lang w:eastAsia="zh-CN"/>
              </w:rPr>
              <w:t>截至</w:t>
            </w:r>
            <w:r>
              <w:rPr>
                <w:rFonts w:ascii="宋体" w:hAnsi="宋体" w:eastAsia="宋体"/>
                <w:sz w:val="16"/>
              </w:rPr>
              <w:t>2024年12月31日，项目已完成支出2.37万元，用于调查人员培训4次，调查农户误工补贴12户，购买农产品调查办公用品2批，项目的实施有效为各级政府研究和制定农产品价格与流通政策提供决策依据。</w:t>
            </w:r>
          </w:p>
        </w:tc>
      </w:tr>
      <w:tr w14:paraId="5800EE15">
        <w:tblPrEx>
          <w:tblCellMar>
            <w:top w:w="40" w:type="dxa"/>
            <w:left w:w="64" w:type="dxa"/>
            <w:bottom w:w="40" w:type="dxa"/>
            <w:right w:w="64" w:type="dxa"/>
          </w:tblCellMar>
        </w:tblPrEx>
        <w:trPr>
          <w:trHeight w:val="0" w:hRule="atLeast"/>
          <w:jc w:val="center"/>
        </w:trPr>
        <w:tc>
          <w:tcPr>
            <w:tcW w:w="349" w:type="pct"/>
            <w:tcBorders>
              <w:top w:val="single" w:color="auto" w:sz="10" w:space="0"/>
              <w:left w:val="single" w:color="auto" w:sz="10" w:space="0"/>
              <w:bottom w:val="single" w:color="auto" w:sz="10" w:space="0"/>
              <w:right w:val="single" w:color="auto" w:sz="10" w:space="0"/>
              <w:insideV w:val="single" w:sz="10" w:space="0"/>
            </w:tcBorders>
          </w:tcPr>
          <w:p w14:paraId="1A932EDA">
            <w:pPr>
              <w:snapToGrid w:val="0"/>
            </w:pPr>
          </w:p>
        </w:tc>
        <w:tc>
          <w:tcPr>
            <w:tcW w:w="236" w:type="pct"/>
            <w:tcBorders>
              <w:top w:val="single" w:color="auto" w:sz="10" w:space="0"/>
              <w:left w:val="single" w:color="auto" w:sz="10" w:space="0"/>
              <w:bottom w:val="single" w:color="auto" w:sz="10" w:space="0"/>
              <w:right w:val="single" w:color="auto" w:sz="10" w:space="0"/>
              <w:insideV w:val="single" w:sz="10" w:space="0"/>
            </w:tcBorders>
            <w:vAlign w:val="center"/>
          </w:tcPr>
          <w:p w14:paraId="4143F093">
            <w:pPr>
              <w:snapToGrid w:val="0"/>
              <w:jc w:val="center"/>
            </w:pPr>
            <w:r>
              <w:rPr>
                <w:rFonts w:ascii="宋体" w:hAnsi="宋体" w:eastAsia="宋体"/>
                <w:sz w:val="16"/>
              </w:rPr>
              <w:t>一级指标</w:t>
            </w:r>
          </w:p>
        </w:tc>
        <w:tc>
          <w:tcPr>
            <w:tcW w:w="255" w:type="pct"/>
            <w:tcBorders>
              <w:top w:val="single" w:color="auto" w:sz="10" w:space="0"/>
              <w:left w:val="single" w:color="auto" w:sz="10" w:space="0"/>
              <w:bottom w:val="single" w:color="auto" w:sz="10" w:space="0"/>
              <w:right w:val="single" w:color="auto" w:sz="10" w:space="0"/>
              <w:insideV w:val="single" w:sz="10" w:space="0"/>
            </w:tcBorders>
            <w:vAlign w:val="center"/>
          </w:tcPr>
          <w:p w14:paraId="78F3115B">
            <w:pPr>
              <w:snapToGrid w:val="0"/>
              <w:jc w:val="center"/>
            </w:pPr>
            <w:r>
              <w:rPr>
                <w:rFonts w:ascii="宋体" w:hAnsi="宋体" w:eastAsia="宋体"/>
                <w:sz w:val="16"/>
              </w:rPr>
              <w:t>二级指标</w:t>
            </w: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50446A07">
            <w:pPr>
              <w:snapToGrid w:val="0"/>
              <w:jc w:val="center"/>
            </w:pPr>
            <w:r>
              <w:rPr>
                <w:rFonts w:ascii="宋体" w:hAnsi="宋体" w:eastAsia="宋体"/>
                <w:sz w:val="16"/>
              </w:rPr>
              <w:t>三级指标</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5D9CE19F">
            <w:pPr>
              <w:snapToGrid w:val="0"/>
              <w:jc w:val="center"/>
            </w:pPr>
            <w:r>
              <w:rPr>
                <w:rFonts w:ascii="宋体" w:hAnsi="宋体" w:eastAsia="宋体"/>
                <w:sz w:val="16"/>
              </w:rPr>
              <w:t>年度指标值</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2C95D10C">
            <w:pPr>
              <w:snapToGrid w:val="0"/>
              <w:jc w:val="center"/>
            </w:pPr>
            <w:r>
              <w:rPr>
                <w:rFonts w:ascii="宋体" w:hAnsi="宋体" w:eastAsia="宋体"/>
                <w:sz w:val="16"/>
              </w:rPr>
              <w:t>指标值设定依据</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3F6AF6A5">
            <w:pPr>
              <w:snapToGrid w:val="0"/>
              <w:jc w:val="center"/>
            </w:pPr>
            <w:r>
              <w:rPr>
                <w:rFonts w:ascii="宋体" w:hAnsi="宋体" w:eastAsia="宋体"/>
                <w:sz w:val="16"/>
              </w:rPr>
              <w:t>上年完成情况</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650B25D6">
            <w:pPr>
              <w:snapToGrid w:val="0"/>
              <w:jc w:val="center"/>
            </w:pPr>
            <w:r>
              <w:rPr>
                <w:rFonts w:ascii="宋体" w:hAnsi="宋体" w:eastAsia="宋体"/>
                <w:sz w:val="16"/>
              </w:rPr>
              <w:t>权重</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5A9B3661">
            <w:pPr>
              <w:snapToGrid w:val="0"/>
              <w:jc w:val="center"/>
            </w:pPr>
            <w:r>
              <w:rPr>
                <w:rFonts w:ascii="宋体" w:hAnsi="宋体" w:eastAsia="宋体"/>
                <w:sz w:val="16"/>
              </w:rPr>
              <w:t>赋分规则</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16C020D2">
            <w:pPr>
              <w:snapToGrid w:val="0"/>
              <w:jc w:val="center"/>
            </w:pPr>
            <w:r>
              <w:rPr>
                <w:rFonts w:ascii="宋体" w:hAnsi="宋体" w:eastAsia="宋体"/>
                <w:sz w:val="16"/>
              </w:rPr>
              <w:t>佐证资料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2B49D4A1">
            <w:pPr>
              <w:snapToGrid w:val="0"/>
              <w:jc w:val="center"/>
            </w:pPr>
            <w:r>
              <w:rPr>
                <w:rFonts w:ascii="宋体" w:hAnsi="宋体" w:eastAsia="宋体"/>
                <w:sz w:val="16"/>
              </w:rPr>
              <w:t>实际完成值</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3FDB94FA">
            <w:pPr>
              <w:snapToGrid w:val="0"/>
              <w:jc w:val="center"/>
            </w:pPr>
            <w:r>
              <w:rPr>
                <w:rFonts w:ascii="宋体" w:hAnsi="宋体" w:eastAsia="宋体"/>
                <w:sz w:val="16"/>
              </w:rPr>
              <w:t>得分</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2A5226C1">
            <w:pPr>
              <w:snapToGrid w:val="0"/>
              <w:jc w:val="center"/>
            </w:pPr>
            <w:r>
              <w:rPr>
                <w:rFonts w:ascii="宋体" w:hAnsi="宋体" w:eastAsia="宋体"/>
                <w:sz w:val="16"/>
              </w:rPr>
              <w:t>偏差原因分析及改进措施</w:t>
            </w:r>
          </w:p>
        </w:tc>
      </w:tr>
      <w:tr w14:paraId="7EBE2BC1">
        <w:tblPrEx>
          <w:tblCellMar>
            <w:top w:w="40" w:type="dxa"/>
            <w:left w:w="64" w:type="dxa"/>
            <w:bottom w:w="40" w:type="dxa"/>
            <w:right w:w="64" w:type="dxa"/>
          </w:tblCellMar>
        </w:tblPrEx>
        <w:trPr>
          <w:trHeight w:val="0" w:hRule="atLeast"/>
          <w:jc w:val="center"/>
        </w:trPr>
        <w:tc>
          <w:tcPr>
            <w:tcW w:w="34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A59DF">
            <w:pPr>
              <w:snapToGrid w:val="0"/>
              <w:jc w:val="center"/>
            </w:pPr>
            <w:r>
              <w:rPr>
                <w:rFonts w:ascii="宋体" w:hAnsi="宋体" w:eastAsia="宋体"/>
                <w:sz w:val="16"/>
              </w:rPr>
              <w:t>年度绩效指标完成情况</w:t>
            </w:r>
          </w:p>
        </w:tc>
        <w:tc>
          <w:tcPr>
            <w:tcW w:w="23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64FE1">
            <w:pPr>
              <w:snapToGrid w:val="0"/>
              <w:jc w:val="center"/>
            </w:pPr>
            <w:r>
              <w:rPr>
                <w:rFonts w:ascii="宋体" w:hAnsi="宋体" w:eastAsia="宋体"/>
                <w:sz w:val="16"/>
              </w:rPr>
              <w:t>产出指标</w:t>
            </w:r>
          </w:p>
        </w:tc>
        <w:tc>
          <w:tcPr>
            <w:tcW w:w="255"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EC273">
            <w:pPr>
              <w:snapToGrid w:val="0"/>
              <w:jc w:val="center"/>
            </w:pPr>
            <w:r>
              <w:rPr>
                <w:rFonts w:ascii="宋体" w:hAnsi="宋体" w:eastAsia="宋体"/>
                <w:sz w:val="16"/>
              </w:rPr>
              <w:t>数量指标</w:t>
            </w: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24D56723">
            <w:pPr>
              <w:snapToGrid w:val="0"/>
              <w:jc w:val="center"/>
            </w:pPr>
            <w:r>
              <w:rPr>
                <w:rFonts w:ascii="宋体" w:hAnsi="宋体" w:eastAsia="宋体"/>
                <w:sz w:val="16"/>
              </w:rPr>
              <w:t>调查人员培训次数</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4DD68940">
            <w:pPr>
              <w:snapToGrid w:val="0"/>
              <w:jc w:val="center"/>
            </w:pPr>
            <w:r>
              <w:rPr>
                <w:rFonts w:ascii="宋体" w:hAnsi="宋体" w:eastAsia="宋体"/>
                <w:sz w:val="16"/>
              </w:rPr>
              <w:t>&gt;=4次</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2B2117B4">
            <w:pPr>
              <w:snapToGrid w:val="0"/>
              <w:jc w:val="center"/>
            </w:pPr>
            <w:r>
              <w:rPr>
                <w:rFonts w:ascii="宋体" w:hAnsi="宋体" w:eastAsia="宋体"/>
                <w:sz w:val="16"/>
              </w:rPr>
              <w:t>计划标准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3B37925A">
            <w:pPr>
              <w:snapToGrid w:val="0"/>
              <w:jc w:val="center"/>
            </w:pPr>
            <w:r>
              <w:rPr>
                <w:rFonts w:ascii="宋体" w:hAnsi="宋体" w:eastAsia="宋体"/>
                <w:sz w:val="16"/>
              </w:rPr>
              <w:t>5次</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1CF148A9">
            <w:pPr>
              <w:snapToGrid w:val="0"/>
              <w:jc w:val="center"/>
            </w:pPr>
            <w:r>
              <w:rPr>
                <w:rFonts w:ascii="宋体" w:hAnsi="宋体" w:eastAsia="宋体"/>
                <w:sz w:val="16"/>
              </w:rPr>
              <w:t>8</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6FC92AD0">
            <w:pPr>
              <w:snapToGrid w:val="0"/>
              <w:jc w:val="center"/>
            </w:pPr>
            <w:r>
              <w:rPr>
                <w:rFonts w:ascii="宋体" w:hAnsi="宋体" w:eastAsia="宋体"/>
                <w:sz w:val="16"/>
              </w:rPr>
              <w:t>按照完成比例赋分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44FDE04D">
            <w:pPr>
              <w:snapToGrid w:val="0"/>
              <w:jc w:val="center"/>
            </w:pPr>
            <w:r>
              <w:rPr>
                <w:rFonts w:ascii="宋体" w:hAnsi="宋体" w:eastAsia="宋体"/>
                <w:sz w:val="16"/>
              </w:rPr>
              <w:t>工作资料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5C024103">
            <w:pPr>
              <w:snapToGrid w:val="0"/>
              <w:jc w:val="center"/>
            </w:pPr>
            <w:r>
              <w:rPr>
                <w:rFonts w:ascii="宋体" w:hAnsi="宋体" w:eastAsia="宋体"/>
                <w:sz w:val="16"/>
              </w:rPr>
              <w:t>=4次</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6EB43C46">
            <w:pPr>
              <w:snapToGrid w:val="0"/>
              <w:jc w:val="center"/>
            </w:pPr>
            <w:r>
              <w:rPr>
                <w:rFonts w:ascii="宋体" w:hAnsi="宋体" w:eastAsia="宋体"/>
                <w:sz w:val="16"/>
              </w:rPr>
              <w:t>8</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30DB1A3B">
            <w:pPr>
              <w:snapToGrid w:val="0"/>
              <w:jc w:val="center"/>
            </w:pPr>
          </w:p>
        </w:tc>
      </w:tr>
      <w:tr w14:paraId="7E7DBF6A">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796A50BF">
            <w:pPr>
              <w:snapToGrid w:val="0"/>
            </w:pPr>
          </w:p>
        </w:tc>
        <w:tc>
          <w:tcPr>
            <w:tcW w:w="236" w:type="pct"/>
            <w:vMerge w:val="continue"/>
            <w:tcBorders>
              <w:top w:val="single" w:color="auto" w:sz="10" w:space="0"/>
              <w:left w:val="single" w:color="auto" w:sz="10" w:space="0"/>
              <w:bottom w:val="single" w:color="auto" w:sz="10" w:space="0"/>
              <w:right w:val="single" w:color="auto" w:sz="10" w:space="0"/>
              <w:insideV w:val="single" w:sz="10" w:space="0"/>
            </w:tcBorders>
          </w:tcPr>
          <w:p w14:paraId="0A522FEE">
            <w:pPr>
              <w:snapToGrid w:val="0"/>
            </w:pPr>
          </w:p>
        </w:tc>
        <w:tc>
          <w:tcPr>
            <w:tcW w:w="255" w:type="pct"/>
            <w:vMerge w:val="continue"/>
            <w:tcBorders>
              <w:top w:val="single" w:color="auto" w:sz="10" w:space="0"/>
              <w:left w:val="single" w:color="auto" w:sz="10" w:space="0"/>
              <w:bottom w:val="single" w:color="auto" w:sz="10" w:space="0"/>
              <w:right w:val="single" w:color="auto" w:sz="10" w:space="0"/>
              <w:insideV w:val="single" w:sz="10" w:space="0"/>
            </w:tcBorders>
          </w:tcPr>
          <w:p w14:paraId="5DCB3B47">
            <w:pPr>
              <w:snapToGrid w:val="0"/>
            </w:pP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5602761C">
            <w:pPr>
              <w:snapToGrid w:val="0"/>
              <w:jc w:val="center"/>
            </w:pPr>
            <w:r>
              <w:rPr>
                <w:rFonts w:ascii="宋体" w:hAnsi="宋体" w:eastAsia="宋体"/>
                <w:sz w:val="16"/>
              </w:rPr>
              <w:t>调查农户误工补贴户数</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26B3DFD6">
            <w:pPr>
              <w:snapToGrid w:val="0"/>
              <w:jc w:val="center"/>
            </w:pPr>
            <w:r>
              <w:rPr>
                <w:rFonts w:ascii="宋体" w:hAnsi="宋体" w:eastAsia="宋体"/>
                <w:sz w:val="16"/>
              </w:rPr>
              <w:t>=12户</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61275E9B">
            <w:pPr>
              <w:snapToGrid w:val="0"/>
              <w:jc w:val="center"/>
            </w:pPr>
            <w:r>
              <w:rPr>
                <w:rFonts w:ascii="宋体" w:hAnsi="宋体" w:eastAsia="宋体"/>
                <w:sz w:val="16"/>
              </w:rPr>
              <w:t>计划标准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41FBC1CB">
            <w:pPr>
              <w:snapToGrid w:val="0"/>
              <w:jc w:val="center"/>
            </w:pPr>
            <w:r>
              <w:rPr>
                <w:rFonts w:ascii="宋体" w:hAnsi="宋体" w:eastAsia="宋体"/>
                <w:sz w:val="16"/>
              </w:rPr>
              <w:t>12户</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0B7505B2">
            <w:pPr>
              <w:snapToGrid w:val="0"/>
              <w:jc w:val="center"/>
            </w:pPr>
            <w:r>
              <w:rPr>
                <w:rFonts w:ascii="宋体" w:hAnsi="宋体" w:eastAsia="宋体"/>
                <w:sz w:val="16"/>
              </w:rPr>
              <w:t>8</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2C93FA55">
            <w:pPr>
              <w:snapToGrid w:val="0"/>
              <w:jc w:val="center"/>
            </w:pPr>
            <w:r>
              <w:rPr>
                <w:rFonts w:ascii="宋体" w:hAnsi="宋体" w:eastAsia="宋体"/>
                <w:sz w:val="16"/>
              </w:rPr>
              <w:t>按照完成比例赋分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FE4C7A8">
            <w:pPr>
              <w:snapToGrid w:val="0"/>
              <w:jc w:val="center"/>
            </w:pPr>
            <w:r>
              <w:rPr>
                <w:rFonts w:ascii="宋体" w:hAnsi="宋体" w:eastAsia="宋体"/>
                <w:sz w:val="16"/>
              </w:rPr>
              <w:t>工作资料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0A33CC9C">
            <w:pPr>
              <w:snapToGrid w:val="0"/>
              <w:jc w:val="center"/>
            </w:pPr>
            <w:r>
              <w:rPr>
                <w:rFonts w:ascii="宋体" w:hAnsi="宋体" w:eastAsia="宋体"/>
                <w:sz w:val="16"/>
              </w:rPr>
              <w:t>=12户</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3B4242AF">
            <w:pPr>
              <w:snapToGrid w:val="0"/>
              <w:jc w:val="center"/>
            </w:pPr>
            <w:r>
              <w:rPr>
                <w:rFonts w:ascii="宋体" w:hAnsi="宋体" w:eastAsia="宋体"/>
                <w:sz w:val="16"/>
              </w:rPr>
              <w:t>8</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3667064E">
            <w:pPr>
              <w:snapToGrid w:val="0"/>
              <w:jc w:val="center"/>
            </w:pPr>
          </w:p>
        </w:tc>
      </w:tr>
      <w:tr w14:paraId="48C81BC6">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60C25063">
            <w:pPr>
              <w:snapToGrid w:val="0"/>
            </w:pPr>
          </w:p>
        </w:tc>
        <w:tc>
          <w:tcPr>
            <w:tcW w:w="236" w:type="pct"/>
            <w:vMerge w:val="continue"/>
            <w:tcBorders>
              <w:top w:val="single" w:color="auto" w:sz="10" w:space="0"/>
              <w:left w:val="single" w:color="auto" w:sz="10" w:space="0"/>
              <w:bottom w:val="single" w:color="auto" w:sz="10" w:space="0"/>
              <w:right w:val="single" w:color="auto" w:sz="10" w:space="0"/>
              <w:insideV w:val="single" w:sz="10" w:space="0"/>
            </w:tcBorders>
          </w:tcPr>
          <w:p w14:paraId="52D76CD3">
            <w:pPr>
              <w:snapToGrid w:val="0"/>
            </w:pPr>
          </w:p>
        </w:tc>
        <w:tc>
          <w:tcPr>
            <w:tcW w:w="255" w:type="pct"/>
            <w:vMerge w:val="continue"/>
            <w:tcBorders>
              <w:top w:val="single" w:color="auto" w:sz="10" w:space="0"/>
              <w:left w:val="single" w:color="auto" w:sz="10" w:space="0"/>
              <w:bottom w:val="single" w:color="auto" w:sz="10" w:space="0"/>
              <w:right w:val="single" w:color="auto" w:sz="10" w:space="0"/>
              <w:insideV w:val="single" w:sz="10" w:space="0"/>
            </w:tcBorders>
          </w:tcPr>
          <w:p w14:paraId="3E4FBE52">
            <w:pPr>
              <w:snapToGrid w:val="0"/>
            </w:pP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013307A7">
            <w:pPr>
              <w:snapToGrid w:val="0"/>
              <w:jc w:val="center"/>
            </w:pPr>
            <w:r>
              <w:rPr>
                <w:rFonts w:ascii="宋体" w:hAnsi="宋体" w:eastAsia="宋体"/>
                <w:sz w:val="16"/>
              </w:rPr>
              <w:t>购买农产品调查办公用品批次</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5D280263">
            <w:pPr>
              <w:snapToGrid w:val="0"/>
              <w:jc w:val="center"/>
            </w:pPr>
            <w:r>
              <w:rPr>
                <w:rFonts w:ascii="宋体" w:hAnsi="宋体" w:eastAsia="宋体"/>
                <w:sz w:val="16"/>
              </w:rPr>
              <w:t>&gt;=2批</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1D41CF2C">
            <w:pPr>
              <w:snapToGrid w:val="0"/>
              <w:jc w:val="center"/>
            </w:pPr>
            <w:r>
              <w:rPr>
                <w:rFonts w:ascii="宋体" w:hAnsi="宋体" w:eastAsia="宋体"/>
                <w:sz w:val="16"/>
              </w:rPr>
              <w:t>计划标准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64BFF3FB">
            <w:pPr>
              <w:snapToGrid w:val="0"/>
              <w:jc w:val="center"/>
            </w:pPr>
            <w:r>
              <w:rPr>
                <w:rFonts w:ascii="宋体" w:hAnsi="宋体" w:eastAsia="宋体"/>
                <w:sz w:val="16"/>
              </w:rPr>
              <w:t>2批</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4CBDB8DC">
            <w:pPr>
              <w:snapToGrid w:val="0"/>
              <w:jc w:val="center"/>
            </w:pPr>
            <w:r>
              <w:rPr>
                <w:rFonts w:ascii="宋体" w:hAnsi="宋体" w:eastAsia="宋体"/>
                <w:sz w:val="16"/>
              </w:rPr>
              <w:t>8</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3BFF0ADE">
            <w:pPr>
              <w:snapToGrid w:val="0"/>
              <w:jc w:val="center"/>
            </w:pPr>
            <w:r>
              <w:rPr>
                <w:rFonts w:ascii="宋体" w:hAnsi="宋体" w:eastAsia="宋体"/>
                <w:sz w:val="16"/>
              </w:rPr>
              <w:t>按照完成比例赋分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4F17ACA2">
            <w:pPr>
              <w:snapToGrid w:val="0"/>
              <w:jc w:val="center"/>
            </w:pPr>
            <w:r>
              <w:rPr>
                <w:rFonts w:ascii="宋体" w:hAnsi="宋体" w:eastAsia="宋体"/>
                <w:sz w:val="16"/>
              </w:rPr>
              <w:t>工作资料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2DDA4BDB">
            <w:pPr>
              <w:snapToGrid w:val="0"/>
              <w:jc w:val="center"/>
            </w:pPr>
            <w:r>
              <w:rPr>
                <w:rFonts w:ascii="宋体" w:hAnsi="宋体" w:eastAsia="宋体"/>
                <w:sz w:val="16"/>
              </w:rPr>
              <w:t>=2批</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667AAF88">
            <w:pPr>
              <w:snapToGrid w:val="0"/>
              <w:jc w:val="center"/>
            </w:pPr>
            <w:r>
              <w:rPr>
                <w:rFonts w:ascii="宋体" w:hAnsi="宋体" w:eastAsia="宋体"/>
                <w:sz w:val="16"/>
              </w:rPr>
              <w:t>8</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1C907D26">
            <w:pPr>
              <w:snapToGrid w:val="0"/>
              <w:jc w:val="center"/>
            </w:pPr>
          </w:p>
        </w:tc>
      </w:tr>
      <w:tr w14:paraId="01D31947">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1715A40B">
            <w:pPr>
              <w:snapToGrid w:val="0"/>
            </w:pPr>
          </w:p>
        </w:tc>
        <w:tc>
          <w:tcPr>
            <w:tcW w:w="236" w:type="pct"/>
            <w:vMerge w:val="continue"/>
            <w:tcBorders>
              <w:top w:val="single" w:color="auto" w:sz="10" w:space="0"/>
              <w:left w:val="single" w:color="auto" w:sz="10" w:space="0"/>
              <w:bottom w:val="single" w:color="auto" w:sz="10" w:space="0"/>
              <w:right w:val="single" w:color="auto" w:sz="10" w:space="0"/>
              <w:insideV w:val="single" w:sz="10" w:space="0"/>
            </w:tcBorders>
          </w:tcPr>
          <w:p w14:paraId="3AE97DA5">
            <w:pPr>
              <w:snapToGrid w:val="0"/>
            </w:pPr>
          </w:p>
        </w:tc>
        <w:tc>
          <w:tcPr>
            <w:tcW w:w="255" w:type="pct"/>
            <w:tcBorders>
              <w:top w:val="single" w:color="auto" w:sz="10" w:space="0"/>
              <w:left w:val="single" w:color="auto" w:sz="10" w:space="0"/>
              <w:bottom w:val="single" w:color="auto" w:sz="10" w:space="0"/>
              <w:right w:val="single" w:color="auto" w:sz="10" w:space="0"/>
              <w:insideV w:val="single" w:sz="10" w:space="0"/>
            </w:tcBorders>
            <w:vAlign w:val="center"/>
          </w:tcPr>
          <w:p w14:paraId="0C265760">
            <w:pPr>
              <w:snapToGrid w:val="0"/>
              <w:jc w:val="center"/>
            </w:pPr>
            <w:r>
              <w:rPr>
                <w:rFonts w:ascii="宋体" w:hAnsi="宋体" w:eastAsia="宋体"/>
                <w:sz w:val="16"/>
              </w:rPr>
              <w:t>质量指标</w:t>
            </w: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7D5BAC77">
            <w:pPr>
              <w:snapToGrid w:val="0"/>
              <w:jc w:val="center"/>
            </w:pPr>
            <w:r>
              <w:rPr>
                <w:rFonts w:ascii="宋体" w:hAnsi="宋体" w:eastAsia="宋体"/>
                <w:sz w:val="16"/>
              </w:rPr>
              <w:t>政府采购率</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0C4AA871">
            <w:pPr>
              <w:snapToGrid w:val="0"/>
              <w:jc w:val="center"/>
            </w:pPr>
            <w:r>
              <w:rPr>
                <w:rFonts w:ascii="宋体" w:hAnsi="宋体" w:eastAsia="宋体"/>
                <w:sz w:val="16"/>
              </w:rPr>
              <w:t>=100%</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60C2E17D">
            <w:pPr>
              <w:snapToGrid w:val="0"/>
              <w:jc w:val="center"/>
            </w:pPr>
            <w:r>
              <w:rPr>
                <w:rFonts w:ascii="宋体" w:hAnsi="宋体" w:eastAsia="宋体"/>
                <w:sz w:val="16"/>
              </w:rPr>
              <w:t>计划标准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563E37C4">
            <w:pPr>
              <w:snapToGrid w:val="0"/>
              <w:jc w:val="center"/>
            </w:pPr>
            <w:r>
              <w:rPr>
                <w:rFonts w:ascii="宋体" w:hAnsi="宋体" w:eastAsia="宋体"/>
                <w:sz w:val="16"/>
              </w:rPr>
              <w:t>100%</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6D558B7D">
            <w:pPr>
              <w:snapToGrid w:val="0"/>
              <w:jc w:val="center"/>
            </w:pPr>
            <w:r>
              <w:rPr>
                <w:rFonts w:ascii="宋体" w:hAnsi="宋体" w:eastAsia="宋体"/>
                <w:sz w:val="16"/>
              </w:rPr>
              <w:t>8</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527616FC">
            <w:pPr>
              <w:snapToGrid w:val="0"/>
              <w:jc w:val="center"/>
            </w:pPr>
            <w:r>
              <w:rPr>
                <w:rFonts w:ascii="宋体" w:hAnsi="宋体" w:eastAsia="宋体"/>
                <w:sz w:val="16"/>
              </w:rPr>
              <w:t>直接赋分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8E4CACB">
            <w:pPr>
              <w:snapToGrid w:val="0"/>
              <w:jc w:val="center"/>
            </w:pPr>
            <w:r>
              <w:rPr>
                <w:rFonts w:ascii="宋体" w:hAnsi="宋体" w:eastAsia="宋体"/>
                <w:sz w:val="16"/>
              </w:rPr>
              <w:t>工作资料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684DFF44">
            <w:pPr>
              <w:snapToGrid w:val="0"/>
              <w:jc w:val="center"/>
            </w:pPr>
            <w:r>
              <w:rPr>
                <w:rFonts w:ascii="宋体" w:hAnsi="宋体" w:eastAsia="宋体"/>
                <w:sz w:val="16"/>
              </w:rPr>
              <w:t>=100%</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2FA8934C">
            <w:pPr>
              <w:snapToGrid w:val="0"/>
              <w:jc w:val="center"/>
            </w:pPr>
            <w:r>
              <w:rPr>
                <w:rFonts w:ascii="宋体" w:hAnsi="宋体" w:eastAsia="宋体"/>
                <w:sz w:val="16"/>
              </w:rPr>
              <w:t>8</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05EF014A">
            <w:pPr>
              <w:snapToGrid w:val="0"/>
              <w:jc w:val="center"/>
            </w:pPr>
          </w:p>
        </w:tc>
      </w:tr>
      <w:tr w14:paraId="4C8EB6FB">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16FF20E0">
            <w:pPr>
              <w:snapToGrid w:val="0"/>
            </w:pPr>
          </w:p>
        </w:tc>
        <w:tc>
          <w:tcPr>
            <w:tcW w:w="236" w:type="pct"/>
            <w:vMerge w:val="continue"/>
            <w:tcBorders>
              <w:top w:val="single" w:color="auto" w:sz="10" w:space="0"/>
              <w:left w:val="single" w:color="auto" w:sz="10" w:space="0"/>
              <w:bottom w:val="single" w:color="auto" w:sz="10" w:space="0"/>
              <w:right w:val="single" w:color="auto" w:sz="10" w:space="0"/>
              <w:insideV w:val="single" w:sz="10" w:space="0"/>
            </w:tcBorders>
          </w:tcPr>
          <w:p w14:paraId="76999DE8">
            <w:pPr>
              <w:snapToGrid w:val="0"/>
            </w:pPr>
          </w:p>
        </w:tc>
        <w:tc>
          <w:tcPr>
            <w:tcW w:w="255" w:type="pct"/>
            <w:tcBorders>
              <w:top w:val="single" w:color="auto" w:sz="10" w:space="0"/>
              <w:left w:val="single" w:color="auto" w:sz="10" w:space="0"/>
              <w:bottom w:val="single" w:color="auto" w:sz="10" w:space="0"/>
              <w:right w:val="single" w:color="auto" w:sz="10" w:space="0"/>
              <w:insideV w:val="single" w:sz="10" w:space="0"/>
            </w:tcBorders>
            <w:vAlign w:val="center"/>
          </w:tcPr>
          <w:p w14:paraId="7D83A8E6">
            <w:pPr>
              <w:snapToGrid w:val="0"/>
              <w:jc w:val="center"/>
            </w:pPr>
            <w:r>
              <w:rPr>
                <w:rFonts w:ascii="宋体" w:hAnsi="宋体" w:eastAsia="宋体"/>
                <w:sz w:val="16"/>
              </w:rPr>
              <w:t>时效指标</w:t>
            </w: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474936C6">
            <w:pPr>
              <w:snapToGrid w:val="0"/>
              <w:jc w:val="center"/>
            </w:pPr>
            <w:r>
              <w:rPr>
                <w:rFonts w:ascii="宋体" w:hAnsi="宋体" w:eastAsia="宋体"/>
                <w:sz w:val="16"/>
              </w:rPr>
              <w:t>项目完成时间</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72CFAAD6">
            <w:pPr>
              <w:snapToGrid w:val="0"/>
              <w:jc w:val="center"/>
            </w:pPr>
            <w:r>
              <w:rPr>
                <w:rFonts w:ascii="宋体" w:hAnsi="宋体" w:eastAsia="宋体"/>
                <w:sz w:val="16"/>
              </w:rPr>
              <w:t>=2024年12月20日</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6BBB9030">
            <w:pPr>
              <w:snapToGrid w:val="0"/>
              <w:jc w:val="center"/>
            </w:pPr>
            <w:r>
              <w:rPr>
                <w:rFonts w:ascii="宋体" w:hAnsi="宋体" w:eastAsia="宋体"/>
                <w:sz w:val="16"/>
              </w:rPr>
              <w:t>计划标准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6F80F0F5">
            <w:pPr>
              <w:snapToGrid w:val="0"/>
              <w:jc w:val="center"/>
            </w:pPr>
            <w:r>
              <w:rPr>
                <w:rFonts w:ascii="宋体" w:hAnsi="宋体" w:eastAsia="宋体"/>
                <w:sz w:val="16"/>
              </w:rPr>
              <w:t>100%</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160E7651">
            <w:pPr>
              <w:snapToGrid w:val="0"/>
              <w:jc w:val="center"/>
            </w:pPr>
            <w:r>
              <w:rPr>
                <w:rFonts w:ascii="宋体" w:hAnsi="宋体" w:eastAsia="宋体"/>
                <w:sz w:val="16"/>
              </w:rPr>
              <w:t>8</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17900511">
            <w:pPr>
              <w:snapToGrid w:val="0"/>
              <w:jc w:val="center"/>
            </w:pPr>
            <w:r>
              <w:rPr>
                <w:rFonts w:ascii="宋体" w:hAnsi="宋体" w:eastAsia="宋体"/>
                <w:sz w:val="16"/>
              </w:rPr>
              <w:t>直接赋分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A67C990">
            <w:pPr>
              <w:snapToGrid w:val="0"/>
              <w:jc w:val="center"/>
            </w:pPr>
            <w:r>
              <w:rPr>
                <w:rFonts w:ascii="宋体" w:hAnsi="宋体" w:eastAsia="宋体"/>
                <w:sz w:val="16"/>
              </w:rPr>
              <w:t>工作资料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1FC96A2F">
            <w:pPr>
              <w:snapToGrid w:val="0"/>
              <w:jc w:val="center"/>
            </w:pPr>
            <w:r>
              <w:rPr>
                <w:rFonts w:ascii="宋体" w:hAnsi="宋体" w:eastAsia="宋体"/>
                <w:sz w:val="16"/>
              </w:rPr>
              <w:t>=2024年12月20日</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7B4A2673">
            <w:pPr>
              <w:snapToGrid w:val="0"/>
              <w:jc w:val="center"/>
            </w:pPr>
            <w:r>
              <w:rPr>
                <w:rFonts w:ascii="宋体" w:hAnsi="宋体" w:eastAsia="宋体"/>
                <w:sz w:val="16"/>
              </w:rPr>
              <w:t>8</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496A683D">
            <w:pPr>
              <w:snapToGrid w:val="0"/>
              <w:jc w:val="center"/>
            </w:pPr>
          </w:p>
        </w:tc>
      </w:tr>
      <w:tr w14:paraId="7BBE05CA">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099FB0A7">
            <w:pPr>
              <w:snapToGrid w:val="0"/>
            </w:pPr>
          </w:p>
        </w:tc>
        <w:tc>
          <w:tcPr>
            <w:tcW w:w="23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AD362">
            <w:pPr>
              <w:snapToGrid w:val="0"/>
              <w:jc w:val="center"/>
            </w:pPr>
            <w:r>
              <w:rPr>
                <w:rFonts w:ascii="宋体" w:hAnsi="宋体" w:eastAsia="宋体"/>
                <w:sz w:val="16"/>
              </w:rPr>
              <w:t>成本指标</w:t>
            </w:r>
          </w:p>
        </w:tc>
        <w:tc>
          <w:tcPr>
            <w:tcW w:w="255"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E6EB0">
            <w:pPr>
              <w:snapToGrid w:val="0"/>
              <w:jc w:val="center"/>
            </w:pPr>
            <w:r>
              <w:rPr>
                <w:rFonts w:ascii="宋体" w:hAnsi="宋体" w:eastAsia="宋体"/>
                <w:sz w:val="16"/>
              </w:rPr>
              <w:t>经济成本指标</w:t>
            </w: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1EC3ED47">
            <w:pPr>
              <w:snapToGrid w:val="0"/>
              <w:jc w:val="center"/>
            </w:pPr>
            <w:r>
              <w:rPr>
                <w:rFonts w:ascii="宋体" w:hAnsi="宋体" w:eastAsia="宋体"/>
                <w:sz w:val="16"/>
              </w:rPr>
              <w:t>调查人员培训差旅费用</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102192EB">
            <w:pPr>
              <w:snapToGrid w:val="0"/>
              <w:jc w:val="center"/>
            </w:pPr>
            <w:r>
              <w:rPr>
                <w:rFonts w:ascii="宋体" w:hAnsi="宋体" w:eastAsia="宋体"/>
                <w:sz w:val="16"/>
              </w:rPr>
              <w:t>&lt;=0.96万元</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51A31142">
            <w:pPr>
              <w:snapToGrid w:val="0"/>
              <w:jc w:val="center"/>
            </w:pPr>
            <w:r>
              <w:rPr>
                <w:rFonts w:ascii="宋体" w:hAnsi="宋体" w:eastAsia="宋体"/>
                <w:sz w:val="16"/>
              </w:rPr>
              <w:t>预算支出标准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763DE602">
            <w:pPr>
              <w:snapToGrid w:val="0"/>
              <w:jc w:val="center"/>
            </w:pPr>
            <w:r>
              <w:rPr>
                <w:rFonts w:ascii="宋体" w:hAnsi="宋体" w:eastAsia="宋体"/>
                <w:sz w:val="16"/>
              </w:rPr>
              <w:t>0.8万元</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71AD9A96">
            <w:pPr>
              <w:snapToGrid w:val="0"/>
              <w:jc w:val="center"/>
            </w:pPr>
            <w:r>
              <w:rPr>
                <w:rFonts w:ascii="宋体" w:hAnsi="宋体" w:eastAsia="宋体"/>
                <w:sz w:val="16"/>
              </w:rPr>
              <w:t>7</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254D9EC0">
            <w:pPr>
              <w:snapToGrid w:val="0"/>
              <w:jc w:val="center"/>
            </w:pPr>
            <w:r>
              <w:rPr>
                <w:rFonts w:ascii="宋体" w:hAnsi="宋体" w:eastAsia="宋体"/>
                <w:sz w:val="16"/>
              </w:rPr>
              <w:t>按照完成比例赋分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5DEA9C1D">
            <w:pPr>
              <w:snapToGrid w:val="0"/>
              <w:jc w:val="center"/>
            </w:pPr>
            <w:r>
              <w:rPr>
                <w:rFonts w:ascii="宋体" w:hAnsi="宋体" w:eastAsia="宋体"/>
                <w:sz w:val="16"/>
              </w:rPr>
              <w:t>原始凭证</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62FF413B">
            <w:pPr>
              <w:snapToGrid w:val="0"/>
              <w:jc w:val="center"/>
            </w:pPr>
            <w:r>
              <w:rPr>
                <w:rFonts w:ascii="宋体" w:hAnsi="宋体" w:eastAsia="宋体"/>
                <w:sz w:val="16"/>
              </w:rPr>
              <w:t>=0.96万元</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0E24B9F6">
            <w:pPr>
              <w:snapToGrid w:val="0"/>
              <w:jc w:val="center"/>
            </w:pPr>
            <w:r>
              <w:rPr>
                <w:rFonts w:ascii="宋体" w:hAnsi="宋体" w:eastAsia="宋体"/>
                <w:sz w:val="16"/>
              </w:rPr>
              <w:t>7</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3C1596EA">
            <w:pPr>
              <w:snapToGrid w:val="0"/>
              <w:jc w:val="center"/>
            </w:pPr>
          </w:p>
        </w:tc>
      </w:tr>
      <w:tr w14:paraId="69B48F77">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25B7CB28">
            <w:pPr>
              <w:snapToGrid w:val="0"/>
            </w:pPr>
          </w:p>
        </w:tc>
        <w:tc>
          <w:tcPr>
            <w:tcW w:w="236" w:type="pct"/>
            <w:vMerge w:val="continue"/>
            <w:tcBorders>
              <w:top w:val="single" w:color="auto" w:sz="10" w:space="0"/>
              <w:left w:val="single" w:color="auto" w:sz="10" w:space="0"/>
              <w:bottom w:val="single" w:color="auto" w:sz="10" w:space="0"/>
              <w:right w:val="single" w:color="auto" w:sz="10" w:space="0"/>
              <w:insideV w:val="single" w:sz="10" w:space="0"/>
            </w:tcBorders>
          </w:tcPr>
          <w:p w14:paraId="661F620E">
            <w:pPr>
              <w:snapToGrid w:val="0"/>
            </w:pPr>
          </w:p>
        </w:tc>
        <w:tc>
          <w:tcPr>
            <w:tcW w:w="255" w:type="pct"/>
            <w:vMerge w:val="continue"/>
            <w:tcBorders>
              <w:top w:val="single" w:color="auto" w:sz="10" w:space="0"/>
              <w:left w:val="single" w:color="auto" w:sz="10" w:space="0"/>
              <w:bottom w:val="single" w:color="auto" w:sz="10" w:space="0"/>
              <w:right w:val="single" w:color="auto" w:sz="10" w:space="0"/>
              <w:insideV w:val="single" w:sz="10" w:space="0"/>
            </w:tcBorders>
          </w:tcPr>
          <w:p w14:paraId="63FE1E05">
            <w:pPr>
              <w:snapToGrid w:val="0"/>
            </w:pP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1418C613">
            <w:pPr>
              <w:snapToGrid w:val="0"/>
              <w:jc w:val="center"/>
            </w:pPr>
            <w:r>
              <w:rPr>
                <w:rFonts w:ascii="宋体" w:hAnsi="宋体" w:eastAsia="宋体"/>
                <w:sz w:val="16"/>
              </w:rPr>
              <w:t>调查农户误工补贴成本</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6241378F">
            <w:pPr>
              <w:snapToGrid w:val="0"/>
              <w:jc w:val="center"/>
            </w:pPr>
            <w:r>
              <w:rPr>
                <w:rFonts w:ascii="宋体" w:hAnsi="宋体" w:eastAsia="宋体"/>
                <w:sz w:val="16"/>
              </w:rPr>
              <w:t>&lt;=0.48万元</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30F5D5D5">
            <w:pPr>
              <w:snapToGrid w:val="0"/>
              <w:jc w:val="center"/>
            </w:pPr>
            <w:r>
              <w:rPr>
                <w:rFonts w:ascii="宋体" w:hAnsi="宋体" w:eastAsia="宋体"/>
                <w:sz w:val="16"/>
              </w:rPr>
              <w:t>预算支出标准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5D613977">
            <w:pPr>
              <w:snapToGrid w:val="0"/>
              <w:jc w:val="center"/>
            </w:pPr>
            <w:r>
              <w:rPr>
                <w:rFonts w:ascii="宋体" w:hAnsi="宋体" w:eastAsia="宋体"/>
                <w:sz w:val="16"/>
              </w:rPr>
              <w:t>0.48万元</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3CBB2C26">
            <w:pPr>
              <w:snapToGrid w:val="0"/>
              <w:jc w:val="center"/>
            </w:pPr>
            <w:r>
              <w:rPr>
                <w:rFonts w:ascii="宋体" w:hAnsi="宋体" w:eastAsia="宋体"/>
                <w:sz w:val="16"/>
              </w:rPr>
              <w:t>5</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136444B4">
            <w:pPr>
              <w:snapToGrid w:val="0"/>
              <w:jc w:val="center"/>
            </w:pPr>
            <w:r>
              <w:rPr>
                <w:rFonts w:ascii="宋体" w:hAnsi="宋体" w:eastAsia="宋体"/>
                <w:sz w:val="16"/>
              </w:rPr>
              <w:t>按照完成比例赋分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2C9DC580">
            <w:pPr>
              <w:snapToGrid w:val="0"/>
              <w:jc w:val="center"/>
            </w:pPr>
            <w:r>
              <w:rPr>
                <w:rFonts w:ascii="宋体" w:hAnsi="宋体" w:eastAsia="宋体"/>
                <w:sz w:val="16"/>
              </w:rPr>
              <w:t>原始凭证</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5B79B2D9">
            <w:pPr>
              <w:snapToGrid w:val="0"/>
              <w:jc w:val="center"/>
            </w:pPr>
            <w:r>
              <w:rPr>
                <w:rFonts w:ascii="宋体" w:hAnsi="宋体" w:eastAsia="宋体"/>
                <w:sz w:val="16"/>
              </w:rPr>
              <w:t>=0.48万元</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3D4125AE">
            <w:pPr>
              <w:snapToGrid w:val="0"/>
              <w:jc w:val="center"/>
            </w:pPr>
            <w:r>
              <w:rPr>
                <w:rFonts w:ascii="宋体" w:hAnsi="宋体" w:eastAsia="宋体"/>
                <w:sz w:val="16"/>
              </w:rPr>
              <w:t>5</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0F3ABF06">
            <w:pPr>
              <w:snapToGrid w:val="0"/>
              <w:jc w:val="center"/>
            </w:pPr>
          </w:p>
        </w:tc>
      </w:tr>
      <w:tr w14:paraId="0C27CB0D">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39E98A61">
            <w:pPr>
              <w:snapToGrid w:val="0"/>
            </w:pPr>
          </w:p>
        </w:tc>
        <w:tc>
          <w:tcPr>
            <w:tcW w:w="236" w:type="pct"/>
            <w:vMerge w:val="continue"/>
            <w:tcBorders>
              <w:top w:val="single" w:color="auto" w:sz="10" w:space="0"/>
              <w:left w:val="single" w:color="auto" w:sz="10" w:space="0"/>
              <w:bottom w:val="single" w:color="auto" w:sz="10" w:space="0"/>
              <w:right w:val="single" w:color="auto" w:sz="10" w:space="0"/>
              <w:insideV w:val="single" w:sz="10" w:space="0"/>
            </w:tcBorders>
          </w:tcPr>
          <w:p w14:paraId="5BDF1D75">
            <w:pPr>
              <w:snapToGrid w:val="0"/>
            </w:pPr>
          </w:p>
        </w:tc>
        <w:tc>
          <w:tcPr>
            <w:tcW w:w="255" w:type="pct"/>
            <w:vMerge w:val="continue"/>
            <w:tcBorders>
              <w:top w:val="single" w:color="auto" w:sz="10" w:space="0"/>
              <w:left w:val="single" w:color="auto" w:sz="10" w:space="0"/>
              <w:bottom w:val="single" w:color="auto" w:sz="10" w:space="0"/>
              <w:right w:val="single" w:color="auto" w:sz="10" w:space="0"/>
              <w:insideV w:val="single" w:sz="10" w:space="0"/>
            </w:tcBorders>
          </w:tcPr>
          <w:p w14:paraId="0D378CD4">
            <w:pPr>
              <w:snapToGrid w:val="0"/>
            </w:pP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68421B0D">
            <w:pPr>
              <w:snapToGrid w:val="0"/>
              <w:jc w:val="center"/>
            </w:pPr>
            <w:r>
              <w:rPr>
                <w:rFonts w:ascii="宋体" w:hAnsi="宋体" w:eastAsia="宋体"/>
                <w:sz w:val="16"/>
              </w:rPr>
              <w:t>购买农产品调查办公用品成本</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333B040E">
            <w:pPr>
              <w:snapToGrid w:val="0"/>
              <w:jc w:val="center"/>
            </w:pPr>
            <w:r>
              <w:rPr>
                <w:rFonts w:ascii="宋体" w:hAnsi="宋体" w:eastAsia="宋体"/>
                <w:sz w:val="16"/>
              </w:rPr>
              <w:t>&lt;=0.96万元</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11F17B6A">
            <w:pPr>
              <w:snapToGrid w:val="0"/>
              <w:jc w:val="center"/>
            </w:pPr>
            <w:r>
              <w:rPr>
                <w:rFonts w:ascii="宋体" w:hAnsi="宋体" w:eastAsia="宋体"/>
                <w:sz w:val="16"/>
              </w:rPr>
              <w:t>预算支出标准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6FDC1FA7">
            <w:pPr>
              <w:snapToGrid w:val="0"/>
              <w:jc w:val="center"/>
            </w:pPr>
            <w:r>
              <w:rPr>
                <w:rFonts w:ascii="宋体" w:hAnsi="宋体" w:eastAsia="宋体"/>
                <w:sz w:val="16"/>
              </w:rPr>
              <w:t>0.72万元</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489A1788">
            <w:pPr>
              <w:snapToGrid w:val="0"/>
              <w:jc w:val="center"/>
            </w:pPr>
            <w:r>
              <w:rPr>
                <w:rFonts w:ascii="宋体" w:hAnsi="宋体" w:eastAsia="宋体"/>
                <w:sz w:val="16"/>
              </w:rPr>
              <w:t>8</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6541DA5B">
            <w:pPr>
              <w:snapToGrid w:val="0"/>
              <w:jc w:val="center"/>
            </w:pPr>
            <w:r>
              <w:rPr>
                <w:rFonts w:ascii="宋体" w:hAnsi="宋体" w:eastAsia="宋体"/>
                <w:sz w:val="16"/>
              </w:rPr>
              <w:t>按照完成比例赋分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EFDEFC5">
            <w:pPr>
              <w:snapToGrid w:val="0"/>
              <w:jc w:val="center"/>
            </w:pPr>
            <w:r>
              <w:rPr>
                <w:rFonts w:ascii="宋体" w:hAnsi="宋体" w:eastAsia="宋体"/>
                <w:sz w:val="16"/>
              </w:rPr>
              <w:t>原始凭证</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7C777E39">
            <w:pPr>
              <w:snapToGrid w:val="0"/>
              <w:jc w:val="center"/>
            </w:pPr>
            <w:r>
              <w:rPr>
                <w:rFonts w:ascii="宋体" w:hAnsi="宋体" w:eastAsia="宋体"/>
                <w:sz w:val="16"/>
              </w:rPr>
              <w:t>=0.96万元</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75498255">
            <w:pPr>
              <w:snapToGrid w:val="0"/>
              <w:jc w:val="center"/>
            </w:pPr>
            <w:r>
              <w:rPr>
                <w:rFonts w:ascii="宋体" w:hAnsi="宋体" w:eastAsia="宋体"/>
                <w:sz w:val="16"/>
              </w:rPr>
              <w:t>8</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41136A69">
            <w:pPr>
              <w:snapToGrid w:val="0"/>
              <w:jc w:val="center"/>
            </w:pPr>
          </w:p>
        </w:tc>
      </w:tr>
      <w:tr w14:paraId="4D0115D2">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4B535C3D">
            <w:pPr>
              <w:snapToGrid w:val="0"/>
            </w:pPr>
          </w:p>
        </w:tc>
        <w:tc>
          <w:tcPr>
            <w:tcW w:w="236" w:type="pct"/>
            <w:tcBorders>
              <w:top w:val="single" w:color="auto" w:sz="10" w:space="0"/>
              <w:left w:val="single" w:color="auto" w:sz="10" w:space="0"/>
              <w:bottom w:val="single" w:color="auto" w:sz="10" w:space="0"/>
              <w:right w:val="single" w:color="auto" w:sz="10" w:space="0"/>
              <w:insideV w:val="single" w:sz="10" w:space="0"/>
            </w:tcBorders>
            <w:vAlign w:val="center"/>
          </w:tcPr>
          <w:p w14:paraId="317C1F7E">
            <w:pPr>
              <w:snapToGrid w:val="0"/>
              <w:jc w:val="center"/>
            </w:pPr>
            <w:r>
              <w:rPr>
                <w:rFonts w:ascii="宋体" w:hAnsi="宋体" w:eastAsia="宋体"/>
                <w:sz w:val="16"/>
              </w:rPr>
              <w:t>效益指标</w:t>
            </w:r>
          </w:p>
        </w:tc>
        <w:tc>
          <w:tcPr>
            <w:tcW w:w="255" w:type="pct"/>
            <w:tcBorders>
              <w:top w:val="single" w:color="auto" w:sz="10" w:space="0"/>
              <w:left w:val="single" w:color="auto" w:sz="10" w:space="0"/>
              <w:bottom w:val="single" w:color="auto" w:sz="10" w:space="0"/>
              <w:right w:val="single" w:color="auto" w:sz="10" w:space="0"/>
              <w:insideV w:val="single" w:sz="10" w:space="0"/>
            </w:tcBorders>
            <w:vAlign w:val="center"/>
          </w:tcPr>
          <w:p w14:paraId="39F7E430">
            <w:pPr>
              <w:snapToGrid w:val="0"/>
              <w:jc w:val="center"/>
            </w:pPr>
            <w:r>
              <w:rPr>
                <w:rFonts w:ascii="宋体" w:hAnsi="宋体" w:eastAsia="宋体"/>
                <w:sz w:val="16"/>
              </w:rPr>
              <w:t>社会效益指标</w:t>
            </w: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5309884D">
            <w:pPr>
              <w:snapToGrid w:val="0"/>
              <w:jc w:val="center"/>
            </w:pPr>
            <w:r>
              <w:rPr>
                <w:rFonts w:ascii="宋体" w:hAnsi="宋体" w:eastAsia="宋体"/>
                <w:sz w:val="16"/>
              </w:rPr>
              <w:t>为各级政府研究和制定农产品价格与流通政策提供决策依据</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203BD2B8">
            <w:pPr>
              <w:snapToGrid w:val="0"/>
              <w:jc w:val="center"/>
            </w:pPr>
            <w:r>
              <w:rPr>
                <w:rFonts w:ascii="宋体" w:hAnsi="宋体" w:eastAsia="宋体"/>
                <w:sz w:val="16"/>
              </w:rPr>
              <w:t>效果显著</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28A1A418">
            <w:pPr>
              <w:snapToGrid w:val="0"/>
              <w:jc w:val="center"/>
            </w:pPr>
            <w:r>
              <w:rPr>
                <w:rFonts w:ascii="宋体" w:hAnsi="宋体" w:eastAsia="宋体"/>
                <w:sz w:val="16"/>
              </w:rPr>
              <w:t>计划标准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3550393F">
            <w:pPr>
              <w:snapToGrid w:val="0"/>
              <w:jc w:val="center"/>
            </w:pPr>
            <w:r>
              <w:rPr>
                <w:rFonts w:ascii="宋体" w:hAnsi="宋体" w:eastAsia="宋体"/>
                <w:sz w:val="16"/>
              </w:rPr>
              <w:t>效果显著</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56046444">
            <w:pPr>
              <w:snapToGrid w:val="0"/>
              <w:jc w:val="center"/>
            </w:pPr>
            <w:r>
              <w:rPr>
                <w:rFonts w:ascii="宋体" w:hAnsi="宋体" w:eastAsia="宋体"/>
                <w:sz w:val="16"/>
              </w:rPr>
              <w:t>20</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453A23C1">
            <w:pPr>
              <w:snapToGrid w:val="0"/>
              <w:jc w:val="center"/>
            </w:pPr>
            <w:r>
              <w:rPr>
                <w:rFonts w:ascii="宋体" w:hAnsi="宋体" w:eastAsia="宋体"/>
                <w:sz w:val="16"/>
              </w:rPr>
              <w:t>按评判等级赋分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577AA61E">
            <w:pPr>
              <w:snapToGrid w:val="0"/>
              <w:jc w:val="center"/>
            </w:pPr>
            <w:r>
              <w:rPr>
                <w:rFonts w:ascii="宋体" w:hAnsi="宋体" w:eastAsia="宋体"/>
                <w:sz w:val="16"/>
              </w:rPr>
              <w:t>工作资料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53C77CB5">
            <w:pPr>
              <w:snapToGrid w:val="0"/>
              <w:jc w:val="center"/>
            </w:pPr>
            <w:r>
              <w:rPr>
                <w:rFonts w:ascii="宋体" w:hAnsi="宋体" w:eastAsia="宋体"/>
                <w:sz w:val="16"/>
              </w:rPr>
              <w:t>效果显著</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2B3DFFA0">
            <w:pPr>
              <w:snapToGrid w:val="0"/>
              <w:jc w:val="center"/>
            </w:pPr>
            <w:r>
              <w:rPr>
                <w:rFonts w:ascii="宋体" w:hAnsi="宋体" w:eastAsia="宋体"/>
                <w:sz w:val="16"/>
              </w:rPr>
              <w:t>20</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15B593D3">
            <w:pPr>
              <w:snapToGrid w:val="0"/>
              <w:jc w:val="center"/>
            </w:pPr>
          </w:p>
        </w:tc>
      </w:tr>
      <w:tr w14:paraId="41B365D8">
        <w:tblPrEx>
          <w:tblCellMar>
            <w:top w:w="40" w:type="dxa"/>
            <w:left w:w="64" w:type="dxa"/>
            <w:bottom w:w="40" w:type="dxa"/>
            <w:right w:w="64" w:type="dxa"/>
          </w:tblCellMar>
        </w:tblPrEx>
        <w:trPr>
          <w:trHeight w:val="0" w:hRule="atLeast"/>
          <w:jc w:val="center"/>
        </w:trPr>
        <w:tc>
          <w:tcPr>
            <w:tcW w:w="349" w:type="pct"/>
            <w:vMerge w:val="continue"/>
            <w:tcBorders>
              <w:top w:val="single" w:color="auto" w:sz="10" w:space="0"/>
              <w:left w:val="single" w:color="auto" w:sz="10" w:space="0"/>
              <w:bottom w:val="single" w:color="auto" w:sz="10" w:space="0"/>
              <w:right w:val="single" w:color="auto" w:sz="10" w:space="0"/>
              <w:insideV w:val="single" w:sz="10" w:space="0"/>
            </w:tcBorders>
          </w:tcPr>
          <w:p w14:paraId="2535F54A">
            <w:pPr>
              <w:snapToGrid w:val="0"/>
            </w:pPr>
          </w:p>
        </w:tc>
        <w:tc>
          <w:tcPr>
            <w:tcW w:w="236" w:type="pct"/>
            <w:tcBorders>
              <w:top w:val="single" w:color="auto" w:sz="10" w:space="0"/>
              <w:left w:val="single" w:color="auto" w:sz="10" w:space="0"/>
              <w:bottom w:val="single" w:color="auto" w:sz="10" w:space="0"/>
              <w:right w:val="single" w:color="auto" w:sz="10" w:space="0"/>
              <w:insideV w:val="single" w:sz="10" w:space="0"/>
            </w:tcBorders>
            <w:vAlign w:val="center"/>
          </w:tcPr>
          <w:p w14:paraId="6A9A8C0D">
            <w:pPr>
              <w:snapToGrid w:val="0"/>
              <w:jc w:val="center"/>
            </w:pPr>
            <w:r>
              <w:rPr>
                <w:rFonts w:ascii="宋体" w:hAnsi="宋体" w:eastAsia="宋体"/>
                <w:sz w:val="16"/>
              </w:rPr>
              <w:t>满意度指标</w:t>
            </w:r>
          </w:p>
        </w:tc>
        <w:tc>
          <w:tcPr>
            <w:tcW w:w="255" w:type="pct"/>
            <w:tcBorders>
              <w:top w:val="single" w:color="auto" w:sz="10" w:space="0"/>
              <w:left w:val="single" w:color="auto" w:sz="10" w:space="0"/>
              <w:bottom w:val="single" w:color="auto" w:sz="10" w:space="0"/>
              <w:right w:val="single" w:color="auto" w:sz="10" w:space="0"/>
              <w:insideV w:val="single" w:sz="10" w:space="0"/>
            </w:tcBorders>
            <w:vAlign w:val="center"/>
          </w:tcPr>
          <w:p w14:paraId="7A599942">
            <w:pPr>
              <w:snapToGrid w:val="0"/>
              <w:jc w:val="center"/>
            </w:pPr>
            <w:r>
              <w:rPr>
                <w:rFonts w:ascii="宋体" w:hAnsi="宋体" w:eastAsia="宋体"/>
                <w:sz w:val="16"/>
              </w:rPr>
              <w:t>满意度指标</w:t>
            </w:r>
          </w:p>
        </w:tc>
        <w:tc>
          <w:tcPr>
            <w:tcW w:w="597" w:type="pct"/>
            <w:tcBorders>
              <w:top w:val="single" w:color="auto" w:sz="10" w:space="0"/>
              <w:left w:val="single" w:color="auto" w:sz="10" w:space="0"/>
              <w:bottom w:val="single" w:color="auto" w:sz="10" w:space="0"/>
              <w:right w:val="single" w:color="auto" w:sz="10" w:space="0"/>
              <w:insideV w:val="single" w:sz="10" w:space="0"/>
            </w:tcBorders>
            <w:vAlign w:val="center"/>
          </w:tcPr>
          <w:p w14:paraId="0B2F7213">
            <w:pPr>
              <w:snapToGrid w:val="0"/>
              <w:jc w:val="center"/>
            </w:pPr>
            <w:r>
              <w:rPr>
                <w:rFonts w:ascii="宋体" w:hAnsi="宋体" w:eastAsia="宋体"/>
                <w:sz w:val="16"/>
              </w:rPr>
              <w:t>受益务工补贴农户满意度</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79E1162F">
            <w:pPr>
              <w:snapToGrid w:val="0"/>
              <w:jc w:val="center"/>
            </w:pPr>
            <w:r>
              <w:rPr>
                <w:rFonts w:ascii="宋体" w:hAnsi="宋体" w:eastAsia="宋体"/>
                <w:sz w:val="16"/>
              </w:rPr>
              <w:t>&gt;=95%</w:t>
            </w:r>
          </w:p>
        </w:tc>
        <w:tc>
          <w:tcPr>
            <w:tcW w:w="270" w:type="pct"/>
            <w:tcBorders>
              <w:top w:val="single" w:color="auto" w:sz="10" w:space="0"/>
              <w:left w:val="single" w:color="auto" w:sz="10" w:space="0"/>
              <w:bottom w:val="single" w:color="auto" w:sz="10" w:space="0"/>
              <w:right w:val="single" w:color="auto" w:sz="10" w:space="0"/>
              <w:insideV w:val="single" w:sz="10" w:space="0"/>
            </w:tcBorders>
            <w:vAlign w:val="center"/>
          </w:tcPr>
          <w:p w14:paraId="58632922">
            <w:pPr>
              <w:snapToGrid w:val="0"/>
              <w:jc w:val="center"/>
            </w:pPr>
            <w:r>
              <w:rPr>
                <w:rFonts w:ascii="宋体" w:hAnsi="宋体" w:eastAsia="宋体"/>
                <w:sz w:val="16"/>
              </w:rPr>
              <w:t>计划标准</w:t>
            </w:r>
          </w:p>
        </w:tc>
        <w:tc>
          <w:tcPr>
            <w:tcW w:w="333" w:type="pct"/>
            <w:tcBorders>
              <w:top w:val="single" w:color="auto" w:sz="10" w:space="0"/>
              <w:left w:val="single" w:color="auto" w:sz="10" w:space="0"/>
              <w:bottom w:val="single" w:color="auto" w:sz="10" w:space="0"/>
              <w:right w:val="single" w:color="auto" w:sz="10" w:space="0"/>
              <w:insideV w:val="single" w:sz="10" w:space="0"/>
            </w:tcBorders>
            <w:vAlign w:val="center"/>
          </w:tcPr>
          <w:p w14:paraId="0AE5CB6C">
            <w:pPr>
              <w:snapToGrid w:val="0"/>
              <w:jc w:val="center"/>
            </w:pPr>
            <w:r>
              <w:rPr>
                <w:rFonts w:ascii="宋体" w:hAnsi="宋体" w:eastAsia="宋体"/>
                <w:sz w:val="16"/>
              </w:rPr>
              <w:t>95%</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553BF745">
            <w:pPr>
              <w:snapToGrid w:val="0"/>
              <w:jc w:val="center"/>
            </w:pPr>
            <w:r>
              <w:rPr>
                <w:rFonts w:ascii="宋体" w:hAnsi="宋体" w:eastAsia="宋体"/>
                <w:sz w:val="16"/>
              </w:rPr>
              <w:t>10</w:t>
            </w:r>
          </w:p>
        </w:tc>
        <w:tc>
          <w:tcPr>
            <w:tcW w:w="410" w:type="pct"/>
            <w:tcBorders>
              <w:top w:val="single" w:color="auto" w:sz="10" w:space="0"/>
              <w:left w:val="single" w:color="auto" w:sz="10" w:space="0"/>
              <w:bottom w:val="single" w:color="auto" w:sz="10" w:space="0"/>
              <w:right w:val="single" w:color="auto" w:sz="10" w:space="0"/>
              <w:insideV w:val="single" w:sz="10" w:space="0"/>
            </w:tcBorders>
            <w:vAlign w:val="center"/>
          </w:tcPr>
          <w:p w14:paraId="548037F7">
            <w:pPr>
              <w:snapToGrid w:val="0"/>
              <w:jc w:val="center"/>
            </w:pPr>
            <w:r>
              <w:rPr>
                <w:rFonts w:ascii="宋体" w:hAnsi="宋体" w:eastAsia="宋体"/>
                <w:sz w:val="16"/>
              </w:rPr>
              <w:t>满意度赋分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1578810">
            <w:pPr>
              <w:snapToGrid w:val="0"/>
              <w:jc w:val="center"/>
            </w:pPr>
            <w:r>
              <w:rPr>
                <w:rFonts w:ascii="宋体" w:hAnsi="宋体" w:eastAsia="宋体"/>
                <w:sz w:val="16"/>
              </w:rPr>
              <w:t>工作资料</w:t>
            </w:r>
          </w:p>
        </w:tc>
        <w:tc>
          <w:tcPr>
            <w:tcW w:w="548" w:type="pct"/>
            <w:tcBorders>
              <w:top w:val="single" w:color="auto" w:sz="10" w:space="0"/>
              <w:left w:val="single" w:color="auto" w:sz="10" w:space="0"/>
              <w:bottom w:val="single" w:color="auto" w:sz="10" w:space="0"/>
              <w:right w:val="single" w:color="auto" w:sz="10" w:space="0"/>
              <w:insideV w:val="single" w:sz="10" w:space="0"/>
            </w:tcBorders>
            <w:vAlign w:val="center"/>
          </w:tcPr>
          <w:p w14:paraId="7D969C00">
            <w:pPr>
              <w:snapToGrid w:val="0"/>
              <w:jc w:val="center"/>
            </w:pPr>
            <w:r>
              <w:rPr>
                <w:rFonts w:ascii="宋体" w:hAnsi="宋体" w:eastAsia="宋体"/>
                <w:sz w:val="16"/>
              </w:rPr>
              <w:t>=95%</w:t>
            </w: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2E9A5695">
            <w:pPr>
              <w:snapToGrid w:val="0"/>
              <w:jc w:val="center"/>
            </w:pPr>
            <w:r>
              <w:rPr>
                <w:rFonts w:ascii="宋体" w:hAnsi="宋体" w:eastAsia="宋体"/>
                <w:sz w:val="16"/>
              </w:rPr>
              <w:t>10</w:t>
            </w:r>
          </w:p>
        </w:tc>
        <w:tc>
          <w:tcPr>
            <w:tcW w:w="620" w:type="pct"/>
            <w:tcBorders>
              <w:top w:val="single" w:color="auto" w:sz="10" w:space="0"/>
              <w:left w:val="single" w:color="auto" w:sz="10" w:space="0"/>
              <w:bottom w:val="single" w:color="auto" w:sz="10" w:space="0"/>
              <w:right w:val="single" w:color="auto" w:sz="10" w:space="0"/>
              <w:insideV w:val="single" w:sz="10" w:space="0"/>
            </w:tcBorders>
            <w:vAlign w:val="center"/>
          </w:tcPr>
          <w:p w14:paraId="5EFEFD2E">
            <w:pPr>
              <w:snapToGrid w:val="0"/>
              <w:jc w:val="center"/>
            </w:pPr>
          </w:p>
        </w:tc>
      </w:tr>
      <w:tr w14:paraId="302E3C77">
        <w:tblPrEx>
          <w:tblCellMar>
            <w:top w:w="40" w:type="dxa"/>
            <w:left w:w="64" w:type="dxa"/>
            <w:bottom w:w="40" w:type="dxa"/>
            <w:right w:w="64" w:type="dxa"/>
          </w:tblCellMar>
        </w:tblPrEx>
        <w:trPr>
          <w:trHeight w:val="0" w:hRule="atLeast"/>
          <w:jc w:val="center"/>
        </w:trPr>
        <w:tc>
          <w:tcPr>
            <w:tcW w:w="2499"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7A72E">
            <w:pPr>
              <w:snapToGrid w:val="0"/>
              <w:jc w:val="center"/>
            </w:pPr>
            <w:r>
              <w:rPr>
                <w:rFonts w:ascii="宋体" w:hAnsi="宋体" w:eastAsia="宋体"/>
                <w:sz w:val="16"/>
              </w:rPr>
              <w:t>总分</w:t>
            </w:r>
          </w:p>
        </w:tc>
        <w:tc>
          <w:tcPr>
            <w:tcW w:w="224" w:type="pct"/>
            <w:tcBorders>
              <w:top w:val="single" w:color="auto" w:sz="10" w:space="0"/>
              <w:left w:val="single" w:color="auto" w:sz="10" w:space="0"/>
              <w:bottom w:val="single" w:color="auto" w:sz="10" w:space="0"/>
              <w:right w:val="single" w:color="auto" w:sz="10" w:space="0"/>
              <w:insideV w:val="single" w:sz="10" w:space="0"/>
            </w:tcBorders>
            <w:vAlign w:val="center"/>
          </w:tcPr>
          <w:p w14:paraId="2F40454A">
            <w:pPr>
              <w:snapToGrid w:val="0"/>
              <w:jc w:val="center"/>
            </w:pPr>
            <w:r>
              <w:rPr>
                <w:rFonts w:ascii="宋体" w:hAnsi="宋体" w:eastAsia="宋体"/>
                <w:sz w:val="16"/>
              </w:rPr>
              <w:t>100</w:t>
            </w:r>
          </w:p>
        </w:tc>
        <w:tc>
          <w:tcPr>
            <w:tcW w:w="1246" w:type="pct"/>
            <w:gridSpan w:val="3"/>
            <w:tcBorders>
              <w:top w:val="single" w:color="auto" w:sz="10" w:space="0"/>
              <w:left w:val="single" w:color="auto" w:sz="10" w:space="0"/>
              <w:bottom w:val="single" w:color="auto" w:sz="10" w:space="0"/>
              <w:right w:val="single" w:color="auto" w:sz="10" w:space="0"/>
              <w:insideV w:val="single" w:sz="10" w:space="0"/>
            </w:tcBorders>
          </w:tcPr>
          <w:p w14:paraId="6FAF6AFE">
            <w:pPr>
              <w:snapToGrid w:val="0"/>
            </w:pPr>
          </w:p>
        </w:tc>
        <w:tc>
          <w:tcPr>
            <w:tcW w:w="409" w:type="pct"/>
            <w:tcBorders>
              <w:top w:val="single" w:color="auto" w:sz="10" w:space="0"/>
              <w:left w:val="single" w:color="auto" w:sz="10" w:space="0"/>
              <w:bottom w:val="single" w:color="auto" w:sz="10" w:space="0"/>
              <w:right w:val="single" w:color="auto" w:sz="10" w:space="0"/>
              <w:insideV w:val="single" w:sz="10" w:space="0"/>
            </w:tcBorders>
            <w:vAlign w:val="center"/>
          </w:tcPr>
          <w:p w14:paraId="06DB9823">
            <w:pPr>
              <w:snapToGrid w:val="0"/>
              <w:jc w:val="center"/>
            </w:pPr>
            <w:r>
              <w:rPr>
                <w:rFonts w:ascii="宋体" w:hAnsi="宋体" w:eastAsia="宋体"/>
                <w:sz w:val="16"/>
              </w:rPr>
              <w:t>100分</w:t>
            </w:r>
          </w:p>
        </w:tc>
        <w:tc>
          <w:tcPr>
            <w:tcW w:w="620" w:type="pct"/>
            <w:tcBorders>
              <w:top w:val="single" w:color="auto" w:sz="10" w:space="0"/>
              <w:left w:val="single" w:color="auto" w:sz="10" w:space="0"/>
              <w:bottom w:val="single" w:color="auto" w:sz="10" w:space="0"/>
              <w:right w:val="single" w:color="auto" w:sz="10" w:space="0"/>
              <w:insideV w:val="single" w:sz="10" w:space="0"/>
            </w:tcBorders>
          </w:tcPr>
          <w:p w14:paraId="63287E68">
            <w:pPr>
              <w:snapToGrid w:val="0"/>
            </w:pPr>
          </w:p>
        </w:tc>
      </w:tr>
    </w:tbl>
    <w:p w14:paraId="693AB2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3FB33E6">
        <w:tblPrEx>
          <w:tblCellMar>
            <w:top w:w="0" w:type="dxa"/>
            <w:left w:w="108" w:type="dxa"/>
            <w:bottom w:w="0" w:type="dxa"/>
            <w:right w:w="108" w:type="dxa"/>
          </w:tblCellMar>
        </w:tblPrEx>
        <w:tc>
          <w:tcPr>
            <w:tcW w:w="8848" w:type="dxa"/>
            <w:gridSpan w:val="14"/>
            <w:vAlign w:val="center"/>
          </w:tcPr>
          <w:p w14:paraId="7481247D">
            <w:pPr>
              <w:jc w:val="center"/>
            </w:pPr>
            <w:r>
              <w:rPr>
                <w:rFonts w:ascii="宋体" w:hAnsi="宋体" w:eastAsia="宋体"/>
                <w:sz w:val="24"/>
              </w:rPr>
              <w:t>项目支出绩效自评表</w:t>
            </w:r>
          </w:p>
        </w:tc>
      </w:tr>
      <w:tr w14:paraId="4E1ED36D">
        <w:tblPrEx>
          <w:tblCellMar>
            <w:top w:w="0" w:type="dxa"/>
            <w:left w:w="108" w:type="dxa"/>
            <w:bottom w:w="0" w:type="dxa"/>
            <w:right w:w="108" w:type="dxa"/>
          </w:tblCellMar>
        </w:tblPrEx>
        <w:tc>
          <w:tcPr>
            <w:tcW w:w="8848" w:type="dxa"/>
            <w:gridSpan w:val="14"/>
            <w:vAlign w:val="center"/>
          </w:tcPr>
          <w:p w14:paraId="420CA5EF">
            <w:pPr>
              <w:jc w:val="center"/>
            </w:pPr>
            <w:r>
              <w:rPr>
                <w:rFonts w:ascii="宋体" w:hAnsi="宋体" w:eastAsia="宋体"/>
                <w:sz w:val="24"/>
              </w:rPr>
              <w:t>(2024年度)</w:t>
            </w:r>
          </w:p>
        </w:tc>
      </w:tr>
      <w:tr w14:paraId="73F132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9F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39D610">
            <w:pPr>
              <w:jc w:val="center"/>
            </w:pPr>
            <w:r>
              <w:rPr>
                <w:rFonts w:ascii="宋体" w:hAnsi="宋体" w:eastAsia="宋体"/>
                <w:sz w:val="16"/>
              </w:rPr>
              <w:t>英吉沙县2024年本级政策性原粮储备及应急成品粮油储备项目</w:t>
            </w:r>
          </w:p>
        </w:tc>
      </w:tr>
      <w:tr w14:paraId="40CF09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DC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7FC5BC">
            <w:pPr>
              <w:jc w:val="center"/>
            </w:pPr>
            <w:r>
              <w:rPr>
                <w:rFonts w:ascii="宋体" w:hAnsi="宋体" w:eastAsia="宋体"/>
                <w:sz w:val="16"/>
              </w:rPr>
              <w:t>英吉沙县发展和改革委员会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5B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6C27B7">
            <w:pPr>
              <w:jc w:val="center"/>
            </w:pPr>
            <w:r>
              <w:rPr>
                <w:rFonts w:ascii="宋体" w:hAnsi="宋体" w:eastAsia="宋体"/>
                <w:sz w:val="16"/>
              </w:rPr>
              <w:t>英吉沙县发展和改革委员会</w:t>
            </w:r>
          </w:p>
        </w:tc>
      </w:tr>
      <w:tr w14:paraId="61DDD4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9A4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FC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1BC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740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6AB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FE5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1A4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59D0">
            <w:pPr>
              <w:jc w:val="center"/>
            </w:pPr>
            <w:r>
              <w:rPr>
                <w:rFonts w:ascii="宋体" w:hAnsi="宋体" w:eastAsia="宋体"/>
                <w:sz w:val="16"/>
              </w:rPr>
              <w:t>得分</w:t>
            </w:r>
          </w:p>
        </w:tc>
      </w:tr>
      <w:tr w14:paraId="1E77F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20A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9D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1612">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8A93B">
            <w:pPr>
              <w:jc w:val="center"/>
            </w:pPr>
            <w:r>
              <w:rPr>
                <w:rFonts w:ascii="宋体" w:hAnsi="宋体" w:eastAsia="宋体"/>
                <w:sz w:val="16"/>
              </w:rPr>
              <w:t>56.15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162D7">
            <w:pPr>
              <w:jc w:val="center"/>
            </w:pPr>
            <w:r>
              <w:rPr>
                <w:rFonts w:ascii="宋体" w:hAnsi="宋体" w:eastAsia="宋体"/>
                <w:sz w:val="16"/>
              </w:rPr>
              <w:t>56.15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C05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63F1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78AD">
            <w:pPr>
              <w:jc w:val="center"/>
            </w:pPr>
            <w:r>
              <w:rPr>
                <w:rFonts w:ascii="宋体" w:hAnsi="宋体" w:eastAsia="宋体"/>
                <w:sz w:val="16"/>
              </w:rPr>
              <w:t>10.00分</w:t>
            </w:r>
          </w:p>
        </w:tc>
      </w:tr>
      <w:tr w14:paraId="73731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1F4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874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66D35">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E0EA">
            <w:pPr>
              <w:jc w:val="center"/>
            </w:pPr>
            <w:r>
              <w:rPr>
                <w:rFonts w:ascii="宋体" w:hAnsi="宋体" w:eastAsia="宋体"/>
                <w:sz w:val="16"/>
              </w:rPr>
              <w:t>56.15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1F71F">
            <w:pPr>
              <w:jc w:val="center"/>
            </w:pPr>
            <w:r>
              <w:rPr>
                <w:rFonts w:ascii="宋体" w:hAnsi="宋体" w:eastAsia="宋体"/>
                <w:sz w:val="16"/>
              </w:rPr>
              <w:t>56.15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481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ED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2157">
            <w:pPr>
              <w:jc w:val="center"/>
            </w:pPr>
            <w:r>
              <w:rPr>
                <w:rFonts w:ascii="宋体" w:hAnsi="宋体" w:eastAsia="宋体"/>
                <w:sz w:val="16"/>
              </w:rPr>
              <w:t>—</w:t>
            </w:r>
          </w:p>
        </w:tc>
      </w:tr>
      <w:tr w14:paraId="16DD4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74B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839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9A5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1A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36A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22C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A9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CB7F">
            <w:pPr>
              <w:jc w:val="center"/>
            </w:pPr>
            <w:r>
              <w:rPr>
                <w:rFonts w:ascii="宋体" w:hAnsi="宋体" w:eastAsia="宋体"/>
                <w:sz w:val="16"/>
              </w:rPr>
              <w:t>—</w:t>
            </w:r>
          </w:p>
        </w:tc>
      </w:tr>
      <w:tr w14:paraId="4B90DD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937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BFB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3F75B">
            <w:pPr>
              <w:jc w:val="center"/>
            </w:pPr>
            <w:r>
              <w:rPr>
                <w:rFonts w:ascii="宋体" w:hAnsi="宋体" w:eastAsia="宋体"/>
                <w:sz w:val="16"/>
              </w:rPr>
              <w:t>实际完成情况</w:t>
            </w:r>
          </w:p>
        </w:tc>
      </w:tr>
      <w:tr w14:paraId="3F366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B2A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0B066">
            <w:pPr>
              <w:jc w:val="both"/>
            </w:pPr>
            <w:r>
              <w:rPr>
                <w:rFonts w:ascii="宋体" w:hAnsi="宋体" w:eastAsia="宋体"/>
                <w:sz w:val="16"/>
              </w:rPr>
              <w:t>该项目计划投资56.15万元，用于：目标1：政策性原粮储备2500吨，由英吉沙县金麦粮食收储有限公司负责承储政策性原</w:t>
            </w:r>
            <w:r>
              <w:rPr>
                <w:rFonts w:hint="eastAsia" w:ascii="宋体" w:hAnsi="宋体"/>
                <w:sz w:val="16"/>
                <w:lang w:eastAsia="zh-CN"/>
              </w:rPr>
              <w:t>粮</w:t>
            </w:r>
            <w:r>
              <w:rPr>
                <w:rFonts w:ascii="宋体" w:hAnsi="宋体" w:eastAsia="宋体"/>
                <w:sz w:val="16"/>
              </w:rPr>
              <w:t>，面粉400吨、大米200吨、食用油100吨。能有效保障全县人民应急</w:t>
            </w:r>
            <w:r>
              <w:rPr>
                <w:rFonts w:hint="eastAsia" w:ascii="宋体" w:hAnsi="宋体"/>
                <w:sz w:val="16"/>
                <w:lang w:eastAsia="zh-CN"/>
              </w:rPr>
              <w:t>粮油</w:t>
            </w:r>
            <w:r>
              <w:rPr>
                <w:rFonts w:ascii="宋体" w:hAnsi="宋体" w:eastAsia="宋体"/>
                <w:sz w:val="16"/>
              </w:rPr>
              <w:t>需求，保障地方储备粮食安全。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9D32A">
            <w:pPr>
              <w:jc w:val="both"/>
            </w:pPr>
            <w:r>
              <w:rPr>
                <w:rFonts w:hint="eastAsia" w:ascii="宋体" w:hAnsi="宋体"/>
                <w:sz w:val="16"/>
                <w:lang w:eastAsia="zh-CN"/>
              </w:rPr>
              <w:t>截至</w:t>
            </w:r>
            <w:r>
              <w:rPr>
                <w:rFonts w:ascii="宋体" w:hAnsi="宋体" w:eastAsia="宋体"/>
                <w:sz w:val="16"/>
              </w:rPr>
              <w:t>2024年12月31日，项目已完成支出56.15万元，用于政策性原粮储备2500吨，由英吉沙县金麦粮食收储有限公司负责承储政策性原</w:t>
            </w:r>
            <w:r>
              <w:rPr>
                <w:rFonts w:hint="eastAsia" w:ascii="宋体" w:hAnsi="宋体"/>
                <w:sz w:val="16"/>
                <w:lang w:eastAsia="zh-CN"/>
              </w:rPr>
              <w:t>粮</w:t>
            </w:r>
            <w:r>
              <w:rPr>
                <w:rFonts w:ascii="宋体" w:hAnsi="宋体" w:eastAsia="宋体"/>
                <w:sz w:val="16"/>
              </w:rPr>
              <w:t>，面粉400吨、大米200吨、食用油100吨。能有效保障全县人民应急</w:t>
            </w:r>
            <w:r>
              <w:rPr>
                <w:rFonts w:hint="eastAsia" w:ascii="宋体" w:hAnsi="宋体"/>
                <w:sz w:val="16"/>
                <w:lang w:eastAsia="zh-CN"/>
              </w:rPr>
              <w:t>粮油</w:t>
            </w:r>
            <w:r>
              <w:rPr>
                <w:rFonts w:ascii="宋体" w:hAnsi="宋体" w:eastAsia="宋体"/>
                <w:sz w:val="16"/>
              </w:rPr>
              <w:t>需求，保障地方储备粮食安全。</w:t>
            </w:r>
          </w:p>
        </w:tc>
      </w:tr>
      <w:tr w14:paraId="010E22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AD8C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69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42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CC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8E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93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3E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86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1C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89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C7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AA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D0464">
            <w:pPr>
              <w:jc w:val="center"/>
            </w:pPr>
            <w:r>
              <w:rPr>
                <w:rFonts w:ascii="宋体" w:hAnsi="宋体" w:eastAsia="宋体"/>
                <w:sz w:val="16"/>
              </w:rPr>
              <w:t>偏差原因分析及改进措施</w:t>
            </w:r>
          </w:p>
        </w:tc>
      </w:tr>
      <w:tr w14:paraId="1D50CD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542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2A8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9D3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6191">
            <w:pPr>
              <w:jc w:val="center"/>
            </w:pPr>
            <w:r>
              <w:rPr>
                <w:rFonts w:ascii="宋体" w:hAnsi="宋体" w:eastAsia="宋体"/>
                <w:sz w:val="16"/>
              </w:rPr>
              <w:t>储备政策性原粮数量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A7E6">
            <w:pPr>
              <w:jc w:val="center"/>
            </w:pPr>
            <w:r>
              <w:rPr>
                <w:rFonts w:ascii="宋体" w:hAnsi="宋体" w:eastAsia="宋体"/>
                <w:sz w:val="16"/>
              </w:rPr>
              <w:t>&gt;=2500吨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A88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0195">
            <w:pPr>
              <w:jc w:val="center"/>
            </w:pPr>
            <w:r>
              <w:rPr>
                <w:rFonts w:ascii="宋体" w:hAnsi="宋体" w:eastAsia="宋体"/>
                <w:sz w:val="16"/>
              </w:rPr>
              <w:t>2500吨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81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2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15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1930">
            <w:pPr>
              <w:jc w:val="center"/>
            </w:pPr>
            <w:r>
              <w:rPr>
                <w:rFonts w:ascii="宋体" w:hAnsi="宋体" w:eastAsia="宋体"/>
                <w:sz w:val="16"/>
              </w:rPr>
              <w:t>=2500吨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359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A5EE">
            <w:pPr>
              <w:jc w:val="center"/>
            </w:pPr>
          </w:p>
        </w:tc>
      </w:tr>
      <w:tr w14:paraId="3CAF3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B6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9CC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D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C227">
            <w:pPr>
              <w:jc w:val="center"/>
            </w:pPr>
            <w:r>
              <w:rPr>
                <w:rFonts w:ascii="宋体" w:hAnsi="宋体" w:eastAsia="宋体"/>
                <w:sz w:val="16"/>
              </w:rPr>
              <w:t>储备面粉数量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5B7C">
            <w:pPr>
              <w:jc w:val="center"/>
            </w:pPr>
            <w:r>
              <w:rPr>
                <w:rFonts w:ascii="宋体" w:hAnsi="宋体" w:eastAsia="宋体"/>
                <w:sz w:val="16"/>
              </w:rPr>
              <w:t>&gt;=400吨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2FF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F4F5">
            <w:pPr>
              <w:jc w:val="center"/>
            </w:pPr>
            <w:r>
              <w:rPr>
                <w:rFonts w:ascii="宋体" w:hAnsi="宋体" w:eastAsia="宋体"/>
                <w:sz w:val="16"/>
              </w:rPr>
              <w:t>400吨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BD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55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52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C972">
            <w:pPr>
              <w:jc w:val="center"/>
            </w:pPr>
            <w:r>
              <w:rPr>
                <w:rFonts w:ascii="宋体" w:hAnsi="宋体" w:eastAsia="宋体"/>
                <w:sz w:val="16"/>
              </w:rPr>
              <w:t>=400吨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A69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F09A0">
            <w:pPr>
              <w:jc w:val="center"/>
            </w:pPr>
          </w:p>
        </w:tc>
      </w:tr>
      <w:tr w14:paraId="3471C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B91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BC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85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FDAC">
            <w:pPr>
              <w:jc w:val="center"/>
            </w:pPr>
            <w:r>
              <w:rPr>
                <w:rFonts w:ascii="宋体" w:hAnsi="宋体" w:eastAsia="宋体"/>
                <w:sz w:val="16"/>
              </w:rPr>
              <w:t>储备食用油数量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F18B">
            <w:pPr>
              <w:jc w:val="center"/>
            </w:pPr>
            <w:r>
              <w:rPr>
                <w:rFonts w:ascii="宋体" w:hAnsi="宋体" w:eastAsia="宋体"/>
                <w:sz w:val="16"/>
              </w:rPr>
              <w:t>&gt;=100吨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FB3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A7B8">
            <w:pPr>
              <w:jc w:val="center"/>
            </w:pPr>
            <w:r>
              <w:rPr>
                <w:rFonts w:ascii="宋体" w:hAnsi="宋体" w:eastAsia="宋体"/>
                <w:sz w:val="16"/>
              </w:rPr>
              <w:t>100吨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13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53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21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1706">
            <w:pPr>
              <w:jc w:val="center"/>
            </w:pPr>
            <w:r>
              <w:rPr>
                <w:rFonts w:ascii="宋体" w:hAnsi="宋体" w:eastAsia="宋体"/>
                <w:sz w:val="16"/>
              </w:rPr>
              <w:t>=100吨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D6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F404B">
            <w:pPr>
              <w:jc w:val="center"/>
            </w:pPr>
          </w:p>
        </w:tc>
      </w:tr>
      <w:tr w14:paraId="307CD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6F2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8F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7A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D46E">
            <w:pPr>
              <w:jc w:val="center"/>
            </w:pPr>
            <w:r>
              <w:rPr>
                <w:rFonts w:ascii="宋体" w:hAnsi="宋体" w:eastAsia="宋体"/>
                <w:sz w:val="16"/>
              </w:rPr>
              <w:t>储备大米数量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F64E">
            <w:pPr>
              <w:jc w:val="center"/>
            </w:pPr>
            <w:r>
              <w:rPr>
                <w:rFonts w:ascii="宋体" w:hAnsi="宋体" w:eastAsia="宋体"/>
                <w:sz w:val="16"/>
              </w:rPr>
              <w:t>&gt;=200吨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36E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D164">
            <w:pPr>
              <w:jc w:val="center"/>
            </w:pPr>
            <w:r>
              <w:rPr>
                <w:rFonts w:ascii="宋体" w:hAnsi="宋体" w:eastAsia="宋体"/>
                <w:sz w:val="16"/>
              </w:rPr>
              <w:t>200吨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AE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7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1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7AAA">
            <w:pPr>
              <w:jc w:val="center"/>
            </w:pPr>
            <w:r>
              <w:rPr>
                <w:rFonts w:ascii="宋体" w:hAnsi="宋体" w:eastAsia="宋体"/>
                <w:sz w:val="16"/>
              </w:rPr>
              <w:t>=200吨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4CB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B8731">
            <w:pPr>
              <w:jc w:val="center"/>
            </w:pPr>
          </w:p>
        </w:tc>
      </w:tr>
      <w:tr w14:paraId="5E634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D6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9B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0A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1B7E">
            <w:pPr>
              <w:jc w:val="center"/>
            </w:pPr>
            <w:r>
              <w:rPr>
                <w:rFonts w:ascii="宋体" w:hAnsi="宋体" w:eastAsia="宋体"/>
                <w:sz w:val="16"/>
              </w:rPr>
              <w:t>经费足额保障率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8E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97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A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F7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7F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A9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2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18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F8F1E">
            <w:pPr>
              <w:jc w:val="center"/>
            </w:pPr>
          </w:p>
        </w:tc>
      </w:tr>
      <w:tr w14:paraId="6A680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87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40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68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3D0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604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3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26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57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B8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A5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0E0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0DA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01CA">
            <w:pPr>
              <w:jc w:val="center"/>
            </w:pPr>
          </w:p>
        </w:tc>
      </w:tr>
      <w:tr w14:paraId="63928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A93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E6F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13F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9729">
            <w:pPr>
              <w:jc w:val="center"/>
            </w:pPr>
            <w:r>
              <w:rPr>
                <w:rFonts w:ascii="宋体" w:hAnsi="宋体" w:eastAsia="宋体"/>
                <w:sz w:val="16"/>
              </w:rPr>
              <w:t>政策性原粮储备成本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3378">
            <w:pPr>
              <w:jc w:val="center"/>
            </w:pPr>
            <w:r>
              <w:rPr>
                <w:rFonts w:ascii="宋体" w:hAnsi="宋体" w:eastAsia="宋体"/>
                <w:sz w:val="16"/>
              </w:rPr>
              <w:t>&lt;=72.66万元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81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AC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C0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24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DA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A32D">
            <w:pPr>
              <w:jc w:val="center"/>
            </w:pPr>
            <w:r>
              <w:rPr>
                <w:rFonts w:ascii="宋体" w:hAnsi="宋体" w:eastAsia="宋体"/>
                <w:sz w:val="16"/>
              </w:rPr>
              <w:t>=72.66万元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31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1C1F">
            <w:pPr>
              <w:jc w:val="center"/>
            </w:pPr>
          </w:p>
        </w:tc>
      </w:tr>
      <w:tr w14:paraId="36050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D1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A0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1D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1DCA">
            <w:pPr>
              <w:jc w:val="center"/>
            </w:pPr>
            <w:r>
              <w:rPr>
                <w:rFonts w:ascii="宋体" w:hAnsi="宋体" w:eastAsia="宋体"/>
                <w:sz w:val="16"/>
              </w:rPr>
              <w:t>成品粮储备保管费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5983">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1F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9C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51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2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FB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F3FE">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1D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11AC2">
            <w:pPr>
              <w:jc w:val="center"/>
            </w:pPr>
          </w:p>
        </w:tc>
      </w:tr>
      <w:tr w14:paraId="3D6D5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66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E4B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B8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F2B1">
            <w:pPr>
              <w:jc w:val="center"/>
            </w:pPr>
            <w:r>
              <w:rPr>
                <w:rFonts w:ascii="宋体" w:hAnsi="宋体" w:eastAsia="宋体"/>
                <w:sz w:val="16"/>
              </w:rPr>
              <w:t>保障全县人民应急粮油量以及地方储备粮食安全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F29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2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159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09A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E0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8A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5FC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E10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BAA88">
            <w:pPr>
              <w:jc w:val="center"/>
            </w:pPr>
          </w:p>
        </w:tc>
      </w:tr>
      <w:tr w14:paraId="73A017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B19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8E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87C5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9AB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087052"/>
        </w:tc>
      </w:tr>
    </w:tbl>
    <w:p w14:paraId="0B2AABC1">
      <w:r>
        <w:br w:type="page"/>
      </w:r>
    </w:p>
    <w:p w14:paraId="5C53D49B">
      <w:pPr>
        <w:spacing w:line="640" w:lineRule="exact"/>
        <w:ind w:firstLine="640"/>
        <w:jc w:val="both"/>
        <w:outlineLvl w:val="2"/>
      </w:pPr>
      <w:r>
        <w:rPr>
          <w:rFonts w:ascii="黑体" w:hAnsi="黑体" w:eastAsia="黑体"/>
          <w:sz w:val="32"/>
        </w:rPr>
        <w:t>十二、其他需说明的事项</w:t>
      </w:r>
    </w:p>
    <w:p w14:paraId="74B5939E">
      <w:pPr>
        <w:spacing w:line="580" w:lineRule="exact"/>
        <w:ind w:firstLine="640"/>
        <w:jc w:val="both"/>
      </w:pPr>
      <w:r>
        <w:rPr>
          <w:rFonts w:ascii="仿宋_GB2312" w:hAnsi="仿宋_GB2312" w:eastAsia="仿宋_GB2312"/>
          <w:b w:val="0"/>
          <w:sz w:val="32"/>
        </w:rPr>
        <w:t>本年本单位SM项目1个，全年预算数800.00万元，全年执行数751.32万元。</w:t>
      </w:r>
    </w:p>
    <w:p w14:paraId="73663E04">
      <w:r>
        <w:br w:type="page"/>
      </w:r>
    </w:p>
    <w:p w14:paraId="604FB94F">
      <w:pPr>
        <w:spacing w:line="240" w:lineRule="auto"/>
        <w:jc w:val="center"/>
        <w:outlineLvl w:val="1"/>
      </w:pPr>
      <w:r>
        <w:rPr>
          <w:rFonts w:ascii="黑体" w:hAnsi="黑体" w:eastAsia="黑体"/>
          <w:sz w:val="32"/>
        </w:rPr>
        <w:t>第三部分 专业名词解释</w:t>
      </w:r>
    </w:p>
    <w:p w14:paraId="74BAC34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DE76D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97494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6D39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C19FB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06B5D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067D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DB79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2BEB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38D7A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C2A23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21425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1C26A6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4363B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9FEB81">
      <w:r>
        <w:br w:type="page"/>
      </w:r>
    </w:p>
    <w:p w14:paraId="13DE98A9">
      <w:pPr>
        <w:spacing w:line="240" w:lineRule="auto"/>
        <w:jc w:val="center"/>
        <w:outlineLvl w:val="1"/>
      </w:pPr>
      <w:r>
        <w:rPr>
          <w:rFonts w:ascii="黑体" w:hAnsi="黑体" w:eastAsia="黑体"/>
          <w:sz w:val="32"/>
        </w:rPr>
        <w:t>第四部分 部门决算报表（见附表）</w:t>
      </w:r>
    </w:p>
    <w:p w14:paraId="4AD547C8">
      <w:pPr>
        <w:spacing w:line="240" w:lineRule="auto"/>
        <w:ind w:firstLine="640"/>
        <w:jc w:val="both"/>
      </w:pPr>
      <w:r>
        <w:rPr>
          <w:rFonts w:ascii="仿宋_GB2312" w:hAnsi="仿宋_GB2312" w:eastAsia="仿宋_GB2312"/>
          <w:b w:val="0"/>
          <w:sz w:val="32"/>
        </w:rPr>
        <w:t>一、《收入支出决算总表》</w:t>
      </w:r>
    </w:p>
    <w:p w14:paraId="68B6BCE6">
      <w:pPr>
        <w:spacing w:line="240" w:lineRule="auto"/>
        <w:ind w:firstLine="640"/>
        <w:jc w:val="both"/>
      </w:pPr>
      <w:r>
        <w:rPr>
          <w:rFonts w:ascii="仿宋_GB2312" w:hAnsi="仿宋_GB2312" w:eastAsia="仿宋_GB2312"/>
          <w:b w:val="0"/>
          <w:sz w:val="32"/>
        </w:rPr>
        <w:t>二、《收入决算表》</w:t>
      </w:r>
    </w:p>
    <w:p w14:paraId="4D5A51E9">
      <w:pPr>
        <w:spacing w:line="240" w:lineRule="auto"/>
        <w:ind w:firstLine="640"/>
        <w:jc w:val="both"/>
      </w:pPr>
      <w:r>
        <w:rPr>
          <w:rFonts w:ascii="仿宋_GB2312" w:hAnsi="仿宋_GB2312" w:eastAsia="仿宋_GB2312"/>
          <w:b w:val="0"/>
          <w:sz w:val="32"/>
        </w:rPr>
        <w:t>三、《支出决算表》</w:t>
      </w:r>
    </w:p>
    <w:p w14:paraId="0FAEC7B1">
      <w:pPr>
        <w:spacing w:line="240" w:lineRule="auto"/>
        <w:ind w:firstLine="640"/>
        <w:jc w:val="both"/>
      </w:pPr>
      <w:r>
        <w:rPr>
          <w:rFonts w:ascii="仿宋_GB2312" w:hAnsi="仿宋_GB2312" w:eastAsia="仿宋_GB2312"/>
          <w:b w:val="0"/>
          <w:sz w:val="32"/>
        </w:rPr>
        <w:t>四、《财政拨款收入支出决算总表》</w:t>
      </w:r>
    </w:p>
    <w:p w14:paraId="575F696B">
      <w:pPr>
        <w:spacing w:line="240" w:lineRule="auto"/>
        <w:ind w:firstLine="640"/>
        <w:jc w:val="both"/>
      </w:pPr>
      <w:r>
        <w:rPr>
          <w:rFonts w:ascii="仿宋_GB2312" w:hAnsi="仿宋_GB2312" w:eastAsia="仿宋_GB2312"/>
          <w:b w:val="0"/>
          <w:sz w:val="32"/>
        </w:rPr>
        <w:t>五、《一般公共预算财政拨款支出决算表》</w:t>
      </w:r>
    </w:p>
    <w:p w14:paraId="7F629A3E">
      <w:pPr>
        <w:spacing w:line="240" w:lineRule="auto"/>
        <w:ind w:firstLine="640"/>
        <w:jc w:val="both"/>
      </w:pPr>
      <w:r>
        <w:rPr>
          <w:rFonts w:ascii="仿宋_GB2312" w:hAnsi="仿宋_GB2312" w:eastAsia="仿宋_GB2312"/>
          <w:b w:val="0"/>
          <w:sz w:val="32"/>
        </w:rPr>
        <w:t>六、《一般公共预算财政拨款基本支出决算表》</w:t>
      </w:r>
    </w:p>
    <w:p w14:paraId="4BB41898">
      <w:pPr>
        <w:spacing w:line="240" w:lineRule="auto"/>
        <w:ind w:firstLine="640"/>
        <w:jc w:val="both"/>
      </w:pPr>
      <w:r>
        <w:rPr>
          <w:rFonts w:ascii="仿宋_GB2312" w:hAnsi="仿宋_GB2312" w:eastAsia="仿宋_GB2312"/>
          <w:b w:val="0"/>
          <w:sz w:val="32"/>
        </w:rPr>
        <w:t>七、《政府性基金预算财政拨款收入支出决算表》</w:t>
      </w:r>
    </w:p>
    <w:p w14:paraId="0FAA7DB1">
      <w:pPr>
        <w:spacing w:line="240" w:lineRule="auto"/>
        <w:ind w:firstLine="640"/>
        <w:jc w:val="both"/>
      </w:pPr>
      <w:r>
        <w:rPr>
          <w:rFonts w:ascii="仿宋_GB2312" w:hAnsi="仿宋_GB2312" w:eastAsia="仿宋_GB2312"/>
          <w:b w:val="0"/>
          <w:sz w:val="32"/>
        </w:rPr>
        <w:t>八、《国有资本经营预算财政拨款收入支出决算表》</w:t>
      </w:r>
    </w:p>
    <w:p w14:paraId="311FAD50">
      <w:pPr>
        <w:spacing w:line="240" w:lineRule="auto"/>
        <w:ind w:firstLine="640"/>
        <w:jc w:val="both"/>
      </w:pPr>
      <w:r>
        <w:rPr>
          <w:rFonts w:ascii="仿宋_GB2312" w:hAnsi="仿宋_GB2312" w:eastAsia="仿宋_GB2312"/>
          <w:b w:val="0"/>
          <w:sz w:val="32"/>
        </w:rPr>
        <w:t>九、《财政拨款“三公”经费支出决算表》</w:t>
      </w:r>
    </w:p>
    <w:p w14:paraId="337F7C20">
      <w:pPr>
        <w:spacing w:line="240" w:lineRule="auto"/>
        <w:ind w:firstLine="640"/>
        <w:jc w:val="both"/>
      </w:pPr>
    </w:p>
    <w:p w14:paraId="1B4AB32D">
      <w:pPr>
        <w:spacing w:line="240" w:lineRule="auto"/>
        <w:ind w:firstLine="640"/>
        <w:jc w:val="both"/>
      </w:pPr>
    </w:p>
    <w:p w14:paraId="2B015E84">
      <w:pPr>
        <w:spacing w:line="240" w:lineRule="auto"/>
        <w:ind w:firstLine="640"/>
        <w:jc w:val="both"/>
      </w:pPr>
    </w:p>
    <w:p w14:paraId="03CABB60">
      <w:pPr>
        <w:spacing w:line="240" w:lineRule="auto"/>
        <w:ind w:firstLine="640"/>
        <w:jc w:val="both"/>
      </w:pPr>
    </w:p>
    <w:p w14:paraId="4807806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A0DF87-916B-4F72-945B-2FD98CD644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0683D52-0EA0-4EB6-83CB-498EBBA06348}"/>
  </w:font>
  <w:font w:name="仿宋_GB2312">
    <w:panose1 w:val="02010609030101010101"/>
    <w:charset w:val="86"/>
    <w:family w:val="modern"/>
    <w:pitch w:val="default"/>
    <w:sig w:usb0="00000001" w:usb1="080E0000" w:usb2="00000000" w:usb3="00000000" w:csb0="00040000" w:csb1="00000000"/>
    <w:embedRegular r:id="rId3" w:fontKey="{3D4EA39D-8C53-4137-A35B-1087CF6CDB75}"/>
  </w:font>
  <w:font w:name="楷体_GB2312">
    <w:panose1 w:val="02010609030101010101"/>
    <w:charset w:val="86"/>
    <w:family w:val="auto"/>
    <w:pitch w:val="default"/>
    <w:sig w:usb0="00000001" w:usb1="080E0000" w:usb2="00000000" w:usb3="00000000" w:csb0="00040000" w:csb1="00000000"/>
    <w:embedRegular r:id="rId4" w:fontKey="{5E5F0313-090B-425E-BF83-6F2EDA7D78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3B78EA"/>
    <w:rsid w:val="139C4BF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5038D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B6007D"/>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5E7B91"/>
    <w:rsid w:val="6E801ABC"/>
    <w:rsid w:val="71473612"/>
    <w:rsid w:val="718F7F65"/>
    <w:rsid w:val="73423603"/>
    <w:rsid w:val="737A5923"/>
    <w:rsid w:val="73DE4104"/>
    <w:rsid w:val="73FB6630"/>
    <w:rsid w:val="74CE04EC"/>
    <w:rsid w:val="74E76DCD"/>
    <w:rsid w:val="76660D7C"/>
    <w:rsid w:val="77ED6F44"/>
    <w:rsid w:val="795A0A34"/>
    <w:rsid w:val="7A0D3BC7"/>
    <w:rsid w:val="7A3A3CDB"/>
    <w:rsid w:val="7CC33F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7548</Words>
  <Characters>8617</Characters>
  <Lines>0</Lines>
  <Paragraphs>0</Paragraphs>
  <TotalTime>11</TotalTime>
  <ScaleCrop>false</ScaleCrop>
  <LinksUpToDate>false</LinksUpToDate>
  <CharactersWithSpaces>8625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2025-11-06T02:26:07Z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