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ADEB06">
      <w:r>
        <w:br w:type="page"/>
      </w:r>
    </w:p>
    <w:p w14:paraId="2C5EBADF">
      <w:pPr>
        <w:spacing w:line="640" w:lineRule="exact"/>
        <w:jc w:val="center"/>
        <w:outlineLvl w:val="1"/>
      </w:pPr>
      <w:r>
        <w:rPr>
          <w:rFonts w:ascii="黑体" w:hAnsi="黑体" w:eastAsia="黑体"/>
          <w:sz w:val="32"/>
        </w:rPr>
        <w:t>第一部分 单位概况</w:t>
      </w:r>
    </w:p>
    <w:p w14:paraId="1CC6B795">
      <w:pPr>
        <w:spacing w:line="640" w:lineRule="exact"/>
        <w:ind w:firstLine="640"/>
        <w:jc w:val="both"/>
        <w:outlineLvl w:val="2"/>
      </w:pPr>
      <w:r>
        <w:rPr>
          <w:rFonts w:ascii="黑体" w:hAnsi="黑体" w:eastAsia="黑体"/>
          <w:sz w:val="32"/>
        </w:rPr>
        <w:t>一、主要职能</w:t>
      </w:r>
    </w:p>
    <w:p w14:paraId="12F89658">
      <w:pPr>
        <w:spacing w:line="580" w:lineRule="exact"/>
        <w:ind w:firstLine="640"/>
        <w:jc w:val="both"/>
      </w:pPr>
      <w:r>
        <w:rPr>
          <w:rFonts w:ascii="仿宋_GB2312" w:hAnsi="仿宋_GB2312" w:eastAsia="仿宋_GB2312"/>
          <w:sz w:val="32"/>
        </w:rPr>
        <w:t>（一）负责应急管理工作，指导各乡镇、各部门应对安全生产类、自然灾害类突发事件和综合防灾减灾救灾工作。负责安全生产综合</w:t>
      </w:r>
      <w:r>
        <w:rPr>
          <w:rFonts w:hint="eastAsia" w:ascii="仿宋_GB2312" w:hAnsi="仿宋_GB2312" w:eastAsia="仿宋_GB2312"/>
          <w:sz w:val="32"/>
          <w:lang w:eastAsia="zh-CN"/>
        </w:rPr>
        <w:t>监督管理</w:t>
      </w:r>
      <w:r>
        <w:rPr>
          <w:rFonts w:ascii="仿宋_GB2312" w:hAnsi="仿宋_GB2312" w:eastAsia="仿宋_GB2312"/>
          <w:sz w:val="32"/>
        </w:rPr>
        <w:t>和工矿商贸行业安全生产监督管理工作。</w:t>
      </w:r>
    </w:p>
    <w:p w14:paraId="15A718AE">
      <w:pPr>
        <w:spacing w:line="580" w:lineRule="exact"/>
        <w:ind w:firstLine="640"/>
        <w:jc w:val="both"/>
      </w:pPr>
      <w:r>
        <w:rPr>
          <w:rFonts w:ascii="仿宋_GB2312" w:hAnsi="仿宋_GB2312" w:eastAsia="仿宋_GB2312"/>
          <w:sz w:val="32"/>
        </w:rPr>
        <w:t>（二）组织编制全县应急体系建设、安全生产和综合防灾减灾规划，起草相关工作计划、方案，并组织实施。</w:t>
      </w:r>
    </w:p>
    <w:p w14:paraId="438944A3">
      <w:pPr>
        <w:spacing w:line="580" w:lineRule="exact"/>
        <w:ind w:firstLine="640"/>
        <w:jc w:val="both"/>
      </w:pPr>
      <w:r>
        <w:rPr>
          <w:rFonts w:ascii="仿宋_GB2312" w:hAnsi="仿宋_GB2312" w:eastAsia="仿宋_GB2312"/>
          <w:sz w:val="32"/>
        </w:rPr>
        <w:t>（三）负责安全生产类、自然灾害类应急预案体系建设，建立完善事故灾难和自然灾害应对制度，组织编制全县总体应急预案和安全生产类、自然灾害类专项预案，综合协调应急预案衔接工作，组织开展预案演练，推动应急避难设施建设。</w:t>
      </w:r>
    </w:p>
    <w:p w14:paraId="1D63004E">
      <w:pPr>
        <w:spacing w:line="580" w:lineRule="exact"/>
        <w:ind w:firstLine="640"/>
        <w:jc w:val="both"/>
      </w:pPr>
      <w:r>
        <w:rPr>
          <w:rFonts w:ascii="仿宋_GB2312" w:hAnsi="仿宋_GB2312" w:eastAsia="仿宋_GB2312"/>
          <w:sz w:val="32"/>
        </w:rPr>
        <w:t>（四）牵头建立统一的应急管理信息系统，建立</w:t>
      </w:r>
      <w:r>
        <w:rPr>
          <w:rFonts w:hint="eastAsia" w:ascii="仿宋_GB2312" w:hAnsi="仿宋_GB2312" w:eastAsia="仿宋_GB2312"/>
          <w:sz w:val="32"/>
          <w:lang w:eastAsia="zh-CN"/>
        </w:rPr>
        <w:t>监测</w:t>
      </w:r>
      <w:r>
        <w:rPr>
          <w:rFonts w:ascii="仿宋_GB2312" w:hAnsi="仿宋_GB2312" w:eastAsia="仿宋_GB2312"/>
          <w:sz w:val="32"/>
        </w:rPr>
        <w:t>预测和灾情报告制度，健全自然灾害信息资源获取和共享机制，依法统一发布灾情。</w:t>
      </w:r>
    </w:p>
    <w:p w14:paraId="12F8E1FA">
      <w:pPr>
        <w:spacing w:line="580" w:lineRule="exact"/>
        <w:ind w:firstLine="640"/>
        <w:jc w:val="both"/>
      </w:pPr>
      <w:r>
        <w:rPr>
          <w:rFonts w:ascii="仿宋_GB2312" w:hAnsi="仿宋_GB2312" w:eastAsia="仿宋_GB2312"/>
          <w:sz w:val="32"/>
        </w:rPr>
        <w:t>（五）组织指导协调安全生产类、自然灾害类突发事件应急救援，承担全县应对重大灾害指挥部工作，综合研判突发事件</w:t>
      </w:r>
      <w:r>
        <w:rPr>
          <w:rFonts w:hint="eastAsia" w:ascii="仿宋_GB2312" w:hAnsi="仿宋_GB2312" w:eastAsia="仿宋_GB2312"/>
          <w:sz w:val="32"/>
          <w:lang w:eastAsia="zh-CN"/>
        </w:rPr>
        <w:t>复杂</w:t>
      </w:r>
      <w:r>
        <w:rPr>
          <w:rFonts w:ascii="仿宋_GB2312" w:hAnsi="仿宋_GB2312" w:eastAsia="仿宋_GB2312"/>
          <w:sz w:val="32"/>
        </w:rPr>
        <w:t>态势并提出应对建议，协助县委、县人民政府指定的负责同志组织重大灾害应急处置工作。</w:t>
      </w:r>
    </w:p>
    <w:p w14:paraId="338098ED">
      <w:pPr>
        <w:spacing w:line="580" w:lineRule="exact"/>
        <w:ind w:firstLine="640"/>
        <w:jc w:val="both"/>
      </w:pPr>
      <w:r>
        <w:rPr>
          <w:rFonts w:ascii="仿宋_GB2312" w:hAnsi="仿宋_GB2312" w:eastAsia="仿宋_GB2312"/>
          <w:sz w:val="32"/>
        </w:rPr>
        <w:t>（六）统一协调指挥各类应急专业队伍，建立应急协调联动机制，推进应急救援指挥平台对接。</w:t>
      </w:r>
    </w:p>
    <w:p w14:paraId="49C39462">
      <w:pPr>
        <w:spacing w:line="580" w:lineRule="exact"/>
        <w:ind w:firstLine="640"/>
        <w:jc w:val="both"/>
      </w:pPr>
      <w:r>
        <w:rPr>
          <w:rFonts w:ascii="仿宋_GB2312" w:hAnsi="仿宋_GB2312" w:eastAsia="仿宋_GB2312"/>
          <w:sz w:val="32"/>
        </w:rPr>
        <w:t>（七）统筹本县应急救援力量建设,负责组织消防、森林火灾扑救、抗洪抢险、地震和地质灾害救援、生产安全事故救援等专业应急救援力量建设,指导综合性应急救援队伍建设和各乡镇、社区及社会应急救援力量建设。</w:t>
      </w:r>
    </w:p>
    <w:p w14:paraId="794C601E">
      <w:pPr>
        <w:spacing w:line="580" w:lineRule="exact"/>
        <w:ind w:firstLine="640"/>
        <w:jc w:val="both"/>
      </w:pPr>
      <w:r>
        <w:rPr>
          <w:rFonts w:ascii="仿宋_GB2312" w:hAnsi="仿宋_GB2312" w:eastAsia="仿宋_GB2312"/>
          <w:sz w:val="32"/>
        </w:rPr>
        <w:t>（八）负责消防管理工作，指导消防监督、火灾预防、火灾扑救等工作。</w:t>
      </w:r>
    </w:p>
    <w:p w14:paraId="4E69E9BD">
      <w:pPr>
        <w:spacing w:line="580" w:lineRule="exact"/>
        <w:ind w:firstLine="640"/>
        <w:jc w:val="both"/>
      </w:pPr>
      <w:r>
        <w:rPr>
          <w:rFonts w:ascii="仿宋_GB2312" w:hAnsi="仿宋_GB2312" w:eastAsia="仿宋_GB2312"/>
          <w:sz w:val="32"/>
        </w:rPr>
        <w:t>（九）指导协调森林和草原火灾、水害灾害、地震和地质灾害防治工作，负责自然灾害综合预测预警工作，指导开展自然灾害综合风险评估工作。</w:t>
      </w:r>
    </w:p>
    <w:p w14:paraId="6146D238">
      <w:pPr>
        <w:spacing w:line="580" w:lineRule="exact"/>
        <w:ind w:firstLine="640"/>
        <w:jc w:val="both"/>
      </w:pPr>
      <w:r>
        <w:rPr>
          <w:rFonts w:ascii="仿宋_GB2312" w:hAnsi="仿宋_GB2312" w:eastAsia="仿宋_GB2312"/>
          <w:sz w:val="32"/>
        </w:rPr>
        <w:t>（十）组织协调灾害救助工作，组织指导灾情核查、损失评估、救灾捐赠工作，管理、分配救灾款物并监督使用。</w:t>
      </w:r>
    </w:p>
    <w:p w14:paraId="0AA385F8">
      <w:pPr>
        <w:spacing w:line="580" w:lineRule="exact"/>
        <w:ind w:firstLine="640"/>
        <w:jc w:val="both"/>
      </w:pPr>
      <w:r>
        <w:rPr>
          <w:rFonts w:ascii="仿宋_GB2312" w:hAnsi="仿宋_GB2312" w:eastAsia="仿宋_GB2312"/>
          <w:sz w:val="32"/>
        </w:rPr>
        <w:t>（十一）依法行使安全生产综合监督管理职权，指导协调、监督检查各乡镇人民政府和有关部门安全生产工作，组织开展安全生产巡查、考核工作。</w:t>
      </w:r>
    </w:p>
    <w:p w14:paraId="6627E8C9">
      <w:pPr>
        <w:spacing w:line="580" w:lineRule="exact"/>
        <w:ind w:firstLine="640"/>
        <w:jc w:val="both"/>
      </w:pPr>
      <w:r>
        <w:rPr>
          <w:rFonts w:ascii="仿宋_GB2312" w:hAnsi="仿宋_GB2312" w:eastAsia="仿宋_GB2312"/>
          <w:sz w:val="32"/>
        </w:rPr>
        <w:t>（十二）按照分级、属地原则，依法监督检查工矿商贸（煤矿除外）生产经营单位贯彻执行安全生产法律法规情况及其安全生产条件和有关设备（除特种设备外）、材料、劳动防护用品的安全生产管理工作。负责监督管理工矿商贸行业安全生产工作。依法组织并指导监督实施安全生产准入制度。负责危险化学品安全监督管理综合工作和烟花爆竹安全生产监督管理工作。</w:t>
      </w:r>
    </w:p>
    <w:p w14:paraId="4D291F40">
      <w:pPr>
        <w:spacing w:line="580" w:lineRule="exact"/>
        <w:ind w:firstLine="640"/>
        <w:jc w:val="both"/>
      </w:pPr>
      <w:r>
        <w:rPr>
          <w:rFonts w:ascii="仿宋_GB2312" w:hAnsi="仿宋_GB2312" w:eastAsia="仿宋_GB2312"/>
          <w:sz w:val="32"/>
        </w:rPr>
        <w:t>（十三）依法组织指导安全生产事故调查处理，监督事故查处和责任追究落实情况。组织开展自然灾害类突发事件的调查评估工作。</w:t>
      </w:r>
    </w:p>
    <w:p w14:paraId="2013AD22">
      <w:pPr>
        <w:spacing w:line="580" w:lineRule="exact"/>
        <w:ind w:firstLine="640"/>
        <w:jc w:val="both"/>
      </w:pPr>
      <w:r>
        <w:rPr>
          <w:rFonts w:ascii="仿宋_GB2312" w:hAnsi="仿宋_GB2312" w:eastAsia="仿宋_GB2312"/>
          <w:sz w:val="32"/>
        </w:rPr>
        <w:t>（十四）制定应急物资储备和应急救援装备规划并组织实施，建立健全应急物资信息平台和调拨制度，在救灾时统一调度。</w:t>
      </w:r>
    </w:p>
    <w:p w14:paraId="144F3C00">
      <w:pPr>
        <w:spacing w:line="580" w:lineRule="exact"/>
        <w:ind w:firstLine="640"/>
        <w:jc w:val="both"/>
      </w:pPr>
      <w:r>
        <w:rPr>
          <w:rFonts w:ascii="仿宋_GB2312" w:hAnsi="仿宋_GB2312" w:eastAsia="仿宋_GB2312"/>
          <w:sz w:val="32"/>
        </w:rPr>
        <w:t>（十五)制定全县应急物资储备和应急救援装备规划并组织实施,会同县发展和改革委员会等部门建立健全应急物资信息平台和调拨制度,在救灾时统一调度。</w:t>
      </w:r>
    </w:p>
    <w:p w14:paraId="12A3B0B6">
      <w:pPr>
        <w:spacing w:line="580" w:lineRule="exact"/>
        <w:ind w:firstLine="640"/>
        <w:jc w:val="both"/>
      </w:pPr>
      <w:r>
        <w:rPr>
          <w:rFonts w:ascii="仿宋_GB2312" w:hAnsi="仿宋_GB2312" w:eastAsia="仿宋_GB2312"/>
          <w:sz w:val="32"/>
        </w:rPr>
        <w:t>（十六）完成县委、县人民政府交办的其他任务。</w:t>
      </w:r>
    </w:p>
    <w:p w14:paraId="26150B8C">
      <w:pPr>
        <w:spacing w:line="640" w:lineRule="exact"/>
        <w:ind w:firstLine="640"/>
        <w:jc w:val="both"/>
        <w:outlineLvl w:val="2"/>
      </w:pPr>
      <w:r>
        <w:rPr>
          <w:rFonts w:ascii="黑体" w:hAnsi="黑体" w:eastAsia="黑体"/>
          <w:sz w:val="32"/>
        </w:rPr>
        <w:t>二、机构设置及人员情况</w:t>
      </w:r>
    </w:p>
    <w:p w14:paraId="3E187750">
      <w:pPr>
        <w:spacing w:line="580" w:lineRule="exact"/>
        <w:ind w:firstLine="640"/>
        <w:jc w:val="both"/>
      </w:pPr>
      <w:r>
        <w:rPr>
          <w:rFonts w:ascii="仿宋_GB2312" w:hAnsi="仿宋_GB2312" w:eastAsia="仿宋_GB2312"/>
          <w:sz w:val="32"/>
        </w:rPr>
        <w:t>英吉沙县应急管理局2024年度，实有人数20人，其中：在职人员15人，增加3人；离休人员0人，增加0人；退休人员5人,增加0人。</w:t>
      </w:r>
    </w:p>
    <w:p w14:paraId="12430593">
      <w:pPr>
        <w:spacing w:line="580" w:lineRule="exact"/>
        <w:ind w:firstLine="640"/>
        <w:jc w:val="both"/>
      </w:pPr>
      <w:r>
        <w:rPr>
          <w:rFonts w:ascii="仿宋_GB2312" w:hAnsi="仿宋_GB2312" w:eastAsia="仿宋_GB2312"/>
          <w:sz w:val="32"/>
        </w:rPr>
        <w:t>英吉沙县应急管理局无下属预算单位，下设3个科室，分别是：综合办公室、安全监管办公室、应急协调办公室。</w:t>
      </w:r>
    </w:p>
    <w:p w14:paraId="3B398E8A">
      <w:r>
        <w:br w:type="page"/>
      </w:r>
    </w:p>
    <w:p w14:paraId="10249E1A">
      <w:pPr>
        <w:spacing w:line="240" w:lineRule="auto"/>
        <w:jc w:val="center"/>
        <w:outlineLvl w:val="1"/>
      </w:pPr>
      <w:r>
        <w:rPr>
          <w:rFonts w:ascii="黑体" w:hAnsi="黑体" w:eastAsia="黑体"/>
          <w:sz w:val="32"/>
        </w:rPr>
        <w:t>第二部分 部门决算情况说明</w:t>
      </w:r>
    </w:p>
    <w:p w14:paraId="043160BB">
      <w:pPr>
        <w:spacing w:line="640" w:lineRule="exact"/>
        <w:ind w:firstLine="640"/>
        <w:jc w:val="both"/>
        <w:outlineLvl w:val="2"/>
      </w:pPr>
      <w:r>
        <w:rPr>
          <w:rFonts w:ascii="黑体" w:hAnsi="黑体" w:eastAsia="黑体"/>
          <w:sz w:val="32"/>
        </w:rPr>
        <w:t>一、收入支出决算总体情况说明</w:t>
      </w:r>
    </w:p>
    <w:p w14:paraId="0CD46F79">
      <w:pPr>
        <w:spacing w:line="580" w:lineRule="exact"/>
        <w:ind w:firstLine="640"/>
        <w:jc w:val="both"/>
      </w:pPr>
      <w:r>
        <w:rPr>
          <w:rFonts w:ascii="仿宋_GB2312" w:hAnsi="仿宋_GB2312" w:eastAsia="仿宋_GB2312"/>
          <w:b/>
          <w:sz w:val="32"/>
        </w:rPr>
        <w:t>2024年度收入总计660.23万元，</w:t>
      </w:r>
      <w:r>
        <w:rPr>
          <w:rFonts w:ascii="仿宋_GB2312" w:hAnsi="仿宋_GB2312" w:eastAsia="仿宋_GB2312"/>
          <w:b w:val="0"/>
          <w:sz w:val="32"/>
        </w:rPr>
        <w:t>其中：本年收入合计660.23万元，使用非财政拨款结余（含专用结余）0.00万元，年初结转和结余0.00万元。</w:t>
      </w:r>
    </w:p>
    <w:p w14:paraId="2E137CA3">
      <w:pPr>
        <w:spacing w:line="580" w:lineRule="exact"/>
        <w:ind w:firstLine="640"/>
        <w:jc w:val="both"/>
      </w:pPr>
      <w:r>
        <w:rPr>
          <w:rFonts w:ascii="仿宋_GB2312" w:hAnsi="仿宋_GB2312" w:eastAsia="仿宋_GB2312"/>
          <w:b/>
          <w:sz w:val="32"/>
        </w:rPr>
        <w:t>2024年度支出总计660.23万元，</w:t>
      </w:r>
      <w:r>
        <w:rPr>
          <w:rFonts w:ascii="仿宋_GB2312" w:hAnsi="仿宋_GB2312" w:eastAsia="仿宋_GB2312"/>
          <w:b w:val="0"/>
          <w:sz w:val="32"/>
        </w:rPr>
        <w:t>其中：本年支出合计660.23万元，结余分配0.00万元，年末结转和结余0.00万元。</w:t>
      </w:r>
    </w:p>
    <w:p w14:paraId="3C7EBFB1">
      <w:pPr>
        <w:spacing w:line="580" w:lineRule="exact"/>
        <w:ind w:firstLine="640"/>
        <w:jc w:val="both"/>
      </w:pPr>
      <w:r>
        <w:rPr>
          <w:rFonts w:ascii="仿宋_GB2312" w:hAnsi="仿宋_GB2312" w:eastAsia="仿宋_GB2312"/>
          <w:b w:val="0"/>
          <w:sz w:val="32"/>
        </w:rPr>
        <w:t>收入支出总体与上年相比，增加160.87万元，增长32.22%，主要原因是：本年中央自然灾害救灾救助项目资金较上年增加；增加安全监管项目资金。</w:t>
      </w:r>
    </w:p>
    <w:p w14:paraId="616953BA">
      <w:pPr>
        <w:spacing w:line="640" w:lineRule="exact"/>
        <w:ind w:firstLine="640"/>
        <w:jc w:val="both"/>
        <w:outlineLvl w:val="2"/>
      </w:pPr>
      <w:r>
        <w:rPr>
          <w:rFonts w:ascii="黑体" w:hAnsi="黑体" w:eastAsia="黑体"/>
          <w:sz w:val="32"/>
        </w:rPr>
        <w:t>二、收入决算情况说明</w:t>
      </w:r>
    </w:p>
    <w:p w14:paraId="687226F7">
      <w:pPr>
        <w:spacing w:line="580" w:lineRule="exact"/>
        <w:ind w:firstLine="640"/>
        <w:jc w:val="both"/>
      </w:pPr>
      <w:r>
        <w:rPr>
          <w:rFonts w:ascii="仿宋_GB2312" w:hAnsi="仿宋_GB2312" w:eastAsia="仿宋_GB2312"/>
          <w:b/>
          <w:sz w:val="32"/>
        </w:rPr>
        <w:t>本年收入660.23万元，</w:t>
      </w:r>
      <w:r>
        <w:rPr>
          <w:rFonts w:ascii="仿宋_GB2312" w:hAnsi="仿宋_GB2312" w:eastAsia="仿宋_GB2312"/>
          <w:b w:val="0"/>
          <w:sz w:val="32"/>
        </w:rPr>
        <w:t>其中：财政拨款收入628.99万元，占95.27%；上级补助收入0.00万元，占0.00%；事业收入0.00万元，占0.00%；经营收入0.00万元，占0.00%；附属单位上缴收入0.00万元，占0.00%；其他收入31.24万元，占4.73%。</w:t>
      </w:r>
    </w:p>
    <w:p w14:paraId="6607ED80">
      <w:pPr>
        <w:spacing w:line="640" w:lineRule="exact"/>
        <w:ind w:firstLine="640"/>
        <w:jc w:val="both"/>
        <w:outlineLvl w:val="2"/>
      </w:pPr>
      <w:r>
        <w:rPr>
          <w:rFonts w:ascii="黑体" w:hAnsi="黑体" w:eastAsia="黑体"/>
          <w:sz w:val="32"/>
        </w:rPr>
        <w:t>三、支出决算情况说明</w:t>
      </w:r>
    </w:p>
    <w:p w14:paraId="33BC2FA3">
      <w:pPr>
        <w:spacing w:line="580" w:lineRule="exact"/>
        <w:ind w:firstLine="640"/>
        <w:jc w:val="both"/>
      </w:pPr>
      <w:r>
        <w:rPr>
          <w:rFonts w:ascii="仿宋_GB2312" w:hAnsi="仿宋_GB2312" w:eastAsia="仿宋_GB2312"/>
          <w:b/>
          <w:sz w:val="32"/>
        </w:rPr>
        <w:t>本年支出660.23万元，</w:t>
      </w:r>
      <w:r>
        <w:rPr>
          <w:rFonts w:ascii="仿宋_GB2312" w:hAnsi="仿宋_GB2312" w:eastAsia="仿宋_GB2312"/>
          <w:b w:val="0"/>
          <w:sz w:val="32"/>
        </w:rPr>
        <w:t>其中：基本支出268.70万元，占40.70%；项目支出391.53万元，占59.30%；上缴上级支出0.00万元，占0.00%；经营支出0.00万元，占0.00%；对附属单位补助支出0.00万元，占0.00%。</w:t>
      </w:r>
    </w:p>
    <w:p w14:paraId="62318986">
      <w:pPr>
        <w:spacing w:line="640" w:lineRule="exact"/>
        <w:ind w:firstLine="640"/>
        <w:jc w:val="both"/>
        <w:outlineLvl w:val="2"/>
      </w:pPr>
      <w:r>
        <w:rPr>
          <w:rFonts w:ascii="黑体" w:hAnsi="黑体" w:eastAsia="黑体"/>
          <w:sz w:val="32"/>
        </w:rPr>
        <w:t>四、财政拨款收入支出决算总体情况说明</w:t>
      </w:r>
    </w:p>
    <w:p w14:paraId="27D2870B">
      <w:pPr>
        <w:spacing w:line="580" w:lineRule="exact"/>
        <w:ind w:firstLine="640"/>
        <w:jc w:val="both"/>
      </w:pPr>
      <w:r>
        <w:rPr>
          <w:rFonts w:ascii="仿宋_GB2312" w:hAnsi="仿宋_GB2312" w:eastAsia="仿宋_GB2312"/>
          <w:b/>
          <w:sz w:val="32"/>
        </w:rPr>
        <w:t>2024年度财政拨款收入总计628.99万元，</w:t>
      </w:r>
      <w:r>
        <w:rPr>
          <w:rFonts w:ascii="仿宋_GB2312" w:hAnsi="仿宋_GB2312" w:eastAsia="仿宋_GB2312"/>
          <w:b w:val="0"/>
          <w:sz w:val="32"/>
        </w:rPr>
        <w:t>其中：年初财政拨款结转和结余0.00万元，本年财政拨款收入628.99万元。</w:t>
      </w:r>
      <w:r>
        <w:rPr>
          <w:rFonts w:ascii="仿宋_GB2312" w:hAnsi="仿宋_GB2312" w:eastAsia="仿宋_GB2312"/>
          <w:b/>
          <w:sz w:val="32"/>
        </w:rPr>
        <w:t>财政拨款支出总计628.99万元，</w:t>
      </w:r>
      <w:r>
        <w:rPr>
          <w:rFonts w:ascii="仿宋_GB2312" w:hAnsi="仿宋_GB2312" w:eastAsia="仿宋_GB2312"/>
          <w:b w:val="0"/>
          <w:sz w:val="32"/>
        </w:rPr>
        <w:t>其中：年末财政拨款结转和结余0.00万元，本年财政拨款支出628.99万元。</w:t>
      </w:r>
    </w:p>
    <w:p w14:paraId="1D5FED9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增加129.63万元，增长25.96%，主要原因是：本年中央自然灾害救灾救助项目资金较上年增加；增加安全监管项目资金。</w:t>
      </w:r>
      <w:r>
        <w:rPr>
          <w:rFonts w:ascii="仿宋_GB2312" w:hAnsi="仿宋_GB2312" w:eastAsia="仿宋_GB2312"/>
          <w:b/>
          <w:sz w:val="32"/>
        </w:rPr>
        <w:t>与年初预算相比，</w:t>
      </w:r>
      <w:r>
        <w:rPr>
          <w:rFonts w:ascii="仿宋_GB2312" w:hAnsi="仿宋_GB2312" w:eastAsia="仿宋_GB2312"/>
          <w:b w:val="0"/>
          <w:sz w:val="32"/>
        </w:rPr>
        <w:t>年初预算数680.35万元，决算数628.99万元，预决算差异率-7.55%，主要原因是：应急指挥中心运转建设项目资金未执行完，年中调减经费。</w:t>
      </w:r>
    </w:p>
    <w:p w14:paraId="4E2766AF">
      <w:pPr>
        <w:spacing w:line="640" w:lineRule="exact"/>
        <w:ind w:firstLine="640"/>
        <w:jc w:val="both"/>
        <w:outlineLvl w:val="2"/>
      </w:pPr>
      <w:r>
        <w:rPr>
          <w:rFonts w:ascii="黑体" w:hAnsi="黑体" w:eastAsia="黑体"/>
          <w:sz w:val="32"/>
        </w:rPr>
        <w:t>五、一般公共预算财政拨款支出决算情况说明</w:t>
      </w:r>
    </w:p>
    <w:p w14:paraId="4765F75E">
      <w:pPr>
        <w:spacing w:line="640" w:lineRule="exact"/>
        <w:ind w:firstLine="640"/>
        <w:jc w:val="both"/>
        <w:outlineLvl w:val="3"/>
      </w:pPr>
      <w:r>
        <w:rPr>
          <w:rFonts w:ascii="楷体_GB2312" w:hAnsi="楷体_GB2312" w:eastAsia="楷体_GB2312"/>
          <w:b/>
          <w:sz w:val="32"/>
        </w:rPr>
        <w:t>（一）一般公共预算财政拨款支出决算总体情况</w:t>
      </w:r>
    </w:p>
    <w:p w14:paraId="3C46E3EC">
      <w:pPr>
        <w:spacing w:line="580" w:lineRule="exact"/>
        <w:ind w:firstLine="640"/>
        <w:jc w:val="both"/>
      </w:pPr>
      <w:r>
        <w:rPr>
          <w:rFonts w:ascii="仿宋_GB2312" w:hAnsi="仿宋_GB2312" w:eastAsia="仿宋_GB2312"/>
          <w:b/>
          <w:sz w:val="32"/>
        </w:rPr>
        <w:t>2024年度一般公共预算财政拨款支出628.99万元，</w:t>
      </w:r>
      <w:r>
        <w:rPr>
          <w:rFonts w:ascii="仿宋_GB2312" w:hAnsi="仿宋_GB2312" w:eastAsia="仿宋_GB2312"/>
          <w:b w:val="0"/>
          <w:sz w:val="32"/>
        </w:rPr>
        <w:t>占本年支出合计的95.27%。</w:t>
      </w:r>
      <w:r>
        <w:rPr>
          <w:rFonts w:ascii="仿宋_GB2312" w:hAnsi="仿宋_GB2312" w:eastAsia="仿宋_GB2312"/>
          <w:b/>
          <w:sz w:val="32"/>
        </w:rPr>
        <w:t>与上年相比，</w:t>
      </w:r>
      <w:r>
        <w:rPr>
          <w:rFonts w:ascii="仿宋_GB2312" w:hAnsi="仿宋_GB2312" w:eastAsia="仿宋_GB2312"/>
          <w:b w:val="0"/>
          <w:sz w:val="32"/>
        </w:rPr>
        <w:t>增加129.63万元，增长25.96%，主要原因是：本年中央自然灾害救灾救助项目资金较上年增加；增加安全监管项目资金。</w:t>
      </w:r>
      <w:r>
        <w:rPr>
          <w:rFonts w:ascii="仿宋_GB2312" w:hAnsi="仿宋_GB2312" w:eastAsia="仿宋_GB2312"/>
          <w:b/>
          <w:sz w:val="32"/>
        </w:rPr>
        <w:t>与年初预算相比,</w:t>
      </w:r>
      <w:r>
        <w:rPr>
          <w:rFonts w:ascii="仿宋_GB2312" w:hAnsi="仿宋_GB2312" w:eastAsia="仿宋_GB2312"/>
          <w:b w:val="0"/>
          <w:sz w:val="32"/>
        </w:rPr>
        <w:t>年初预算数680.35万元，决算数628.99万元，预决算差异率-7.55%，主要原因是：应急指挥中心运转建设项目资金未执行完，年中调减经费。</w:t>
      </w:r>
    </w:p>
    <w:p w14:paraId="35D8FFD6">
      <w:pPr>
        <w:spacing w:line="640" w:lineRule="exact"/>
        <w:ind w:firstLine="640"/>
        <w:jc w:val="both"/>
        <w:outlineLvl w:val="3"/>
      </w:pPr>
      <w:r>
        <w:rPr>
          <w:rFonts w:ascii="楷体_GB2312" w:hAnsi="楷体_GB2312" w:eastAsia="楷体_GB2312"/>
          <w:b/>
          <w:sz w:val="32"/>
        </w:rPr>
        <w:t>（二）一般公共预算财政拨款支出决算结构情况</w:t>
      </w:r>
    </w:p>
    <w:p w14:paraId="536A108B">
      <w:pPr>
        <w:spacing w:line="580" w:lineRule="exact"/>
        <w:ind w:firstLine="640"/>
        <w:jc w:val="both"/>
      </w:pPr>
      <w:r>
        <w:rPr>
          <w:rFonts w:ascii="仿宋_GB2312" w:hAnsi="仿宋_GB2312" w:eastAsia="仿宋_GB2312"/>
          <w:b w:val="0"/>
          <w:sz w:val="32"/>
        </w:rPr>
        <w:t>1.社会保障和就业支出(类)38.72万元,占6.16%。</w:t>
      </w:r>
    </w:p>
    <w:p w14:paraId="12B56C7C">
      <w:pPr>
        <w:spacing w:line="580" w:lineRule="exact"/>
        <w:ind w:firstLine="640"/>
        <w:jc w:val="both"/>
      </w:pPr>
      <w:r>
        <w:rPr>
          <w:rFonts w:ascii="仿宋_GB2312" w:hAnsi="仿宋_GB2312" w:eastAsia="仿宋_GB2312"/>
          <w:b w:val="0"/>
          <w:sz w:val="32"/>
        </w:rPr>
        <w:t>2.卫生健康支出(类)10.90万元,占1.73%。</w:t>
      </w:r>
    </w:p>
    <w:p w14:paraId="694920E8">
      <w:pPr>
        <w:spacing w:line="580" w:lineRule="exact"/>
        <w:ind w:firstLine="640"/>
        <w:jc w:val="both"/>
      </w:pPr>
      <w:r>
        <w:rPr>
          <w:rFonts w:ascii="仿宋_GB2312" w:hAnsi="仿宋_GB2312" w:eastAsia="仿宋_GB2312"/>
          <w:b w:val="0"/>
          <w:sz w:val="32"/>
        </w:rPr>
        <w:t>3.住房保障支出(类)18.45万元,占2.93%。</w:t>
      </w:r>
    </w:p>
    <w:p w14:paraId="21663FF0">
      <w:pPr>
        <w:spacing w:line="580" w:lineRule="exact"/>
        <w:ind w:firstLine="640"/>
        <w:jc w:val="both"/>
      </w:pPr>
      <w:r>
        <w:rPr>
          <w:rFonts w:ascii="仿宋_GB2312" w:hAnsi="仿宋_GB2312" w:eastAsia="仿宋_GB2312"/>
          <w:b w:val="0"/>
          <w:sz w:val="32"/>
        </w:rPr>
        <w:t>4.灾害防治及应急管理支出(类)560.92万元,占89.18%。</w:t>
      </w:r>
    </w:p>
    <w:p w14:paraId="32CF5677">
      <w:pPr>
        <w:spacing w:line="640" w:lineRule="exact"/>
        <w:ind w:firstLine="640"/>
        <w:jc w:val="both"/>
        <w:outlineLvl w:val="3"/>
      </w:pPr>
      <w:r>
        <w:rPr>
          <w:rFonts w:ascii="楷体_GB2312" w:hAnsi="楷体_GB2312" w:eastAsia="楷体_GB2312"/>
          <w:b/>
          <w:sz w:val="32"/>
        </w:rPr>
        <w:t>（三）一般公共预算财政拨款支出决算具体情况</w:t>
      </w:r>
    </w:p>
    <w:p w14:paraId="0FD06A3A">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1.一般公共服务支出(类)政府办公厅（室）及相关机构事务(款)事业运行(项):支出决算数为0.00万元，比上年决算减少0.30万元，下降100.00%,主要原因是：本年此科目未安排人员奖金。</w:t>
      </w:r>
    </w:p>
    <w:p w14:paraId="2A22EBD9">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2.社会保障和就业支出(类)行政事业单位养老支出(款)行政单位离退休(项):支出决算数为6.74万元，比上年决算增加1.42万元，增长26.69%,主要原因是：本年增加退休人员基础绩效奖，退休费支出增加。</w:t>
      </w:r>
    </w:p>
    <w:p w14:paraId="60C2107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22.46万元，比上年决算增加4.30万元，增长23.68%,主要原因是：本年在职人员工资基数调增，养老缴费基数上涨，相应支出增加。</w:t>
      </w:r>
    </w:p>
    <w:p w14:paraId="28B2B11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9.52万元，比上年决算减少6.65万元，下降41.13%,主要原因是：本年新增调出人员较上年减少，职业年金缴费较上年减少。</w:t>
      </w:r>
    </w:p>
    <w:p w14:paraId="035B580E">
      <w:pPr>
        <w:spacing w:line="580" w:lineRule="exact"/>
        <w:ind w:firstLine="640"/>
        <w:jc w:val="both"/>
      </w:pPr>
      <w:r>
        <w:rPr>
          <w:rFonts w:ascii="仿宋_GB2312" w:hAnsi="仿宋_GB2312" w:eastAsia="仿宋_GB2312"/>
          <w:b w:val="0"/>
          <w:sz w:val="32"/>
        </w:rPr>
        <w:t>5.卫生健康支出(类)行政事业单位医疗(款)行政单位医疗(项):支出决算数为9.55万元，比上年决算增加0.39万元，增长4.26%,主要原因是：本年在职人员工资基数调增，医疗缴费基数上涨，相应支出增加。</w:t>
      </w:r>
    </w:p>
    <w:p w14:paraId="3CE0D334">
      <w:pPr>
        <w:spacing w:line="580" w:lineRule="exact"/>
        <w:ind w:firstLine="640"/>
        <w:jc w:val="both"/>
      </w:pPr>
      <w:r>
        <w:rPr>
          <w:rFonts w:ascii="仿宋_GB2312" w:hAnsi="仿宋_GB2312" w:eastAsia="仿宋_GB2312"/>
          <w:b w:val="0"/>
          <w:sz w:val="32"/>
        </w:rPr>
        <w:t>6.卫生健康支出(类)行政事业单位医疗(款)公务员医疗补助(项):支出决算数为1.36万元，比上年决算增加0.17万元，增长14.29%,主要原因是：本年在职人员工资基数调增，公务员医疗补助上涨，相应支出增加。</w:t>
      </w:r>
    </w:p>
    <w:p w14:paraId="2F41DDF8">
      <w:pPr>
        <w:spacing w:line="580" w:lineRule="exact"/>
        <w:ind w:firstLine="640"/>
        <w:jc w:val="both"/>
      </w:pPr>
      <w:r>
        <w:rPr>
          <w:rFonts w:ascii="仿宋_GB2312" w:hAnsi="仿宋_GB2312" w:eastAsia="仿宋_GB2312"/>
          <w:b w:val="0"/>
          <w:sz w:val="32"/>
        </w:rPr>
        <w:t>7.住房保障支出(类)住房改革支出(款)住房公积金(项):支出决算数为18.45万元，比上年决算增加3.12万元，增长20.35%,主要原因是：本年在职人员工资基数调增，公积金缴费基数上涨，相应支出增加。</w:t>
      </w:r>
    </w:p>
    <w:p w14:paraId="4238CD12">
      <w:pPr>
        <w:spacing w:line="580" w:lineRule="exact"/>
        <w:ind w:firstLine="640"/>
        <w:jc w:val="both"/>
      </w:pPr>
      <w:r>
        <w:rPr>
          <w:rFonts w:ascii="仿宋_GB2312" w:hAnsi="仿宋_GB2312" w:eastAsia="仿宋_GB2312"/>
          <w:b w:val="0"/>
          <w:sz w:val="32"/>
        </w:rPr>
        <w:t>8.灾害防治及应急管理支出(类)应急管理事务(款)行政运行(项):支出决算数为104.17万元，比上年决算增加21.30万元，增长25.70%,主要原因是：本年在职人员工资调增，导致相关人员经费较上年有所增加。</w:t>
      </w:r>
    </w:p>
    <w:p w14:paraId="70C880C5">
      <w:pPr>
        <w:spacing w:line="580" w:lineRule="exact"/>
        <w:ind w:firstLine="640"/>
        <w:jc w:val="both"/>
      </w:pPr>
      <w:r>
        <w:rPr>
          <w:rFonts w:ascii="仿宋_GB2312" w:hAnsi="仿宋_GB2312" w:eastAsia="仿宋_GB2312"/>
          <w:b w:val="0"/>
          <w:sz w:val="32"/>
        </w:rPr>
        <w:t>9.灾害防治及应急管理支出(类)应急管理事务(款)一般行政管理事务(项):支出决算数为0.80万元，比上年决算增加0.80万元，增长100.00%,主要原因是：本年增加防灾减灾宣传费。</w:t>
      </w:r>
    </w:p>
    <w:p w14:paraId="354CFBE7">
      <w:pPr>
        <w:spacing w:line="580" w:lineRule="exact"/>
        <w:ind w:firstLine="640"/>
        <w:jc w:val="both"/>
      </w:pPr>
      <w:r>
        <w:rPr>
          <w:rFonts w:ascii="仿宋_GB2312" w:hAnsi="仿宋_GB2312" w:eastAsia="仿宋_GB2312"/>
          <w:b w:val="0"/>
          <w:sz w:val="32"/>
        </w:rPr>
        <w:t>10.灾害防治及应急管理支出(类)应急管理事务(款)安全监管(项):支出决算数为5.00万元，比上年决算增加5.00万元，增长100.00%,主要原因是：本年增加安全生产监管项目资金。</w:t>
      </w:r>
    </w:p>
    <w:p w14:paraId="4DCBC670">
      <w:pPr>
        <w:spacing w:line="580" w:lineRule="exact"/>
        <w:ind w:firstLine="640"/>
        <w:jc w:val="both"/>
      </w:pPr>
      <w:r>
        <w:rPr>
          <w:rFonts w:ascii="仿宋_GB2312" w:hAnsi="仿宋_GB2312" w:eastAsia="仿宋_GB2312"/>
          <w:b w:val="0"/>
          <w:sz w:val="32"/>
        </w:rPr>
        <w:t>11.灾害防治及应急管理支出(类)应急管理事务(款)事业运行(项):支出决算数为96.46万元，比上年决算增加33.11万元，增长52.27%,主要原因是：本年在职人员工资调增，导致相关人员经费较上年有所增加。</w:t>
      </w:r>
    </w:p>
    <w:p w14:paraId="32CE737A">
      <w:pPr>
        <w:spacing w:line="580" w:lineRule="exact"/>
        <w:ind w:firstLine="640"/>
        <w:jc w:val="both"/>
      </w:pPr>
      <w:r>
        <w:rPr>
          <w:rFonts w:ascii="仿宋_GB2312" w:hAnsi="仿宋_GB2312" w:eastAsia="仿宋_GB2312"/>
          <w:b w:val="0"/>
          <w:sz w:val="32"/>
        </w:rPr>
        <w:t>12.灾害防治及应急管理支出(类)自然灾害救灾及恢复重建支出(款)自然灾害救灾补助(项):支出决算数为354.49万元，比上年决算增加67.00万元，增长23.31%,主要原因是：本年中央自然灾害救灾救助项目资金较上年增加。</w:t>
      </w:r>
    </w:p>
    <w:p w14:paraId="61294248">
      <w:pPr>
        <w:spacing w:line="640" w:lineRule="exact"/>
        <w:ind w:firstLine="640"/>
        <w:jc w:val="both"/>
        <w:outlineLvl w:val="2"/>
      </w:pPr>
      <w:r>
        <w:rPr>
          <w:rFonts w:ascii="黑体" w:hAnsi="黑体" w:eastAsia="黑体"/>
          <w:sz w:val="32"/>
        </w:rPr>
        <w:t>六、一般公共预算财政拨款基本支出决算情况说明</w:t>
      </w:r>
    </w:p>
    <w:p w14:paraId="787656E0">
      <w:pPr>
        <w:spacing w:line="580" w:lineRule="exact"/>
        <w:ind w:firstLine="640"/>
        <w:jc w:val="both"/>
      </w:pPr>
      <w:r>
        <w:rPr>
          <w:rFonts w:ascii="仿宋_GB2312" w:hAnsi="仿宋_GB2312" w:eastAsia="仿宋_GB2312"/>
          <w:b w:val="0"/>
          <w:sz w:val="32"/>
        </w:rPr>
        <w:t>2024年度一般公共预算财政拨款基本支出268.70万元，其中：</w:t>
      </w:r>
      <w:r>
        <w:rPr>
          <w:rFonts w:ascii="仿宋_GB2312" w:hAnsi="仿宋_GB2312" w:eastAsia="仿宋_GB2312"/>
          <w:b/>
          <w:sz w:val="32"/>
        </w:rPr>
        <w:t>人员经费257.10万元，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46F4178E">
      <w:pPr>
        <w:spacing w:line="580" w:lineRule="exact"/>
        <w:ind w:firstLine="640"/>
        <w:jc w:val="both"/>
      </w:pPr>
      <w:r>
        <w:rPr>
          <w:rFonts w:ascii="仿宋_GB2312" w:hAnsi="仿宋_GB2312" w:eastAsia="仿宋_GB2312"/>
          <w:b/>
          <w:sz w:val="32"/>
        </w:rPr>
        <w:t>公用经费11.61万元，</w:t>
      </w:r>
      <w:r>
        <w:rPr>
          <w:rFonts w:ascii="仿宋_GB2312" w:hAnsi="仿宋_GB2312" w:eastAsia="仿宋_GB2312"/>
          <w:b w:val="0"/>
          <w:sz w:val="32"/>
        </w:rPr>
        <w:t>包括：办公费、水费、电费、邮电费、差旅费、公务用车运行维护费。</w:t>
      </w:r>
    </w:p>
    <w:p w14:paraId="4F5360D2">
      <w:pPr>
        <w:spacing w:line="640" w:lineRule="exact"/>
        <w:ind w:firstLine="640"/>
        <w:jc w:val="both"/>
        <w:outlineLvl w:val="2"/>
      </w:pPr>
      <w:r>
        <w:rPr>
          <w:rFonts w:ascii="黑体" w:hAnsi="黑体" w:eastAsia="黑体"/>
          <w:sz w:val="32"/>
        </w:rPr>
        <w:t>七、政府性基金预算财政拨款收入支出决算情况说明</w:t>
      </w:r>
    </w:p>
    <w:p w14:paraId="05A7EE0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B199CA">
      <w:pPr>
        <w:spacing w:line="640" w:lineRule="exact"/>
        <w:ind w:firstLine="640"/>
        <w:jc w:val="both"/>
        <w:outlineLvl w:val="2"/>
      </w:pPr>
      <w:r>
        <w:rPr>
          <w:rFonts w:ascii="黑体" w:hAnsi="黑体" w:eastAsia="黑体"/>
          <w:sz w:val="32"/>
        </w:rPr>
        <w:t>八、国有资本经营预算财政拨款收入支出决算情况说明</w:t>
      </w:r>
    </w:p>
    <w:p w14:paraId="1FD07A8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265F6C">
      <w:pPr>
        <w:spacing w:line="640" w:lineRule="exact"/>
        <w:ind w:firstLine="640"/>
        <w:jc w:val="both"/>
        <w:outlineLvl w:val="2"/>
      </w:pPr>
      <w:r>
        <w:rPr>
          <w:rFonts w:ascii="黑体" w:hAnsi="黑体" w:eastAsia="黑体"/>
          <w:sz w:val="32"/>
        </w:rPr>
        <w:t>九、财政拨款“三公”经费支出决算情况说明</w:t>
      </w:r>
    </w:p>
    <w:p w14:paraId="7754B67E">
      <w:pPr>
        <w:spacing w:line="580" w:lineRule="exact"/>
        <w:ind w:firstLine="640"/>
        <w:jc w:val="both"/>
      </w:pPr>
      <w:r>
        <w:rPr>
          <w:rFonts w:ascii="仿宋_GB2312" w:hAnsi="仿宋_GB2312" w:eastAsia="仿宋_GB2312"/>
          <w:b/>
          <w:sz w:val="32"/>
        </w:rPr>
        <w:t>2024年度财政拨款“三公”经费支出1.23万元，</w:t>
      </w:r>
      <w:r>
        <w:rPr>
          <w:rFonts w:ascii="仿宋_GB2312" w:hAnsi="仿宋_GB2312" w:eastAsia="仿宋_GB2312"/>
          <w:b w:val="0"/>
          <w:sz w:val="32"/>
        </w:rPr>
        <w:t>比上年减少2.30万元，下降65.16%，主要原因是：严格落实中央八项规定精神，厉行节约，减少公务用车运行</w:t>
      </w:r>
      <w:r>
        <w:rPr>
          <w:rFonts w:hint="eastAsia" w:ascii="仿宋_GB2312" w:hAnsi="仿宋_GB2312" w:eastAsia="仿宋_GB2312"/>
          <w:b w:val="0"/>
          <w:sz w:val="32"/>
          <w:lang w:val="en-US" w:eastAsia="zh-CN"/>
        </w:rPr>
        <w:t>频次，燃油费、</w:t>
      </w:r>
      <w:r>
        <w:rPr>
          <w:rFonts w:ascii="仿宋_GB2312" w:hAnsi="仿宋_GB2312" w:eastAsia="仿宋_GB2312"/>
          <w:b w:val="0"/>
          <w:sz w:val="32"/>
        </w:rPr>
        <w:t>维</w:t>
      </w:r>
      <w:r>
        <w:rPr>
          <w:rFonts w:hint="eastAsia" w:ascii="仿宋_GB2312" w:hAnsi="仿宋_GB2312" w:eastAsia="仿宋_GB2312"/>
          <w:b w:val="0"/>
          <w:sz w:val="32"/>
          <w:lang w:val="en-US" w:eastAsia="zh-CN"/>
        </w:rPr>
        <w:t>修</w:t>
      </w:r>
      <w:r>
        <w:rPr>
          <w:rFonts w:ascii="仿宋_GB2312" w:hAnsi="仿宋_GB2312" w:eastAsia="仿宋_GB2312"/>
          <w:b w:val="0"/>
          <w:sz w:val="32"/>
        </w:rPr>
        <w:t>费</w:t>
      </w:r>
      <w:r>
        <w:rPr>
          <w:rFonts w:hint="eastAsia" w:ascii="仿宋_GB2312" w:hAnsi="仿宋_GB2312" w:eastAsia="仿宋_GB2312"/>
          <w:b w:val="0"/>
          <w:sz w:val="32"/>
          <w:lang w:val="en-US" w:eastAsia="zh-CN"/>
        </w:rPr>
        <w:t>减少</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1.23万元，占100.00%，比上年减少2.30万元，下降65.16%，主要原因是：严格落实中央八项规定精神，厉行节约，减少公务用车运行</w:t>
      </w:r>
      <w:r>
        <w:rPr>
          <w:rFonts w:hint="eastAsia" w:ascii="仿宋_GB2312" w:hAnsi="仿宋_GB2312" w:eastAsia="仿宋_GB2312"/>
          <w:b w:val="0"/>
          <w:sz w:val="32"/>
          <w:lang w:val="en-US" w:eastAsia="zh-CN"/>
        </w:rPr>
        <w:t>频次，燃油费、</w:t>
      </w:r>
      <w:r>
        <w:rPr>
          <w:rFonts w:ascii="仿宋_GB2312" w:hAnsi="仿宋_GB2312" w:eastAsia="仿宋_GB2312"/>
          <w:b w:val="0"/>
          <w:sz w:val="32"/>
        </w:rPr>
        <w:t>维</w:t>
      </w:r>
      <w:r>
        <w:rPr>
          <w:rFonts w:hint="eastAsia" w:ascii="仿宋_GB2312" w:hAnsi="仿宋_GB2312" w:eastAsia="仿宋_GB2312"/>
          <w:b w:val="0"/>
          <w:sz w:val="32"/>
          <w:lang w:val="en-US" w:eastAsia="zh-CN"/>
        </w:rPr>
        <w:t>修</w:t>
      </w:r>
      <w:r>
        <w:rPr>
          <w:rFonts w:ascii="仿宋_GB2312" w:hAnsi="仿宋_GB2312" w:eastAsia="仿宋_GB2312"/>
          <w:b w:val="0"/>
          <w:sz w:val="32"/>
        </w:rPr>
        <w:t>费</w:t>
      </w:r>
      <w:r>
        <w:rPr>
          <w:rFonts w:hint="eastAsia" w:ascii="仿宋_GB2312" w:hAnsi="仿宋_GB2312" w:eastAsia="仿宋_GB2312"/>
          <w:b w:val="0"/>
          <w:sz w:val="32"/>
          <w:lang w:val="en-US" w:eastAsia="zh-CN"/>
        </w:rPr>
        <w:t>减少</w:t>
      </w:r>
      <w:r>
        <w:rPr>
          <w:rFonts w:ascii="仿宋_GB2312" w:hAnsi="仿宋_GB2312" w:eastAsia="仿宋_GB2312"/>
          <w:b w:val="0"/>
          <w:sz w:val="32"/>
        </w:rPr>
        <w:t>。公务接待费支出0.00万元，占0.00%，比上年增加0.00万元，增长0.00%，主要原因是：2023年与2024年均未安排公务接待费支出。</w:t>
      </w:r>
    </w:p>
    <w:p w14:paraId="69E8B435">
      <w:pPr>
        <w:spacing w:line="580" w:lineRule="exact"/>
        <w:ind w:firstLine="640"/>
        <w:jc w:val="both"/>
      </w:pPr>
      <w:r>
        <w:rPr>
          <w:rFonts w:ascii="仿宋_GB2312" w:hAnsi="仿宋_GB2312" w:eastAsia="仿宋_GB2312"/>
          <w:b/>
          <w:sz w:val="32"/>
        </w:rPr>
        <w:t>具体情况如下：</w:t>
      </w:r>
    </w:p>
    <w:p w14:paraId="5879834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D513CE">
      <w:pPr>
        <w:spacing w:line="580" w:lineRule="exact"/>
        <w:ind w:firstLine="640"/>
        <w:jc w:val="both"/>
      </w:pPr>
      <w:r>
        <w:rPr>
          <w:rFonts w:ascii="仿宋_GB2312" w:hAnsi="仿宋_GB2312" w:eastAsia="仿宋_GB2312"/>
          <w:b w:val="0"/>
          <w:sz w:val="32"/>
        </w:rPr>
        <w:t>公务用车购置及运行维护费1.23万元，其中：公务用车购置费0.00万元，公务用车运行维护费1.23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14:paraId="655F2C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76D4F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1.23万元，预决算差异率-41.43%，主要原因是：严格落实中央八项规定精神，厉行节约，减少公务用车运行维护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1.23万元，预决算差异率-41.43%，主要原因是：严格落实中央八项规定精神，厉行节约，减少公务用车运行维护费。公务接待费全年预算数0.00万元，决算数0.00万元，预决算差异率0.00%，主要原因是：本单位无公务接待费。</w:t>
      </w:r>
    </w:p>
    <w:p w14:paraId="34981E97">
      <w:pPr>
        <w:spacing w:line="640" w:lineRule="exact"/>
        <w:ind w:firstLine="640"/>
        <w:jc w:val="both"/>
        <w:outlineLvl w:val="2"/>
      </w:pPr>
      <w:r>
        <w:rPr>
          <w:rFonts w:ascii="黑体" w:hAnsi="黑体" w:eastAsia="黑体"/>
          <w:sz w:val="32"/>
        </w:rPr>
        <w:t>十、其他重要事项的情况说明</w:t>
      </w:r>
    </w:p>
    <w:p w14:paraId="0FB9797D">
      <w:pPr>
        <w:spacing w:line="640" w:lineRule="exact"/>
        <w:ind w:firstLine="640"/>
        <w:jc w:val="both"/>
        <w:outlineLvl w:val="3"/>
      </w:pPr>
      <w:r>
        <w:rPr>
          <w:rFonts w:ascii="楷体_GB2312" w:hAnsi="楷体_GB2312" w:eastAsia="楷体_GB2312"/>
          <w:b/>
          <w:sz w:val="32"/>
        </w:rPr>
        <w:t>（一）机关运行经费及公用经费支出情况</w:t>
      </w:r>
    </w:p>
    <w:p w14:paraId="684F98A8">
      <w:pPr>
        <w:spacing w:line="580" w:lineRule="exact"/>
        <w:ind w:firstLine="640"/>
        <w:jc w:val="both"/>
      </w:pPr>
      <w:r>
        <w:rPr>
          <w:rFonts w:ascii="仿宋_GB2312" w:hAnsi="仿宋_GB2312" w:eastAsia="仿宋_GB2312"/>
          <w:b w:val="0"/>
          <w:sz w:val="32"/>
        </w:rPr>
        <w:t>2024年度英吉沙县应急管理局（行政单位和参照公务员法管理事业单位）机关运行经费支出11.61万元，比上年增加3.25万元，增长38.88%，主要原因是：本年业务量增加，宣传费较上年增加。</w:t>
      </w:r>
    </w:p>
    <w:p w14:paraId="460AEB40">
      <w:pPr>
        <w:spacing w:line="640" w:lineRule="exact"/>
        <w:ind w:firstLine="640"/>
        <w:jc w:val="both"/>
        <w:outlineLvl w:val="3"/>
      </w:pPr>
      <w:r>
        <w:rPr>
          <w:rFonts w:ascii="楷体_GB2312" w:hAnsi="楷体_GB2312" w:eastAsia="楷体_GB2312"/>
          <w:b/>
          <w:sz w:val="32"/>
        </w:rPr>
        <w:t>（二）政府采购情况</w:t>
      </w:r>
    </w:p>
    <w:p w14:paraId="1D0D88B3">
      <w:pPr>
        <w:spacing w:line="580" w:lineRule="exact"/>
        <w:ind w:firstLine="640"/>
        <w:jc w:val="both"/>
      </w:pPr>
      <w:r>
        <w:rPr>
          <w:rFonts w:ascii="仿宋_GB2312" w:hAnsi="仿宋_GB2312" w:eastAsia="仿宋_GB2312"/>
          <w:b w:val="0"/>
          <w:sz w:val="32"/>
        </w:rPr>
        <w:t>2024年度政府采购支出总额0.30万元，其中：政府采购货物支出0.00万元、政府采购工程支出0.00万元、政府采购服务支出0.30万元。</w:t>
      </w:r>
    </w:p>
    <w:p w14:paraId="090029F8">
      <w:pPr>
        <w:spacing w:line="580" w:lineRule="exact"/>
        <w:ind w:firstLine="640"/>
        <w:jc w:val="both"/>
      </w:pPr>
      <w:r>
        <w:rPr>
          <w:rFonts w:ascii="仿宋_GB2312" w:hAnsi="仿宋_GB2312" w:eastAsia="仿宋_GB2312"/>
          <w:b w:val="0"/>
          <w:sz w:val="32"/>
        </w:rPr>
        <w:t>授予中小企业合同金额0.30万元，占政府采购支出总额的100.00%，其中：授予小微企业合同金额0.30万元，占政府采购支出总额的100.00%。</w:t>
      </w:r>
    </w:p>
    <w:p w14:paraId="7E742AD2">
      <w:pPr>
        <w:spacing w:line="640" w:lineRule="exact"/>
        <w:ind w:firstLine="640"/>
        <w:jc w:val="both"/>
        <w:outlineLvl w:val="3"/>
      </w:pPr>
      <w:r>
        <w:rPr>
          <w:rFonts w:ascii="楷体_GB2312" w:hAnsi="楷体_GB2312" w:eastAsia="楷体_GB2312"/>
          <w:b/>
          <w:sz w:val="32"/>
        </w:rPr>
        <w:t>（三）国有资产占用情况说明</w:t>
      </w:r>
    </w:p>
    <w:p w14:paraId="3FFBA577">
      <w:pPr>
        <w:spacing w:line="580" w:lineRule="exact"/>
        <w:ind w:firstLine="640"/>
        <w:jc w:val="both"/>
      </w:pPr>
      <w:r>
        <w:rPr>
          <w:rFonts w:ascii="仿宋_GB2312" w:hAnsi="仿宋_GB2312" w:eastAsia="仿宋_GB2312"/>
          <w:b w:val="0"/>
          <w:sz w:val="32"/>
        </w:rPr>
        <w:t>截至2024年12月31日，房屋0.00平方米，价值0.00万元。车辆1辆，价值20.00万元，其中：副部（省）级及以上领导用车0辆、主要负责人用车0辆、机要通信用车0辆、应急保障用车0辆、执法执勤用车1辆、特种专业技术用车0辆、离退休干部服务用车0辆、其他用车0辆，其他用车主要是：本单位无其他用车。单价100万元（含）以上设备（不含车辆）0台（套）。</w:t>
      </w:r>
    </w:p>
    <w:p w14:paraId="6B90EFDB">
      <w:pPr>
        <w:spacing w:line="640" w:lineRule="exact"/>
        <w:ind w:firstLine="640"/>
        <w:jc w:val="both"/>
        <w:outlineLvl w:val="2"/>
      </w:pPr>
      <w:r>
        <w:rPr>
          <w:rFonts w:ascii="黑体" w:hAnsi="黑体" w:eastAsia="黑体"/>
          <w:sz w:val="32"/>
        </w:rPr>
        <w:t>十一、预算绩效的情况说明</w:t>
      </w:r>
    </w:p>
    <w:p w14:paraId="73D57BD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660.23万元，实际执行总额660.23万元；预算绩效评价项目3个，全年预算数366.48万元，全年执行数366.48万元。预算绩效管理取得的成效：一是健全事前绩效目标编审体系；二是开展事中绩效运行跟踪监督；三是构建事后预算绩效评价体系。发现的问题及原因：一是预算绩效观念不强，工作质量待提高；二是绩效管理专业人员匮乏。下一步改进措施：一是加强领导，精细组织，强化绩效观念；二是加强绩效培训，提高绩效质量；三是科学论证项目可行性，量化指标，确保项目支出达到效果。具体附整体支出绩效自评表，项目支出绩效自评表和评价报告。</w:t>
      </w:r>
    </w:p>
    <w:p w14:paraId="03059D7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BDDCBD">
        <w:tblPrEx>
          <w:tblCellMar>
            <w:top w:w="0" w:type="dxa"/>
            <w:left w:w="108" w:type="dxa"/>
            <w:bottom w:w="0" w:type="dxa"/>
            <w:right w:w="108" w:type="dxa"/>
          </w:tblCellMar>
        </w:tblPrEx>
        <w:tc>
          <w:tcPr>
            <w:tcW w:w="8847" w:type="dxa"/>
            <w:gridSpan w:val="9"/>
            <w:vAlign w:val="center"/>
          </w:tcPr>
          <w:p w14:paraId="3C4D0692">
            <w:pPr>
              <w:jc w:val="center"/>
            </w:pPr>
            <w:r>
              <w:rPr>
                <w:rFonts w:ascii="宋体" w:hAnsi="宋体" w:eastAsia="宋体"/>
                <w:sz w:val="24"/>
              </w:rPr>
              <w:t>单位整体支出绩效自评表</w:t>
            </w:r>
          </w:p>
        </w:tc>
      </w:tr>
      <w:tr w14:paraId="49D46BDE">
        <w:tblPrEx>
          <w:tblCellMar>
            <w:top w:w="0" w:type="dxa"/>
            <w:left w:w="108" w:type="dxa"/>
            <w:bottom w:w="0" w:type="dxa"/>
            <w:right w:w="108" w:type="dxa"/>
          </w:tblCellMar>
        </w:tblPrEx>
        <w:tc>
          <w:tcPr>
            <w:tcW w:w="8847" w:type="dxa"/>
            <w:gridSpan w:val="9"/>
            <w:vAlign w:val="center"/>
          </w:tcPr>
          <w:p w14:paraId="1B6204F9">
            <w:pPr>
              <w:jc w:val="center"/>
            </w:pPr>
            <w:r>
              <w:rPr>
                <w:rFonts w:ascii="宋体" w:hAnsi="宋体" w:eastAsia="宋体"/>
                <w:sz w:val="24"/>
              </w:rPr>
              <w:t>（2024年度）</w:t>
            </w:r>
          </w:p>
        </w:tc>
      </w:tr>
      <w:tr w14:paraId="1CFC7D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6985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68FF44">
            <w:pPr>
              <w:jc w:val="center"/>
            </w:pPr>
            <w:r>
              <w:rPr>
                <w:rFonts w:ascii="宋体" w:hAnsi="宋体" w:eastAsia="宋体"/>
                <w:sz w:val="16"/>
              </w:rPr>
              <w:t>英吉沙县应急管理局</w:t>
            </w:r>
          </w:p>
        </w:tc>
      </w:tr>
      <w:tr w14:paraId="1F801D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4FCC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D037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EFC3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5833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A36A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909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802F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F53A">
            <w:pPr>
              <w:jc w:val="center"/>
            </w:pPr>
            <w:r>
              <w:rPr>
                <w:rFonts w:ascii="宋体" w:hAnsi="宋体" w:eastAsia="宋体"/>
                <w:sz w:val="16"/>
              </w:rPr>
              <w:t>得分</w:t>
            </w:r>
          </w:p>
        </w:tc>
      </w:tr>
      <w:tr w14:paraId="677EB9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4D4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AA05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9089E">
            <w:pPr>
              <w:jc w:val="center"/>
            </w:pPr>
            <w:r>
              <w:rPr>
                <w:rFonts w:ascii="宋体" w:hAnsi="宋体" w:eastAsia="宋体"/>
                <w:sz w:val="16"/>
              </w:rPr>
              <w:t>680.35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50890">
            <w:pPr>
              <w:jc w:val="center"/>
            </w:pPr>
            <w:r>
              <w:rPr>
                <w:rFonts w:ascii="宋体" w:hAnsi="宋体" w:eastAsia="宋体"/>
                <w:sz w:val="16"/>
              </w:rPr>
              <w:t>660.23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CD644">
            <w:pPr>
              <w:jc w:val="center"/>
            </w:pPr>
            <w:r>
              <w:rPr>
                <w:rFonts w:ascii="宋体" w:hAnsi="宋体" w:eastAsia="宋体"/>
                <w:sz w:val="16"/>
              </w:rPr>
              <w:t>660.23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09E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2A0C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90F82">
            <w:pPr>
              <w:jc w:val="center"/>
            </w:pPr>
            <w:r>
              <w:rPr>
                <w:rFonts w:ascii="宋体" w:hAnsi="宋体" w:eastAsia="宋体"/>
                <w:sz w:val="16"/>
              </w:rPr>
              <w:t>10</w:t>
            </w:r>
          </w:p>
        </w:tc>
      </w:tr>
      <w:tr w14:paraId="408A3F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058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2AD0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39A7B">
            <w:pPr>
              <w:jc w:val="center"/>
            </w:pPr>
            <w:r>
              <w:rPr>
                <w:rFonts w:ascii="宋体" w:hAnsi="宋体" w:eastAsia="宋体"/>
                <w:sz w:val="16"/>
              </w:rPr>
              <w:t>354.49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B4C99">
            <w:pPr>
              <w:jc w:val="center"/>
            </w:pPr>
            <w:r>
              <w:rPr>
                <w:rFonts w:ascii="宋体" w:hAnsi="宋体" w:eastAsia="宋体"/>
                <w:sz w:val="16"/>
              </w:rPr>
              <w:t>354.49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9309E">
            <w:pPr>
              <w:jc w:val="center"/>
            </w:pPr>
            <w:r>
              <w:rPr>
                <w:rFonts w:ascii="宋体" w:hAnsi="宋体" w:eastAsia="宋体"/>
                <w:sz w:val="16"/>
              </w:rPr>
              <w:t>354.49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E0D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903A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7AA3">
            <w:pPr>
              <w:jc w:val="center"/>
            </w:pPr>
            <w:r>
              <w:rPr>
                <w:rFonts w:ascii="宋体" w:hAnsi="宋体" w:eastAsia="宋体"/>
                <w:sz w:val="16"/>
              </w:rPr>
              <w:t>—</w:t>
            </w:r>
          </w:p>
        </w:tc>
      </w:tr>
      <w:tr w14:paraId="2E0DD5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940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A923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0D90C">
            <w:pPr>
              <w:jc w:val="center"/>
            </w:pPr>
            <w:r>
              <w:rPr>
                <w:rFonts w:ascii="宋体" w:hAnsi="宋体" w:eastAsia="宋体"/>
                <w:sz w:val="16"/>
              </w:rPr>
              <w:t>325.86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90D9A">
            <w:pPr>
              <w:jc w:val="center"/>
            </w:pPr>
            <w:r>
              <w:rPr>
                <w:rFonts w:ascii="宋体" w:hAnsi="宋体" w:eastAsia="宋体"/>
                <w:sz w:val="16"/>
              </w:rPr>
              <w:t>274.50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A6A7D">
            <w:pPr>
              <w:jc w:val="center"/>
            </w:pPr>
            <w:r>
              <w:rPr>
                <w:rFonts w:ascii="宋体" w:hAnsi="宋体" w:eastAsia="宋体"/>
                <w:sz w:val="16"/>
              </w:rPr>
              <w:t>274.50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8B7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5EA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3EB08">
            <w:pPr>
              <w:jc w:val="center"/>
            </w:pPr>
            <w:r>
              <w:rPr>
                <w:rFonts w:ascii="宋体" w:hAnsi="宋体" w:eastAsia="宋体"/>
                <w:sz w:val="16"/>
              </w:rPr>
              <w:t>—</w:t>
            </w:r>
          </w:p>
        </w:tc>
      </w:tr>
      <w:tr w14:paraId="3CB65E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B999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EEE8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BEA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35952">
            <w:pPr>
              <w:jc w:val="center"/>
            </w:pPr>
            <w:r>
              <w:rPr>
                <w:rFonts w:ascii="宋体" w:hAnsi="宋体" w:eastAsia="宋体"/>
                <w:sz w:val="16"/>
              </w:rPr>
              <w:t>31.24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230AE">
            <w:pPr>
              <w:jc w:val="center"/>
            </w:pPr>
            <w:r>
              <w:rPr>
                <w:rFonts w:ascii="宋体" w:hAnsi="宋体" w:eastAsia="宋体"/>
                <w:sz w:val="16"/>
              </w:rPr>
              <w:t>31.24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88C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9E8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C44A">
            <w:pPr>
              <w:jc w:val="center"/>
            </w:pPr>
            <w:r>
              <w:rPr>
                <w:rFonts w:ascii="宋体" w:hAnsi="宋体" w:eastAsia="宋体"/>
                <w:sz w:val="16"/>
              </w:rPr>
              <w:t>—</w:t>
            </w:r>
          </w:p>
        </w:tc>
      </w:tr>
      <w:tr w14:paraId="2DF7BC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C8C0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538D3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C76255">
            <w:pPr>
              <w:jc w:val="center"/>
            </w:pPr>
            <w:r>
              <w:rPr>
                <w:rFonts w:ascii="宋体" w:hAnsi="宋体" w:eastAsia="宋体"/>
                <w:sz w:val="16"/>
              </w:rPr>
              <w:t>实际完成情况</w:t>
            </w:r>
          </w:p>
        </w:tc>
      </w:tr>
      <w:tr w14:paraId="150B27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FCBA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23343C">
            <w:pPr>
              <w:jc w:val="both"/>
            </w:pPr>
            <w:r>
              <w:rPr>
                <w:rFonts w:ascii="宋体" w:hAnsi="宋体" w:eastAsia="宋体"/>
                <w:sz w:val="16"/>
              </w:rPr>
              <w:t>为深入贯彻落实习近平总书记关于应急工作的重要指示批示精神，深入贯彻落实党的二十大精神，贯彻落实自治区党委依法治疆重要思想，坚决贯彻落实地委、行署关于应急工</w:t>
            </w:r>
            <w:r>
              <w:rPr>
                <w:rFonts w:hint="eastAsia" w:ascii="宋体" w:hAnsi="宋体"/>
                <w:sz w:val="16"/>
                <w:lang w:eastAsia="zh-CN"/>
              </w:rPr>
              <w:t>作的</w:t>
            </w:r>
            <w:r>
              <w:rPr>
                <w:rFonts w:ascii="宋体" w:hAnsi="宋体" w:eastAsia="宋体"/>
                <w:sz w:val="16"/>
              </w:rPr>
              <w:t>重要指示批示精神，贯彻落实县委、县政府关于应急工作的重要指示批示精神，坚持以人为本、生命重于泰山等理念，增强安全生产红线意识和底线思维，增强</w:t>
            </w:r>
            <w:r>
              <w:rPr>
                <w:rFonts w:hint="eastAsia" w:ascii="宋体" w:hAnsi="宋体"/>
                <w:sz w:val="16"/>
                <w:lang w:eastAsia="zh-CN"/>
              </w:rPr>
              <w:t>防灾</w:t>
            </w:r>
            <w:r>
              <w:rPr>
                <w:rFonts w:ascii="宋体" w:hAnsi="宋体" w:eastAsia="宋体"/>
                <w:sz w:val="16"/>
              </w:rPr>
              <w:t>减灾能力，有效防范自然灾害。有效开展安全生产监督指挥工作，落实安全生产隐患排查整改整治</w:t>
            </w:r>
            <w:bookmarkStart w:id="0" w:name="_GoBack"/>
            <w:bookmarkEnd w:id="0"/>
            <w:r>
              <w:rPr>
                <w:rFonts w:ascii="宋体" w:hAnsi="宋体" w:eastAsia="宋体"/>
                <w:sz w:val="16"/>
              </w:rPr>
              <w:t>工作，全年排查企业不少于96家，开展执法检查不少于200次（批），自然灾害救助人数不少于9454人；用好各级专项资金，根据实际情况，全力为受灾群众提供资金与物资救助，保障全县受灾群众正常生活。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89CA5">
            <w:pPr>
              <w:jc w:val="both"/>
            </w:pPr>
            <w:r>
              <w:rPr>
                <w:rFonts w:ascii="宋体" w:hAnsi="宋体" w:eastAsia="宋体"/>
                <w:sz w:val="16"/>
              </w:rPr>
              <w:t>本年度，应急管理局认真贯彻落实习近平总书记关于应急工作的重要指示批示精神，贯彻落实各级关于应急工作的指示精神，增强安全生产红线意识和底线思维，增强</w:t>
            </w:r>
            <w:r>
              <w:rPr>
                <w:rFonts w:hint="eastAsia" w:ascii="宋体" w:hAnsi="宋体"/>
                <w:sz w:val="16"/>
                <w:lang w:eastAsia="zh-CN"/>
              </w:rPr>
              <w:t>防灾减灾能力</w:t>
            </w:r>
            <w:r>
              <w:rPr>
                <w:rFonts w:ascii="宋体" w:hAnsi="宋体" w:eastAsia="宋体"/>
                <w:sz w:val="16"/>
              </w:rPr>
              <w:t>，有效防范自然灾害。有效开展安全生产监督指挥工作，落实安全生产隐患排查整改整治工作，全年排查企业96家以上，开展线上、线下执法检查200次（批），落实中央资金，向受灾9454人发放临时生活困难救助资金354.49万元，全力为受灾群众提供资金与物资救助，保障全县受灾群众正常生活。同时，本年度各类检查执法指标年度完成率和综合业务、专业业务培训覆盖率达到100%，完成年初目标值。</w:t>
            </w:r>
          </w:p>
        </w:tc>
      </w:tr>
      <w:tr w14:paraId="48AABB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FC84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5393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A5D7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809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3431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C9A0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51F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F2EB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EBA55">
            <w:pPr>
              <w:jc w:val="center"/>
            </w:pPr>
            <w:r>
              <w:rPr>
                <w:rFonts w:ascii="宋体" w:hAnsi="宋体" w:eastAsia="宋体"/>
                <w:sz w:val="16"/>
              </w:rPr>
              <w:t>得分</w:t>
            </w:r>
          </w:p>
        </w:tc>
      </w:tr>
      <w:tr w14:paraId="686770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D3C6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738E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A57CB">
            <w:pPr>
              <w:jc w:val="center"/>
            </w:pPr>
            <w:r>
              <w:rPr>
                <w:rFonts w:ascii="宋体" w:hAnsi="宋体" w:eastAsia="宋体"/>
                <w:sz w:val="16"/>
              </w:rPr>
              <w:t>自然灾害救助人数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C9CCF">
            <w:pPr>
              <w:jc w:val="center"/>
            </w:pPr>
            <w:r>
              <w:rPr>
                <w:rFonts w:ascii="宋体" w:hAnsi="宋体" w:eastAsia="宋体"/>
                <w:sz w:val="16"/>
              </w:rPr>
              <w:t>&gt;=9454人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C143">
            <w:pPr>
              <w:jc w:val="center"/>
            </w:pPr>
            <w:r>
              <w:rPr>
                <w:rFonts w:ascii="宋体" w:hAnsi="宋体" w:eastAsia="宋体"/>
                <w:sz w:val="16"/>
              </w:rPr>
              <w:t>2024年工作计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F59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397A2">
            <w:pPr>
              <w:jc w:val="center"/>
            </w:pPr>
            <w:r>
              <w:rPr>
                <w:rFonts w:ascii="宋体" w:hAnsi="宋体" w:eastAsia="宋体"/>
                <w:sz w:val="16"/>
              </w:rPr>
              <w:t>=9454人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767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8D738">
            <w:pPr>
              <w:jc w:val="center"/>
            </w:pPr>
            <w:r>
              <w:rPr>
                <w:rFonts w:ascii="宋体" w:hAnsi="宋体" w:eastAsia="宋体"/>
                <w:sz w:val="16"/>
              </w:rPr>
              <w:t>20</w:t>
            </w:r>
          </w:p>
        </w:tc>
      </w:tr>
      <w:tr w14:paraId="7FC5A0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D3E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297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44EDD">
            <w:pPr>
              <w:jc w:val="center"/>
            </w:pPr>
            <w:r>
              <w:rPr>
                <w:rFonts w:ascii="宋体" w:hAnsi="宋体" w:eastAsia="宋体"/>
                <w:sz w:val="16"/>
              </w:rPr>
              <w:t>规范生产隐患排查企业数量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9B121">
            <w:pPr>
              <w:jc w:val="center"/>
            </w:pPr>
            <w:r>
              <w:rPr>
                <w:rFonts w:ascii="宋体" w:hAnsi="宋体" w:eastAsia="宋体"/>
                <w:sz w:val="16"/>
              </w:rPr>
              <w:t>&gt;=96家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BD30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AE2F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F98AF">
            <w:pPr>
              <w:jc w:val="center"/>
            </w:pPr>
            <w:r>
              <w:rPr>
                <w:rFonts w:ascii="宋体" w:hAnsi="宋体" w:eastAsia="宋体"/>
                <w:sz w:val="16"/>
              </w:rPr>
              <w:t>=96家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653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114A5">
            <w:pPr>
              <w:jc w:val="center"/>
            </w:pPr>
            <w:r>
              <w:rPr>
                <w:rFonts w:ascii="宋体" w:hAnsi="宋体" w:eastAsia="宋体"/>
                <w:sz w:val="16"/>
              </w:rPr>
              <w:t>20</w:t>
            </w:r>
          </w:p>
        </w:tc>
      </w:tr>
      <w:tr w14:paraId="2B89A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F2F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1D83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3234F">
            <w:pPr>
              <w:jc w:val="center"/>
            </w:pPr>
            <w:r>
              <w:rPr>
                <w:rFonts w:ascii="宋体" w:hAnsi="宋体" w:eastAsia="宋体"/>
                <w:sz w:val="16"/>
              </w:rPr>
              <w:t>开展安全监管执法检查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FA0EB">
            <w:pPr>
              <w:jc w:val="center"/>
            </w:pPr>
            <w:r>
              <w:rPr>
                <w:rFonts w:ascii="宋体" w:hAnsi="宋体" w:eastAsia="宋体"/>
                <w:sz w:val="16"/>
              </w:rPr>
              <w:t>&gt;=200次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467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DA1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13AD6">
            <w:pPr>
              <w:jc w:val="center"/>
            </w:pPr>
            <w:r>
              <w:rPr>
                <w:rFonts w:ascii="宋体" w:hAnsi="宋体" w:eastAsia="宋体"/>
                <w:sz w:val="16"/>
              </w:rPr>
              <w:t>=200次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B32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F0CB4">
            <w:pPr>
              <w:jc w:val="center"/>
            </w:pPr>
            <w:r>
              <w:rPr>
                <w:rFonts w:ascii="宋体" w:hAnsi="宋体" w:eastAsia="宋体"/>
                <w:sz w:val="16"/>
              </w:rPr>
              <w:t>20</w:t>
            </w:r>
          </w:p>
        </w:tc>
      </w:tr>
      <w:tr w14:paraId="72DF6D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FDC2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1C33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38EF1">
            <w:pPr>
              <w:jc w:val="center"/>
            </w:pPr>
            <w:r>
              <w:rPr>
                <w:rFonts w:ascii="宋体" w:hAnsi="宋体" w:eastAsia="宋体"/>
                <w:sz w:val="16"/>
              </w:rPr>
              <w:t>各类检查执法指标年度完成率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F1A5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A347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A554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F86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E3E40">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7C06C">
            <w:pPr>
              <w:jc w:val="center"/>
            </w:pPr>
            <w:r>
              <w:rPr>
                <w:rFonts w:ascii="宋体" w:hAnsi="宋体" w:eastAsia="宋体"/>
                <w:sz w:val="16"/>
              </w:rPr>
              <w:t>15</w:t>
            </w:r>
          </w:p>
        </w:tc>
      </w:tr>
      <w:tr w14:paraId="4519E1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A1E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C98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294B1">
            <w:pPr>
              <w:jc w:val="center"/>
            </w:pPr>
            <w:r>
              <w:rPr>
                <w:rFonts w:ascii="宋体" w:hAnsi="宋体" w:eastAsia="宋体"/>
                <w:sz w:val="16"/>
              </w:rPr>
              <w:t>综合业务、专业业务培训覆盖率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F69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75EB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0E3D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23D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660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23AD7">
            <w:pPr>
              <w:jc w:val="center"/>
            </w:pPr>
            <w:r>
              <w:rPr>
                <w:rFonts w:ascii="宋体" w:hAnsi="宋体" w:eastAsia="宋体"/>
                <w:sz w:val="16"/>
              </w:rPr>
              <w:t>15</w:t>
            </w:r>
          </w:p>
        </w:tc>
      </w:tr>
    </w:tbl>
    <w:p w14:paraId="01CA5F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675CEFD">
        <w:tblPrEx>
          <w:tblCellMar>
            <w:top w:w="0" w:type="dxa"/>
            <w:left w:w="108" w:type="dxa"/>
            <w:bottom w:w="0" w:type="dxa"/>
            <w:right w:w="108" w:type="dxa"/>
          </w:tblCellMar>
        </w:tblPrEx>
        <w:tc>
          <w:tcPr>
            <w:tcW w:w="8848" w:type="dxa"/>
            <w:gridSpan w:val="14"/>
            <w:vAlign w:val="center"/>
          </w:tcPr>
          <w:p w14:paraId="40976C34">
            <w:pPr>
              <w:jc w:val="center"/>
            </w:pPr>
            <w:r>
              <w:rPr>
                <w:rFonts w:ascii="宋体" w:hAnsi="宋体" w:eastAsia="宋体"/>
                <w:sz w:val="24"/>
              </w:rPr>
              <w:t>项目支出绩效自评表</w:t>
            </w:r>
          </w:p>
        </w:tc>
      </w:tr>
      <w:tr w14:paraId="2A47C73A">
        <w:tblPrEx>
          <w:tblCellMar>
            <w:top w:w="0" w:type="dxa"/>
            <w:left w:w="108" w:type="dxa"/>
            <w:bottom w:w="0" w:type="dxa"/>
            <w:right w:w="108" w:type="dxa"/>
          </w:tblCellMar>
        </w:tblPrEx>
        <w:tc>
          <w:tcPr>
            <w:tcW w:w="8848" w:type="dxa"/>
            <w:gridSpan w:val="14"/>
            <w:vAlign w:val="center"/>
          </w:tcPr>
          <w:p w14:paraId="3C44FE5B">
            <w:pPr>
              <w:jc w:val="center"/>
            </w:pPr>
            <w:r>
              <w:rPr>
                <w:rFonts w:ascii="宋体" w:hAnsi="宋体" w:eastAsia="宋体"/>
                <w:sz w:val="24"/>
              </w:rPr>
              <w:t>(2024年度)</w:t>
            </w:r>
          </w:p>
        </w:tc>
      </w:tr>
      <w:tr w14:paraId="53C39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6E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7EDED4">
            <w:pPr>
              <w:jc w:val="center"/>
            </w:pPr>
            <w:r>
              <w:rPr>
                <w:rFonts w:ascii="宋体" w:hAnsi="宋体" w:eastAsia="宋体"/>
                <w:sz w:val="16"/>
              </w:rPr>
              <w:t>2023年安全生产奖励资金项目</w:t>
            </w:r>
          </w:p>
        </w:tc>
      </w:tr>
      <w:tr w14:paraId="47E4ED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C3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E3C54">
            <w:pPr>
              <w:jc w:val="center"/>
            </w:pPr>
            <w:r>
              <w:rPr>
                <w:rFonts w:ascii="宋体" w:hAnsi="宋体" w:eastAsia="宋体"/>
                <w:sz w:val="16"/>
              </w:rPr>
              <w:t>英吉沙县应急管理局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48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54BF5B">
            <w:pPr>
              <w:jc w:val="center"/>
            </w:pPr>
            <w:r>
              <w:rPr>
                <w:rFonts w:ascii="宋体" w:hAnsi="宋体" w:eastAsia="宋体"/>
                <w:sz w:val="16"/>
              </w:rPr>
              <w:t>英吉沙县应急管理局</w:t>
            </w:r>
          </w:p>
        </w:tc>
      </w:tr>
      <w:tr w14:paraId="4A726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649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7E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752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8F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F24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8C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C03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71C2">
            <w:pPr>
              <w:jc w:val="center"/>
            </w:pPr>
            <w:r>
              <w:rPr>
                <w:rFonts w:ascii="宋体" w:hAnsi="宋体" w:eastAsia="宋体"/>
                <w:sz w:val="16"/>
              </w:rPr>
              <w:t>得分</w:t>
            </w:r>
          </w:p>
        </w:tc>
      </w:tr>
      <w:tr w14:paraId="48226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BD9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1A6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1D2F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C5A1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66D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9D2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70B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AA52">
            <w:pPr>
              <w:jc w:val="center"/>
            </w:pPr>
            <w:r>
              <w:rPr>
                <w:rFonts w:ascii="宋体" w:hAnsi="宋体" w:eastAsia="宋体"/>
                <w:sz w:val="16"/>
              </w:rPr>
              <w:t>10.00分</w:t>
            </w:r>
          </w:p>
        </w:tc>
      </w:tr>
      <w:tr w14:paraId="733D7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8C1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6D3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7946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E815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596F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BC9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102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D2D2">
            <w:pPr>
              <w:jc w:val="center"/>
            </w:pPr>
            <w:r>
              <w:rPr>
                <w:rFonts w:ascii="宋体" w:hAnsi="宋体" w:eastAsia="宋体"/>
                <w:sz w:val="16"/>
              </w:rPr>
              <w:t>—</w:t>
            </w:r>
          </w:p>
        </w:tc>
      </w:tr>
      <w:tr w14:paraId="03548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747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08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635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4F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E8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A3D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CDA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D6CF">
            <w:pPr>
              <w:jc w:val="center"/>
            </w:pPr>
            <w:r>
              <w:rPr>
                <w:rFonts w:ascii="宋体" w:hAnsi="宋体" w:eastAsia="宋体"/>
                <w:sz w:val="16"/>
              </w:rPr>
              <w:t>—</w:t>
            </w:r>
          </w:p>
        </w:tc>
      </w:tr>
      <w:tr w14:paraId="4142BD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047E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6A4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3A3015">
            <w:pPr>
              <w:jc w:val="center"/>
            </w:pPr>
            <w:r>
              <w:rPr>
                <w:rFonts w:ascii="宋体" w:hAnsi="宋体" w:eastAsia="宋体"/>
                <w:sz w:val="16"/>
              </w:rPr>
              <w:t>实际完成情况</w:t>
            </w:r>
          </w:p>
        </w:tc>
      </w:tr>
      <w:tr w14:paraId="12F08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430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323CC">
            <w:pPr>
              <w:jc w:val="both"/>
            </w:pPr>
            <w:r>
              <w:rPr>
                <w:rFonts w:ascii="宋体" w:hAnsi="宋体" w:eastAsia="宋体"/>
                <w:sz w:val="16"/>
              </w:rPr>
              <w:t>该项目计划投入资金5万元，1.用于支付2021年购买的应急系统安全生产监督指挥部相关设备的部分购买款；2.用于开展“安全生产月”系列宣传活动，制作安全生产宣传手册等宣传资料一批，大力开展安全生产方针政策，</w:t>
            </w:r>
            <w:r>
              <w:rPr>
                <w:rFonts w:hint="eastAsia" w:ascii="宋体" w:hAnsi="宋体"/>
                <w:sz w:val="16"/>
                <w:lang w:eastAsia="zh-CN"/>
              </w:rPr>
              <w:t>法律法规</w:t>
            </w:r>
            <w:r>
              <w:rPr>
                <w:rFonts w:ascii="宋体" w:hAnsi="宋体" w:eastAsia="宋体"/>
                <w:sz w:val="16"/>
              </w:rPr>
              <w:t>，应急救援和安全知识等各类宣传活动。项目的实施，有效开展安全生产监督指挥调度工作；提高群众安全意识，普及自然灾害自救互救避险逃生技能，进一步防范应急突发状况、保障人民生命财产安全。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8EA3F">
            <w:pPr>
              <w:jc w:val="both"/>
            </w:pPr>
            <w:r>
              <w:rPr>
                <w:rFonts w:hint="eastAsia" w:ascii="宋体" w:hAnsi="宋体"/>
                <w:sz w:val="16"/>
                <w:lang w:eastAsia="zh-CN"/>
              </w:rPr>
              <w:t>截至</w:t>
            </w:r>
            <w:r>
              <w:rPr>
                <w:rFonts w:ascii="宋体" w:hAnsi="宋体" w:eastAsia="宋体"/>
                <w:sz w:val="16"/>
              </w:rPr>
              <w:t>2024年12月31日，该项目执行资金5万元，用于支付2021年购买的应急系统安全生产监督指挥部相关设备的部分购买款3.7万元；用于开展“安全生产月”系列宣传活动，制作安全生产宣传手册等宣传资料一批，共计1.3万元。重点开展了安全生产方针政策，</w:t>
            </w:r>
            <w:r>
              <w:rPr>
                <w:rFonts w:hint="eastAsia" w:ascii="宋体" w:hAnsi="宋体"/>
                <w:sz w:val="16"/>
                <w:lang w:eastAsia="zh-CN"/>
              </w:rPr>
              <w:t>法律法规</w:t>
            </w:r>
            <w:r>
              <w:rPr>
                <w:rFonts w:ascii="宋体" w:hAnsi="宋体" w:eastAsia="宋体"/>
                <w:sz w:val="16"/>
              </w:rPr>
              <w:t>，应急救援和安全知识等各类宣传活动，共支付宣传资料印制费1.3万元，该项目已全部实施完成。通过利用人员集中优势，向群众发放宣传海报、宣传册、安全演练等形式，公众安全意识得到不断提高；通过警示教育等方式，让公众深刻认识到安全生产的重要性，增强了自我保护意识和能力；安全月专项行动中，通过宣传，社会各界对安全生产的重视程度显著提高，形成了政府主导、企业负责、社会参与的安全生产工作格局。</w:t>
            </w:r>
          </w:p>
        </w:tc>
      </w:tr>
      <w:tr w14:paraId="46408C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380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63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E1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7F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A6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0C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A7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F0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33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27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76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78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54941">
            <w:pPr>
              <w:jc w:val="center"/>
            </w:pPr>
            <w:r>
              <w:rPr>
                <w:rFonts w:ascii="宋体" w:hAnsi="宋体" w:eastAsia="宋体"/>
                <w:sz w:val="16"/>
              </w:rPr>
              <w:t>偏差原因分析及改进措施</w:t>
            </w:r>
          </w:p>
        </w:tc>
      </w:tr>
      <w:tr w14:paraId="2A85C3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887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7B9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6CD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9857">
            <w:pPr>
              <w:jc w:val="center"/>
            </w:pPr>
            <w:r>
              <w:rPr>
                <w:rFonts w:ascii="宋体" w:hAnsi="宋体" w:eastAsia="宋体"/>
                <w:sz w:val="16"/>
              </w:rPr>
              <w:t>支付2021购置相关设备尾款合同数量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069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B3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B4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81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9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7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69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8E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AD0EB">
            <w:pPr>
              <w:jc w:val="center"/>
            </w:pPr>
          </w:p>
        </w:tc>
      </w:tr>
      <w:tr w14:paraId="7F178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CE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87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7E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6B4A">
            <w:pPr>
              <w:jc w:val="center"/>
            </w:pPr>
            <w:r>
              <w:rPr>
                <w:rFonts w:ascii="宋体" w:hAnsi="宋体" w:eastAsia="宋体"/>
                <w:sz w:val="16"/>
              </w:rPr>
              <w:t>制作安全生产宣传手册等宣传资料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1950">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5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5D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3E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7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F6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B35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7B5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CF92B">
            <w:pPr>
              <w:jc w:val="center"/>
            </w:pPr>
          </w:p>
        </w:tc>
      </w:tr>
      <w:tr w14:paraId="70A76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90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07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AC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09AA">
            <w:pPr>
              <w:jc w:val="center"/>
            </w:pPr>
            <w:r>
              <w:rPr>
                <w:rFonts w:ascii="宋体" w:hAnsi="宋体" w:eastAsia="宋体"/>
                <w:sz w:val="16"/>
              </w:rPr>
              <w:t>制作宣传材料验收合格率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B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15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29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A9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5F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01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8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83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37EA5">
            <w:pPr>
              <w:jc w:val="center"/>
            </w:pPr>
          </w:p>
        </w:tc>
      </w:tr>
      <w:tr w14:paraId="00B48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2DB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CC8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27D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2E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BC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4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4C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07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C5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39C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7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A9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CDD5F">
            <w:pPr>
              <w:jc w:val="center"/>
            </w:pPr>
          </w:p>
        </w:tc>
      </w:tr>
      <w:tr w14:paraId="6508E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C6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D57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0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41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531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3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2F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5D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A2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50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91C3">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C77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9300">
            <w:pPr>
              <w:jc w:val="center"/>
            </w:pPr>
          </w:p>
        </w:tc>
      </w:tr>
      <w:tr w14:paraId="7E1F0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4A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8ED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AB7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9C43">
            <w:pPr>
              <w:jc w:val="center"/>
            </w:pPr>
            <w:r>
              <w:rPr>
                <w:rFonts w:ascii="宋体" w:hAnsi="宋体" w:eastAsia="宋体"/>
                <w:sz w:val="16"/>
              </w:rPr>
              <w:t>支付购置相关设备尾款成本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69F6">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84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F6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3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F1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D9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70B7">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351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5FF3">
            <w:pPr>
              <w:jc w:val="center"/>
            </w:pPr>
          </w:p>
        </w:tc>
      </w:tr>
      <w:tr w14:paraId="5A312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D5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3C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FF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C133">
            <w:pPr>
              <w:jc w:val="center"/>
            </w:pPr>
            <w:r>
              <w:rPr>
                <w:rFonts w:ascii="宋体" w:hAnsi="宋体" w:eastAsia="宋体"/>
                <w:sz w:val="16"/>
              </w:rPr>
              <w:t>支付制作安全生产宣传手册等宣传资料成本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6BD3">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02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BD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42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4D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A6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201A">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D9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089B3">
            <w:pPr>
              <w:jc w:val="center"/>
            </w:pPr>
          </w:p>
        </w:tc>
      </w:tr>
      <w:tr w14:paraId="08F97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CD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DD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15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CCA2">
            <w:pPr>
              <w:jc w:val="center"/>
            </w:pPr>
            <w:r>
              <w:rPr>
                <w:rFonts w:ascii="宋体" w:hAnsi="宋体" w:eastAsia="宋体"/>
                <w:sz w:val="16"/>
              </w:rPr>
              <w:t>提高群众安全意识，普及自然灾害自救互救避险逃生技能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81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B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C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5A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CA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DB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52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D8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84930">
            <w:pPr>
              <w:jc w:val="center"/>
            </w:pPr>
          </w:p>
        </w:tc>
      </w:tr>
      <w:tr w14:paraId="1D3D4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12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92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8C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C5FC">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A1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B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C2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4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96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F6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1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6B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BC06B">
            <w:pPr>
              <w:jc w:val="center"/>
            </w:pPr>
            <w:r>
              <w:rPr>
                <w:rFonts w:ascii="宋体" w:hAnsi="宋体" w:eastAsia="宋体"/>
                <w:sz w:val="16"/>
              </w:rPr>
              <w:t>项目完成较好导致。</w:t>
            </w:r>
          </w:p>
        </w:tc>
      </w:tr>
      <w:tr w14:paraId="5F089F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E9D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7A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AC4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C2D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F2B0C2"/>
        </w:tc>
      </w:tr>
    </w:tbl>
    <w:p w14:paraId="700DE4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013EADF">
        <w:tblPrEx>
          <w:tblCellMar>
            <w:top w:w="0" w:type="dxa"/>
            <w:left w:w="108" w:type="dxa"/>
            <w:bottom w:w="0" w:type="dxa"/>
            <w:right w:w="108" w:type="dxa"/>
          </w:tblCellMar>
        </w:tblPrEx>
        <w:tc>
          <w:tcPr>
            <w:tcW w:w="8848" w:type="dxa"/>
            <w:gridSpan w:val="14"/>
            <w:vAlign w:val="center"/>
          </w:tcPr>
          <w:p w14:paraId="515E01EE">
            <w:pPr>
              <w:jc w:val="center"/>
            </w:pPr>
            <w:r>
              <w:rPr>
                <w:rFonts w:ascii="宋体" w:hAnsi="宋体" w:eastAsia="宋体"/>
                <w:sz w:val="24"/>
              </w:rPr>
              <w:t>项目支出绩效自评表</w:t>
            </w:r>
          </w:p>
        </w:tc>
      </w:tr>
      <w:tr w14:paraId="7B409F45">
        <w:tblPrEx>
          <w:tblCellMar>
            <w:top w:w="0" w:type="dxa"/>
            <w:left w:w="108" w:type="dxa"/>
            <w:bottom w:w="0" w:type="dxa"/>
            <w:right w:w="108" w:type="dxa"/>
          </w:tblCellMar>
        </w:tblPrEx>
        <w:tc>
          <w:tcPr>
            <w:tcW w:w="8848" w:type="dxa"/>
            <w:gridSpan w:val="14"/>
            <w:vAlign w:val="center"/>
          </w:tcPr>
          <w:p w14:paraId="4998C1BA">
            <w:pPr>
              <w:jc w:val="center"/>
            </w:pPr>
            <w:r>
              <w:rPr>
                <w:rFonts w:ascii="宋体" w:hAnsi="宋体" w:eastAsia="宋体"/>
                <w:sz w:val="24"/>
              </w:rPr>
              <w:t>(2024年度)</w:t>
            </w:r>
          </w:p>
        </w:tc>
      </w:tr>
      <w:tr w14:paraId="76F835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1D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A6A472">
            <w:pPr>
              <w:jc w:val="center"/>
            </w:pPr>
            <w:r>
              <w:rPr>
                <w:rFonts w:ascii="宋体" w:hAnsi="宋体" w:eastAsia="宋体"/>
                <w:sz w:val="16"/>
              </w:rPr>
              <w:t>英吉沙县应急管理局2024年基本公用经费项目</w:t>
            </w:r>
          </w:p>
        </w:tc>
      </w:tr>
      <w:tr w14:paraId="6B420F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69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10B701">
            <w:pPr>
              <w:jc w:val="center"/>
            </w:pPr>
            <w:r>
              <w:rPr>
                <w:rFonts w:ascii="宋体" w:hAnsi="宋体" w:eastAsia="宋体"/>
                <w:sz w:val="16"/>
              </w:rPr>
              <w:t>英吉沙县应急管理局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63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B1321A">
            <w:pPr>
              <w:jc w:val="center"/>
            </w:pPr>
            <w:r>
              <w:rPr>
                <w:rFonts w:ascii="宋体" w:hAnsi="宋体" w:eastAsia="宋体"/>
                <w:sz w:val="16"/>
              </w:rPr>
              <w:t>英吉沙县应急管理局</w:t>
            </w:r>
          </w:p>
        </w:tc>
      </w:tr>
      <w:tr w14:paraId="15BB47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FBC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DE1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02A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27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DFC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D46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3C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82BC">
            <w:pPr>
              <w:jc w:val="center"/>
            </w:pPr>
            <w:r>
              <w:rPr>
                <w:rFonts w:ascii="宋体" w:hAnsi="宋体" w:eastAsia="宋体"/>
                <w:sz w:val="16"/>
              </w:rPr>
              <w:t>得分</w:t>
            </w:r>
          </w:p>
        </w:tc>
      </w:tr>
      <w:tr w14:paraId="5FC53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34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8C2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F3AC5">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ED47A">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2F00">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2C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923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205E">
            <w:pPr>
              <w:jc w:val="center"/>
            </w:pPr>
            <w:r>
              <w:rPr>
                <w:rFonts w:ascii="宋体" w:hAnsi="宋体" w:eastAsia="宋体"/>
                <w:sz w:val="16"/>
              </w:rPr>
              <w:t>10.00分</w:t>
            </w:r>
          </w:p>
        </w:tc>
      </w:tr>
      <w:tr w14:paraId="7D799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CAA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432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17AF">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810B6">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62BBA">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A4C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BC8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413A">
            <w:pPr>
              <w:jc w:val="center"/>
            </w:pPr>
            <w:r>
              <w:rPr>
                <w:rFonts w:ascii="宋体" w:hAnsi="宋体" w:eastAsia="宋体"/>
                <w:sz w:val="16"/>
              </w:rPr>
              <w:t>—</w:t>
            </w:r>
          </w:p>
        </w:tc>
      </w:tr>
      <w:tr w14:paraId="1DA87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93F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E29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BFD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562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D5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AA7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CE7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5BB6">
            <w:pPr>
              <w:jc w:val="center"/>
            </w:pPr>
            <w:r>
              <w:rPr>
                <w:rFonts w:ascii="宋体" w:hAnsi="宋体" w:eastAsia="宋体"/>
                <w:sz w:val="16"/>
              </w:rPr>
              <w:t>—</w:t>
            </w:r>
          </w:p>
        </w:tc>
      </w:tr>
      <w:tr w14:paraId="503514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318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BE1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E023A0">
            <w:pPr>
              <w:jc w:val="center"/>
            </w:pPr>
            <w:r>
              <w:rPr>
                <w:rFonts w:ascii="宋体" w:hAnsi="宋体" w:eastAsia="宋体"/>
                <w:sz w:val="16"/>
              </w:rPr>
              <w:t>实际完成情况</w:t>
            </w:r>
          </w:p>
        </w:tc>
      </w:tr>
      <w:tr w14:paraId="7818E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93A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240274">
            <w:pPr>
              <w:jc w:val="both"/>
            </w:pPr>
            <w:r>
              <w:rPr>
                <w:rFonts w:ascii="宋体" w:hAnsi="宋体" w:eastAsia="宋体"/>
                <w:sz w:val="16"/>
              </w:rPr>
              <w:t>该项目计划投入资金6.99万元，1.用于支付2023年8月-2024年12月应急指挥中心电子政务外网、应急视频会议系统网络费及各类通讯费；2.用于支付2024年4月-7月水电费。该项目的实施有利于</w:t>
            </w:r>
            <w:r>
              <w:rPr>
                <w:rFonts w:hint="eastAsia" w:ascii="宋体" w:hAnsi="宋体"/>
                <w:sz w:val="16"/>
                <w:lang w:eastAsia="zh-CN"/>
              </w:rPr>
              <w:t>本单位</w:t>
            </w:r>
            <w:r>
              <w:rPr>
                <w:rFonts w:ascii="宋体" w:hAnsi="宋体" w:eastAsia="宋体"/>
                <w:sz w:val="16"/>
              </w:rPr>
              <w:t>各项工作的正常开展、并保障了</w:t>
            </w:r>
            <w:r>
              <w:rPr>
                <w:rFonts w:hint="eastAsia" w:ascii="宋体" w:hAnsi="宋体"/>
                <w:sz w:val="16"/>
                <w:lang w:eastAsia="zh-CN"/>
              </w:rPr>
              <w:t>本单位</w:t>
            </w:r>
            <w:r>
              <w:rPr>
                <w:rFonts w:ascii="宋体" w:hAnsi="宋体" w:eastAsia="宋体"/>
                <w:sz w:val="16"/>
              </w:rPr>
              <w:t>机关的正常运转。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0367AA">
            <w:pPr>
              <w:jc w:val="both"/>
            </w:pPr>
            <w:r>
              <w:rPr>
                <w:rFonts w:hint="eastAsia" w:ascii="宋体" w:hAnsi="宋体"/>
                <w:sz w:val="16"/>
                <w:lang w:eastAsia="zh-CN"/>
              </w:rPr>
              <w:t>截至</w:t>
            </w:r>
            <w:r>
              <w:rPr>
                <w:rFonts w:ascii="宋体" w:hAnsi="宋体" w:eastAsia="宋体"/>
                <w:sz w:val="16"/>
              </w:rPr>
              <w:t>2024年12</w:t>
            </w:r>
            <w:r>
              <w:rPr>
                <w:rFonts w:hint="eastAsia" w:ascii="宋体" w:hAnsi="宋体"/>
                <w:sz w:val="16"/>
                <w:lang w:eastAsia="zh-CN"/>
              </w:rPr>
              <w:t>月</w:t>
            </w:r>
            <w:r>
              <w:rPr>
                <w:rFonts w:ascii="宋体" w:hAnsi="宋体" w:eastAsia="宋体"/>
                <w:sz w:val="16"/>
              </w:rPr>
              <w:t>31日，该项目执行资金6.99万元，用于支付各类网络费及通讯费17个月，支付电费的月数4个月，支付水费的月数4个月。该项目的实施，有效保障了</w:t>
            </w:r>
            <w:r>
              <w:rPr>
                <w:rFonts w:hint="eastAsia" w:ascii="宋体" w:hAnsi="宋体"/>
                <w:sz w:val="16"/>
                <w:lang w:eastAsia="zh-CN"/>
              </w:rPr>
              <w:t>本单位</w:t>
            </w:r>
            <w:r>
              <w:rPr>
                <w:rFonts w:ascii="宋体" w:hAnsi="宋体" w:eastAsia="宋体"/>
                <w:sz w:val="16"/>
              </w:rPr>
              <w:t>应急指挥中心电子政务外网、应急视频会议系统、水电等各项工作的正常开展及正常运转。</w:t>
            </w:r>
          </w:p>
        </w:tc>
      </w:tr>
      <w:tr w14:paraId="64BABA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436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E5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49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FC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78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00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0A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64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D3D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EA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FD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97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B49EA">
            <w:pPr>
              <w:jc w:val="center"/>
            </w:pPr>
            <w:r>
              <w:rPr>
                <w:rFonts w:ascii="宋体" w:hAnsi="宋体" w:eastAsia="宋体"/>
                <w:sz w:val="16"/>
              </w:rPr>
              <w:t>偏差原因分析及改进措施</w:t>
            </w:r>
          </w:p>
        </w:tc>
      </w:tr>
      <w:tr w14:paraId="3D8642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D11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0B2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639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1911">
            <w:pPr>
              <w:jc w:val="center"/>
            </w:pPr>
            <w:r>
              <w:rPr>
                <w:rFonts w:ascii="宋体" w:hAnsi="宋体" w:eastAsia="宋体"/>
                <w:sz w:val="16"/>
              </w:rPr>
              <w:t>支付各类网络费及通讯费的月数（月）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DBAE">
            <w:pPr>
              <w:jc w:val="center"/>
            </w:pPr>
            <w:r>
              <w:rPr>
                <w:rFonts w:ascii="宋体" w:hAnsi="宋体" w:eastAsia="宋体"/>
                <w:sz w:val="16"/>
              </w:rPr>
              <w:t>&gt;=12月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E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51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97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81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3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DEF7">
            <w:pPr>
              <w:jc w:val="center"/>
            </w:pPr>
            <w:r>
              <w:rPr>
                <w:rFonts w:ascii="宋体" w:hAnsi="宋体" w:eastAsia="宋体"/>
                <w:sz w:val="16"/>
              </w:rPr>
              <w:t>=17月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BEEF">
            <w:pPr>
              <w:jc w:val="center"/>
            </w:pPr>
            <w:r>
              <w:rPr>
                <w:rFonts w:ascii="宋体" w:hAnsi="宋体" w:eastAsia="宋体"/>
                <w:sz w:val="16"/>
              </w:rPr>
              <w:t>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4D79">
            <w:pPr>
              <w:jc w:val="center"/>
            </w:pPr>
            <w:r>
              <w:rPr>
                <w:rFonts w:ascii="宋体" w:hAnsi="宋体" w:eastAsia="宋体"/>
                <w:sz w:val="16"/>
              </w:rPr>
              <w:t>偏差原因：2023年8月-12月网络和通讯费本应由县政府承担，因单位办公地址搬迁，</w:t>
            </w:r>
            <w:r>
              <w:rPr>
                <w:rFonts w:hint="eastAsia" w:ascii="宋体" w:hAnsi="宋体"/>
                <w:sz w:val="16"/>
                <w:lang w:eastAsia="zh-CN"/>
              </w:rPr>
              <w:t>未做</w:t>
            </w:r>
            <w:r>
              <w:rPr>
                <w:rFonts w:ascii="宋体" w:hAnsi="宋体" w:eastAsia="宋体"/>
                <w:sz w:val="16"/>
              </w:rPr>
              <w:t>年初预算，后由应急管理局承担。改进措施：做好年初预算。</w:t>
            </w:r>
          </w:p>
        </w:tc>
      </w:tr>
      <w:tr w14:paraId="2D339A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539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16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F6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8370">
            <w:pPr>
              <w:jc w:val="center"/>
            </w:pPr>
            <w:r>
              <w:rPr>
                <w:rFonts w:ascii="宋体" w:hAnsi="宋体" w:eastAsia="宋体"/>
                <w:sz w:val="16"/>
              </w:rPr>
              <w:t>支付电费的月数（月）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05CC">
            <w:pPr>
              <w:jc w:val="center"/>
            </w:pPr>
            <w:r>
              <w:rPr>
                <w:rFonts w:ascii="宋体" w:hAnsi="宋体" w:eastAsia="宋体"/>
                <w:sz w:val="16"/>
              </w:rPr>
              <w:t>&gt;=4月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9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6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C9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C6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00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A938">
            <w:pPr>
              <w:jc w:val="center"/>
            </w:pPr>
            <w:r>
              <w:rPr>
                <w:rFonts w:ascii="宋体" w:hAnsi="宋体" w:eastAsia="宋体"/>
                <w:sz w:val="16"/>
              </w:rPr>
              <w:t>=4月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22C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3B35">
            <w:pPr>
              <w:jc w:val="center"/>
            </w:pPr>
          </w:p>
        </w:tc>
      </w:tr>
      <w:tr w14:paraId="09678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71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78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D5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4862">
            <w:pPr>
              <w:jc w:val="center"/>
            </w:pPr>
            <w:r>
              <w:rPr>
                <w:rFonts w:ascii="宋体" w:hAnsi="宋体" w:eastAsia="宋体"/>
                <w:sz w:val="16"/>
              </w:rPr>
              <w:t>支付水费的月数（月）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D2A9">
            <w:pPr>
              <w:jc w:val="center"/>
            </w:pPr>
            <w:r>
              <w:rPr>
                <w:rFonts w:ascii="宋体" w:hAnsi="宋体" w:eastAsia="宋体"/>
                <w:sz w:val="16"/>
              </w:rPr>
              <w:t>&gt;=4月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C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5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E0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48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A2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BF14">
            <w:pPr>
              <w:jc w:val="center"/>
            </w:pPr>
            <w:r>
              <w:rPr>
                <w:rFonts w:ascii="宋体" w:hAnsi="宋体" w:eastAsia="宋体"/>
                <w:sz w:val="16"/>
              </w:rPr>
              <w:t>=4月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FA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2BC8B">
            <w:pPr>
              <w:jc w:val="center"/>
            </w:pPr>
          </w:p>
        </w:tc>
      </w:tr>
      <w:tr w14:paraId="2817E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3E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06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B4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7487">
            <w:pPr>
              <w:jc w:val="center"/>
            </w:pPr>
            <w:r>
              <w:rPr>
                <w:rFonts w:ascii="宋体" w:hAnsi="宋体" w:eastAsia="宋体"/>
                <w:sz w:val="16"/>
              </w:rPr>
              <w:t>经费足额保障率（%）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80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4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3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6A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CB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DD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6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750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2A5C">
            <w:pPr>
              <w:jc w:val="center"/>
            </w:pPr>
          </w:p>
        </w:tc>
      </w:tr>
      <w:tr w14:paraId="53DA3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3D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4D1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1DC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5BA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55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3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A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6F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F3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BE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0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717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AD630">
            <w:pPr>
              <w:jc w:val="center"/>
            </w:pPr>
          </w:p>
        </w:tc>
      </w:tr>
      <w:tr w14:paraId="070CF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20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ED1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0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904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730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D8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3D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3D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AC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8D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7FA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453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FFF3">
            <w:pPr>
              <w:jc w:val="center"/>
            </w:pPr>
          </w:p>
        </w:tc>
      </w:tr>
      <w:tr w14:paraId="343F4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485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A57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290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46C2">
            <w:pPr>
              <w:jc w:val="center"/>
            </w:pPr>
            <w:r>
              <w:rPr>
                <w:rFonts w:ascii="宋体" w:hAnsi="宋体" w:eastAsia="宋体"/>
                <w:sz w:val="16"/>
              </w:rPr>
              <w:t>支付各类网络费及通讯费成本（万元）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E224">
            <w:pPr>
              <w:jc w:val="center"/>
            </w:pPr>
            <w:r>
              <w:rPr>
                <w:rFonts w:ascii="宋体" w:hAnsi="宋体" w:eastAsia="宋体"/>
                <w:sz w:val="16"/>
              </w:rPr>
              <w:t>&lt;=5.29万元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F4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96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E0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E2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71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9876">
            <w:pPr>
              <w:jc w:val="center"/>
            </w:pPr>
            <w:r>
              <w:rPr>
                <w:rFonts w:ascii="宋体" w:hAnsi="宋体" w:eastAsia="宋体"/>
                <w:sz w:val="16"/>
              </w:rPr>
              <w:t>=5.29万元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71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20B95">
            <w:pPr>
              <w:jc w:val="center"/>
            </w:pPr>
          </w:p>
        </w:tc>
      </w:tr>
      <w:tr w14:paraId="381DA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A0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A53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62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B98F">
            <w:pPr>
              <w:jc w:val="center"/>
            </w:pPr>
            <w:r>
              <w:rPr>
                <w:rFonts w:ascii="宋体" w:hAnsi="宋体" w:eastAsia="宋体"/>
                <w:sz w:val="16"/>
              </w:rPr>
              <w:t>支付电费的成本（万元）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5DC6">
            <w:pPr>
              <w:jc w:val="center"/>
            </w:pPr>
            <w:r>
              <w:rPr>
                <w:rFonts w:ascii="宋体" w:hAnsi="宋体" w:eastAsia="宋体"/>
                <w:sz w:val="16"/>
              </w:rPr>
              <w:t>&lt;=1.16万元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7F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49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F1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6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D5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86F0">
            <w:pPr>
              <w:jc w:val="center"/>
            </w:pPr>
            <w:r>
              <w:rPr>
                <w:rFonts w:ascii="宋体" w:hAnsi="宋体" w:eastAsia="宋体"/>
                <w:sz w:val="16"/>
              </w:rPr>
              <w: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52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5931">
            <w:pPr>
              <w:jc w:val="center"/>
            </w:pPr>
          </w:p>
        </w:tc>
      </w:tr>
      <w:tr w14:paraId="34D34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2B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50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91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3AEC">
            <w:pPr>
              <w:jc w:val="center"/>
            </w:pPr>
            <w:r>
              <w:rPr>
                <w:rFonts w:ascii="宋体" w:hAnsi="宋体" w:eastAsia="宋体"/>
                <w:sz w:val="16"/>
              </w:rPr>
              <w:t>支付水费的成本（万元）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9D8E">
            <w:pPr>
              <w:jc w:val="center"/>
            </w:pPr>
            <w:r>
              <w:rPr>
                <w:rFonts w:ascii="宋体" w:hAnsi="宋体" w:eastAsia="宋体"/>
                <w:sz w:val="16"/>
              </w:rPr>
              <w:t>&lt;=0.54万元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6E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95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85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7E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88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DAD0">
            <w:pPr>
              <w:jc w:val="center"/>
            </w:pPr>
            <w:r>
              <w:rPr>
                <w:rFonts w:ascii="宋体" w:hAnsi="宋体" w:eastAsia="宋体"/>
                <w:sz w:val="16"/>
              </w:rPr>
              <w: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EE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ACB9">
            <w:pPr>
              <w:jc w:val="center"/>
            </w:pPr>
          </w:p>
        </w:tc>
      </w:tr>
      <w:tr w14:paraId="58CBF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E8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CB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56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45C2">
            <w:pPr>
              <w:jc w:val="center"/>
            </w:pPr>
            <w:r>
              <w:rPr>
                <w:rFonts w:ascii="宋体" w:hAnsi="宋体" w:eastAsia="宋体"/>
                <w:sz w:val="16"/>
              </w:rPr>
              <w:t>保障</w:t>
            </w:r>
            <w:r>
              <w:rPr>
                <w:rFonts w:hint="eastAsia" w:ascii="宋体" w:hAnsi="宋体"/>
                <w:sz w:val="16"/>
                <w:lang w:eastAsia="zh-CN"/>
              </w:rPr>
              <w:t>本单位</w:t>
            </w:r>
            <w:r>
              <w:rPr>
                <w:rFonts w:ascii="宋体" w:hAnsi="宋体" w:eastAsia="宋体"/>
                <w:sz w:val="16"/>
              </w:rPr>
              <w:t>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259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8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21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7D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8B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9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35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A3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98777">
            <w:pPr>
              <w:jc w:val="center"/>
            </w:pPr>
          </w:p>
        </w:tc>
      </w:tr>
      <w:tr w14:paraId="59022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29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16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74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1AD1">
            <w:pPr>
              <w:jc w:val="center"/>
            </w:pPr>
            <w:r>
              <w:rPr>
                <w:rFonts w:ascii="宋体" w:hAnsi="宋体" w:eastAsia="宋体"/>
                <w:sz w:val="16"/>
              </w:rPr>
              <w:t>受益单位人员满意度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02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3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4C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DB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18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7A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88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50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36A9A">
            <w:pPr>
              <w:jc w:val="center"/>
            </w:pPr>
            <w:r>
              <w:rPr>
                <w:rFonts w:ascii="宋体" w:hAnsi="宋体" w:eastAsia="宋体"/>
                <w:sz w:val="16"/>
              </w:rPr>
              <w:t>偏差原因：项目完成效果较好，单位人员都很满意。</w:t>
            </w:r>
          </w:p>
        </w:tc>
      </w:tr>
      <w:tr w14:paraId="39C78D5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EC3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B1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1D7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1CBF">
            <w:pPr>
              <w:jc w:val="center"/>
            </w:pPr>
            <w:r>
              <w:rPr>
                <w:rFonts w:ascii="宋体" w:hAnsi="宋体" w:eastAsia="宋体"/>
                <w:sz w:val="16"/>
              </w:rPr>
              <w:t>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ADAD10"/>
        </w:tc>
      </w:tr>
    </w:tbl>
    <w:p w14:paraId="2EF1AD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93B63EE">
        <w:tblPrEx>
          <w:tblCellMar>
            <w:top w:w="0" w:type="dxa"/>
            <w:left w:w="108" w:type="dxa"/>
            <w:bottom w:w="0" w:type="dxa"/>
            <w:right w:w="108" w:type="dxa"/>
          </w:tblCellMar>
        </w:tblPrEx>
        <w:tc>
          <w:tcPr>
            <w:tcW w:w="8848" w:type="dxa"/>
            <w:gridSpan w:val="14"/>
            <w:vAlign w:val="center"/>
          </w:tcPr>
          <w:p w14:paraId="3731FF28">
            <w:pPr>
              <w:jc w:val="center"/>
            </w:pPr>
            <w:r>
              <w:rPr>
                <w:rFonts w:ascii="宋体" w:hAnsi="宋体" w:eastAsia="宋体"/>
                <w:sz w:val="24"/>
              </w:rPr>
              <w:t>项目支出绩效自评表</w:t>
            </w:r>
          </w:p>
        </w:tc>
      </w:tr>
      <w:tr w14:paraId="18578EEF">
        <w:tblPrEx>
          <w:tblCellMar>
            <w:top w:w="0" w:type="dxa"/>
            <w:left w:w="108" w:type="dxa"/>
            <w:bottom w:w="0" w:type="dxa"/>
            <w:right w:w="108" w:type="dxa"/>
          </w:tblCellMar>
        </w:tblPrEx>
        <w:tc>
          <w:tcPr>
            <w:tcW w:w="8848" w:type="dxa"/>
            <w:gridSpan w:val="14"/>
            <w:vAlign w:val="center"/>
          </w:tcPr>
          <w:p w14:paraId="130A8E71">
            <w:pPr>
              <w:jc w:val="center"/>
            </w:pPr>
            <w:r>
              <w:rPr>
                <w:rFonts w:ascii="宋体" w:hAnsi="宋体" w:eastAsia="宋体"/>
                <w:sz w:val="24"/>
              </w:rPr>
              <w:t>(2024年度)</w:t>
            </w:r>
          </w:p>
        </w:tc>
      </w:tr>
      <w:tr w14:paraId="5D0879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88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92FBF0">
            <w:pPr>
              <w:jc w:val="center"/>
            </w:pPr>
            <w:r>
              <w:rPr>
                <w:rFonts w:ascii="宋体" w:hAnsi="宋体" w:eastAsia="宋体"/>
                <w:sz w:val="16"/>
              </w:rPr>
              <w:t>2023年中央自然灾害救灾资金项目</w:t>
            </w:r>
          </w:p>
        </w:tc>
      </w:tr>
      <w:tr w14:paraId="0EAB4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2E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FD9DD">
            <w:pPr>
              <w:jc w:val="center"/>
            </w:pPr>
            <w:r>
              <w:rPr>
                <w:rFonts w:ascii="宋体" w:hAnsi="宋体" w:eastAsia="宋体"/>
                <w:sz w:val="16"/>
              </w:rPr>
              <w:t>英吉沙县应急管理局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5F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AD4C6E">
            <w:pPr>
              <w:jc w:val="center"/>
            </w:pPr>
            <w:r>
              <w:rPr>
                <w:rFonts w:ascii="宋体" w:hAnsi="宋体" w:eastAsia="宋体"/>
                <w:sz w:val="16"/>
              </w:rPr>
              <w:t>英吉沙县应急管理局</w:t>
            </w:r>
          </w:p>
        </w:tc>
      </w:tr>
      <w:tr w14:paraId="3BB2FA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971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93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65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BA1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B4B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60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380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1A43">
            <w:pPr>
              <w:jc w:val="center"/>
            </w:pPr>
            <w:r>
              <w:rPr>
                <w:rFonts w:ascii="宋体" w:hAnsi="宋体" w:eastAsia="宋体"/>
                <w:sz w:val="16"/>
              </w:rPr>
              <w:t>得分</w:t>
            </w:r>
          </w:p>
        </w:tc>
      </w:tr>
      <w:tr w14:paraId="0ABF3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932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2B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B7F02">
            <w:pPr>
              <w:jc w:val="center"/>
            </w:pPr>
            <w:r>
              <w:rPr>
                <w:rFonts w:ascii="宋体" w:hAnsi="宋体" w:eastAsia="宋体"/>
                <w:sz w:val="16"/>
              </w:rPr>
              <w:t>354.49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1DB0B">
            <w:pPr>
              <w:jc w:val="center"/>
            </w:pPr>
            <w:r>
              <w:rPr>
                <w:rFonts w:ascii="宋体" w:hAnsi="宋体" w:eastAsia="宋体"/>
                <w:sz w:val="16"/>
              </w:rPr>
              <w:t>354.49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CBB77">
            <w:pPr>
              <w:jc w:val="center"/>
            </w:pPr>
            <w:r>
              <w:rPr>
                <w:rFonts w:ascii="宋体" w:hAnsi="宋体" w:eastAsia="宋体"/>
                <w:sz w:val="16"/>
              </w:rPr>
              <w:t>354.49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12A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F61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CD0E">
            <w:pPr>
              <w:jc w:val="center"/>
            </w:pPr>
            <w:r>
              <w:rPr>
                <w:rFonts w:ascii="宋体" w:hAnsi="宋体" w:eastAsia="宋体"/>
                <w:sz w:val="16"/>
              </w:rPr>
              <w:t>10.00分</w:t>
            </w:r>
          </w:p>
        </w:tc>
      </w:tr>
      <w:tr w14:paraId="4C5B2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2FF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00D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7DF5">
            <w:pPr>
              <w:jc w:val="center"/>
            </w:pPr>
            <w:r>
              <w:rPr>
                <w:rFonts w:ascii="宋体" w:hAnsi="宋体" w:eastAsia="宋体"/>
                <w:sz w:val="16"/>
              </w:rPr>
              <w:t>354.49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8AE7D">
            <w:pPr>
              <w:jc w:val="center"/>
            </w:pPr>
            <w:r>
              <w:rPr>
                <w:rFonts w:ascii="宋体" w:hAnsi="宋体" w:eastAsia="宋体"/>
                <w:sz w:val="16"/>
              </w:rPr>
              <w:t>354.49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EEB2A">
            <w:pPr>
              <w:jc w:val="center"/>
            </w:pPr>
            <w:r>
              <w:rPr>
                <w:rFonts w:ascii="宋体" w:hAnsi="宋体" w:eastAsia="宋体"/>
                <w:sz w:val="16"/>
              </w:rPr>
              <w:t>354.49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F07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7D6B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2799">
            <w:pPr>
              <w:jc w:val="center"/>
            </w:pPr>
            <w:r>
              <w:rPr>
                <w:rFonts w:ascii="宋体" w:hAnsi="宋体" w:eastAsia="宋体"/>
                <w:sz w:val="16"/>
              </w:rPr>
              <w:t>—</w:t>
            </w:r>
          </w:p>
        </w:tc>
      </w:tr>
      <w:tr w14:paraId="2874C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C20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FFB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B4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36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B8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A20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896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9B64">
            <w:pPr>
              <w:jc w:val="center"/>
            </w:pPr>
            <w:r>
              <w:rPr>
                <w:rFonts w:ascii="宋体" w:hAnsi="宋体" w:eastAsia="宋体"/>
                <w:sz w:val="16"/>
              </w:rPr>
              <w:t>—</w:t>
            </w:r>
          </w:p>
        </w:tc>
      </w:tr>
      <w:tr w14:paraId="4E0053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0DA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271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0673AF">
            <w:pPr>
              <w:jc w:val="center"/>
            </w:pPr>
            <w:r>
              <w:rPr>
                <w:rFonts w:ascii="宋体" w:hAnsi="宋体" w:eastAsia="宋体"/>
                <w:sz w:val="16"/>
              </w:rPr>
              <w:t>实际完成情况</w:t>
            </w:r>
          </w:p>
        </w:tc>
      </w:tr>
      <w:tr w14:paraId="1E094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9E2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75358">
            <w:pPr>
              <w:jc w:val="both"/>
            </w:pPr>
            <w:r>
              <w:rPr>
                <w:rFonts w:ascii="宋体" w:hAnsi="宋体" w:eastAsia="宋体"/>
                <w:sz w:val="16"/>
              </w:rPr>
              <w:t>该项目计划投入总资金354.49万元，用于以470元/人的标准发放359个散供养特困、返贫监测等重点救助对象的救灾补助；以420元/人的标准发放3015个低保救助对象的救灾补助；以347元/人的标准发放6080个一般救助对象的救灾补助。有效保障全县受灾群众人员救助需求。预期受益补助人群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1CAA3D">
            <w:pPr>
              <w:jc w:val="both"/>
            </w:pPr>
            <w:r>
              <w:rPr>
                <w:rFonts w:ascii="宋体" w:hAnsi="宋体" w:eastAsia="宋体"/>
                <w:sz w:val="16"/>
              </w:rPr>
              <w:t>该项总资金为354.49万元，到位资金354.49万元，执行资金354.49万元，执行率为100%，用于英吉沙县2023年度中央自然灾害救灾资金，用于以470元/人的标准发放359个散供养特困、返贫监测等重点救助对象的救灾补助；以420元/人的标准发放3015个低保救助对象的救灾补助；以347元/人的标准发放6080个一般救助对象的救灾补助。该项目的实施保障了资金及时足额发放中央冬春救助及全县受灾群众人员救助需求。</w:t>
            </w:r>
          </w:p>
        </w:tc>
      </w:tr>
      <w:tr w14:paraId="3ED460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5725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0C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78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96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46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68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D6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58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C62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D2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0C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5B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6933E">
            <w:pPr>
              <w:jc w:val="center"/>
            </w:pPr>
            <w:r>
              <w:rPr>
                <w:rFonts w:ascii="宋体" w:hAnsi="宋体" w:eastAsia="宋体"/>
                <w:sz w:val="16"/>
              </w:rPr>
              <w:t>偏差原因分析及改进措施</w:t>
            </w:r>
          </w:p>
        </w:tc>
      </w:tr>
      <w:tr w14:paraId="47C8A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50C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602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76D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FE1C">
            <w:pPr>
              <w:jc w:val="center"/>
            </w:pPr>
            <w:r>
              <w:rPr>
                <w:rFonts w:ascii="宋体" w:hAnsi="宋体" w:eastAsia="宋体"/>
                <w:sz w:val="16"/>
              </w:rPr>
              <w:t>重点救助对象人数（人）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49FB">
            <w:pPr>
              <w:jc w:val="center"/>
            </w:pPr>
            <w:r>
              <w:rPr>
                <w:rFonts w:ascii="宋体" w:hAnsi="宋体" w:eastAsia="宋体"/>
                <w:sz w:val="16"/>
              </w:rPr>
              <w:t>&gt;=359人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2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46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19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FB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FA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0C0C">
            <w:pPr>
              <w:jc w:val="center"/>
            </w:pPr>
            <w:r>
              <w:rPr>
                <w:rFonts w:ascii="宋体" w:hAnsi="宋体" w:eastAsia="宋体"/>
                <w:sz w:val="16"/>
              </w:rPr>
              <w:t>=359人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E1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14051">
            <w:pPr>
              <w:jc w:val="center"/>
            </w:pPr>
          </w:p>
        </w:tc>
      </w:tr>
      <w:tr w14:paraId="2D931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DA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FD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9F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AB50">
            <w:pPr>
              <w:jc w:val="center"/>
            </w:pPr>
            <w:r>
              <w:rPr>
                <w:rFonts w:ascii="宋体" w:hAnsi="宋体" w:eastAsia="宋体"/>
                <w:sz w:val="16"/>
              </w:rPr>
              <w:t>低保救助对象人数（人）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0C5C">
            <w:pPr>
              <w:jc w:val="center"/>
            </w:pPr>
            <w:r>
              <w:rPr>
                <w:rFonts w:ascii="宋体" w:hAnsi="宋体" w:eastAsia="宋体"/>
                <w:sz w:val="16"/>
              </w:rPr>
              <w:t>&gt;=3015人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1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FA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B0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C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F6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5409">
            <w:pPr>
              <w:jc w:val="center"/>
            </w:pPr>
            <w:r>
              <w:rPr>
                <w:rFonts w:ascii="宋体" w:hAnsi="宋体" w:eastAsia="宋体"/>
                <w:sz w:val="16"/>
              </w:rPr>
              <w:t>=3015人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CE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299D6">
            <w:pPr>
              <w:jc w:val="center"/>
            </w:pPr>
          </w:p>
        </w:tc>
      </w:tr>
      <w:tr w14:paraId="39EE0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68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11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502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A6D7">
            <w:pPr>
              <w:jc w:val="center"/>
            </w:pPr>
            <w:r>
              <w:rPr>
                <w:rFonts w:ascii="宋体" w:hAnsi="宋体" w:eastAsia="宋体"/>
                <w:sz w:val="16"/>
              </w:rPr>
              <w:t>一般救助对象人数（人）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D5A4">
            <w:pPr>
              <w:jc w:val="center"/>
            </w:pPr>
            <w:r>
              <w:rPr>
                <w:rFonts w:ascii="宋体" w:hAnsi="宋体" w:eastAsia="宋体"/>
                <w:sz w:val="16"/>
              </w:rPr>
              <w:t>&gt;=6080人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4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D8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B7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FD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0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385E">
            <w:pPr>
              <w:jc w:val="center"/>
            </w:pPr>
            <w:r>
              <w:rPr>
                <w:rFonts w:ascii="宋体" w:hAnsi="宋体" w:eastAsia="宋体"/>
                <w:sz w:val="16"/>
              </w:rPr>
              <w:t>=6080人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EE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BC4B">
            <w:pPr>
              <w:jc w:val="center"/>
            </w:pPr>
          </w:p>
        </w:tc>
      </w:tr>
      <w:tr w14:paraId="22B4E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18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59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06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B75F">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1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2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59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79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39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41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F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D9D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4465F">
            <w:pPr>
              <w:jc w:val="center"/>
            </w:pPr>
          </w:p>
        </w:tc>
      </w:tr>
      <w:tr w14:paraId="34474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33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91B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522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6FE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8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D6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D6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80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69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D9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7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D3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F4778">
            <w:pPr>
              <w:jc w:val="center"/>
            </w:pPr>
          </w:p>
        </w:tc>
      </w:tr>
      <w:tr w14:paraId="43FF6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38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A1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DA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BB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493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8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3D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91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6A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5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EE18">
            <w:pPr>
              <w:jc w:val="center"/>
            </w:pPr>
            <w:r>
              <w:rPr>
                <w:rFonts w:ascii="宋体" w:hAnsi="宋体" w:eastAsia="宋体"/>
                <w:sz w:val="16"/>
              </w:rPr>
              <w:t>2024年1月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63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4942">
            <w:pPr>
              <w:jc w:val="center"/>
            </w:pPr>
          </w:p>
        </w:tc>
      </w:tr>
      <w:tr w14:paraId="4B7D5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554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E461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E75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B0F5">
            <w:pPr>
              <w:jc w:val="center"/>
            </w:pPr>
            <w:r>
              <w:rPr>
                <w:rFonts w:ascii="宋体" w:hAnsi="宋体" w:eastAsia="宋体"/>
                <w:sz w:val="16"/>
              </w:rPr>
              <w:t>重点救助对象人数成本（元/人）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5E8F">
            <w:pPr>
              <w:jc w:val="center"/>
            </w:pPr>
            <w:r>
              <w:rPr>
                <w:rFonts w:ascii="宋体" w:hAnsi="宋体" w:eastAsia="宋体"/>
                <w:sz w:val="16"/>
              </w:rPr>
              <w:t>&lt;=470元/人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0A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4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D3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4D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3E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45B0">
            <w:pPr>
              <w:jc w:val="center"/>
            </w:pPr>
            <w:r>
              <w:rPr>
                <w:rFonts w:ascii="宋体" w:hAnsi="宋体" w:eastAsia="宋体"/>
                <w:sz w:val="16"/>
              </w:rPr>
              <w:t>=470元/人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D5B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378A1">
            <w:pPr>
              <w:jc w:val="center"/>
            </w:pPr>
          </w:p>
        </w:tc>
      </w:tr>
      <w:tr w14:paraId="4DCF8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61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C2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76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D52E">
            <w:pPr>
              <w:jc w:val="center"/>
            </w:pPr>
            <w:r>
              <w:rPr>
                <w:rFonts w:ascii="宋体" w:hAnsi="宋体" w:eastAsia="宋体"/>
                <w:sz w:val="16"/>
              </w:rPr>
              <w:t>低保救助对象人数成本（元/人）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53B5">
            <w:pPr>
              <w:jc w:val="center"/>
            </w:pPr>
            <w:r>
              <w:rPr>
                <w:rFonts w:ascii="宋体" w:hAnsi="宋体" w:eastAsia="宋体"/>
                <w:sz w:val="16"/>
              </w:rPr>
              <w:t>&lt;=420元/人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2D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46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1C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12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19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CEC7">
            <w:pPr>
              <w:jc w:val="center"/>
            </w:pPr>
            <w:r>
              <w:rPr>
                <w:rFonts w:ascii="宋体" w:hAnsi="宋体" w:eastAsia="宋体"/>
                <w:sz w:val="16"/>
              </w:rPr>
              <w:t>=420元/人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9E1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27BA">
            <w:pPr>
              <w:jc w:val="center"/>
            </w:pPr>
          </w:p>
        </w:tc>
      </w:tr>
      <w:tr w14:paraId="5DE84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A9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B2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6B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8C77">
            <w:pPr>
              <w:jc w:val="center"/>
            </w:pPr>
            <w:r>
              <w:rPr>
                <w:rFonts w:ascii="宋体" w:hAnsi="宋体" w:eastAsia="宋体"/>
                <w:sz w:val="16"/>
              </w:rPr>
              <w:t>一般救助对象人数成本（元/人）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AABC">
            <w:pPr>
              <w:jc w:val="center"/>
            </w:pPr>
            <w:r>
              <w:rPr>
                <w:rFonts w:ascii="宋体" w:hAnsi="宋体" w:eastAsia="宋体"/>
                <w:sz w:val="16"/>
              </w:rPr>
              <w:t>&lt;=347元/人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15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51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57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E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00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A200">
            <w:pPr>
              <w:jc w:val="center"/>
            </w:pPr>
            <w:r>
              <w:rPr>
                <w:rFonts w:ascii="宋体" w:hAnsi="宋体" w:eastAsia="宋体"/>
                <w:sz w:val="16"/>
              </w:rPr>
              <w:t>=347元/人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65C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98D97">
            <w:pPr>
              <w:jc w:val="center"/>
            </w:pPr>
          </w:p>
        </w:tc>
      </w:tr>
      <w:tr w14:paraId="028C4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73F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65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AF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9F3A">
            <w:pPr>
              <w:jc w:val="center"/>
            </w:pPr>
            <w:r>
              <w:rPr>
                <w:rFonts w:ascii="宋体" w:hAnsi="宋体" w:eastAsia="宋体"/>
                <w:sz w:val="16"/>
              </w:rPr>
              <w:t>保障全县受灾群众人员救助需求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47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B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B5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C2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F3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5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257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5C7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C9153">
            <w:pPr>
              <w:jc w:val="center"/>
            </w:pPr>
          </w:p>
        </w:tc>
      </w:tr>
      <w:tr w14:paraId="534E3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82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BA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62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8DF0">
            <w:pPr>
              <w:jc w:val="center"/>
            </w:pPr>
            <w:r>
              <w:rPr>
                <w:rFonts w:ascii="宋体" w:hAnsi="宋体" w:eastAsia="宋体"/>
                <w:sz w:val="16"/>
              </w:rPr>
              <w:t>受益补助人群满意度（%）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3E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6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D5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85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1C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F9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0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3E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27A9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w:t>
            </w:r>
            <w:r>
              <w:rPr>
                <w:rFonts w:hint="eastAsia" w:ascii="宋体" w:hAnsi="宋体"/>
                <w:sz w:val="16"/>
                <w:lang w:eastAsia="zh-CN"/>
              </w:rPr>
              <w:t>。</w:t>
            </w:r>
          </w:p>
        </w:tc>
      </w:tr>
      <w:tr w14:paraId="7FA702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A90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76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896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3C5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36BF22"/>
        </w:tc>
      </w:tr>
    </w:tbl>
    <w:p w14:paraId="19D853C3">
      <w:r>
        <w:br w:type="page"/>
      </w:r>
    </w:p>
    <w:p w14:paraId="35EDFEAE">
      <w:pPr>
        <w:spacing w:line="640" w:lineRule="exact"/>
        <w:ind w:firstLine="640"/>
        <w:jc w:val="both"/>
        <w:outlineLvl w:val="2"/>
      </w:pPr>
      <w:r>
        <w:rPr>
          <w:rFonts w:ascii="黑体" w:hAnsi="黑体" w:eastAsia="黑体"/>
          <w:sz w:val="32"/>
        </w:rPr>
        <w:t>十二、其他需说明的事项</w:t>
      </w:r>
    </w:p>
    <w:p w14:paraId="5DFA2991">
      <w:pPr>
        <w:spacing w:line="580" w:lineRule="exact"/>
        <w:ind w:firstLine="640"/>
        <w:jc w:val="both"/>
      </w:pPr>
      <w:r>
        <w:rPr>
          <w:rFonts w:ascii="仿宋_GB2312" w:hAnsi="仿宋_GB2312" w:eastAsia="仿宋_GB2312"/>
          <w:b w:val="0"/>
          <w:sz w:val="32"/>
        </w:rPr>
        <w:t>本单位无其他需说明的事项。</w:t>
      </w:r>
    </w:p>
    <w:p w14:paraId="5D5482F3">
      <w:r>
        <w:br w:type="page"/>
      </w:r>
    </w:p>
    <w:p w14:paraId="3594C9D4">
      <w:pPr>
        <w:spacing w:line="240" w:lineRule="auto"/>
        <w:jc w:val="center"/>
        <w:outlineLvl w:val="1"/>
      </w:pPr>
      <w:r>
        <w:rPr>
          <w:rFonts w:ascii="黑体" w:hAnsi="黑体" w:eastAsia="黑体"/>
          <w:sz w:val="32"/>
        </w:rPr>
        <w:t>第三部分 专业名词解释</w:t>
      </w:r>
    </w:p>
    <w:p w14:paraId="7332A5F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E8CF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E9FEE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7B61E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DC47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B6037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41709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D28E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790A7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650C4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D74A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2C2E0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7B907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F0132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79F509">
      <w:r>
        <w:br w:type="page"/>
      </w:r>
    </w:p>
    <w:p w14:paraId="4931E377">
      <w:pPr>
        <w:spacing w:line="240" w:lineRule="auto"/>
        <w:jc w:val="center"/>
        <w:outlineLvl w:val="1"/>
      </w:pPr>
      <w:r>
        <w:rPr>
          <w:rFonts w:ascii="黑体" w:hAnsi="黑体" w:eastAsia="黑体"/>
          <w:sz w:val="32"/>
        </w:rPr>
        <w:t>第四部分 部门决算报表（见附表）</w:t>
      </w:r>
    </w:p>
    <w:p w14:paraId="69559212">
      <w:pPr>
        <w:spacing w:line="240" w:lineRule="auto"/>
        <w:ind w:firstLine="640"/>
        <w:jc w:val="both"/>
      </w:pPr>
      <w:r>
        <w:rPr>
          <w:rFonts w:ascii="仿宋_GB2312" w:hAnsi="仿宋_GB2312" w:eastAsia="仿宋_GB2312"/>
          <w:b w:val="0"/>
          <w:sz w:val="32"/>
        </w:rPr>
        <w:t>一、《收入支出决算总表》</w:t>
      </w:r>
    </w:p>
    <w:p w14:paraId="2F16360C">
      <w:pPr>
        <w:spacing w:line="240" w:lineRule="auto"/>
        <w:ind w:firstLine="640"/>
        <w:jc w:val="both"/>
      </w:pPr>
      <w:r>
        <w:rPr>
          <w:rFonts w:ascii="仿宋_GB2312" w:hAnsi="仿宋_GB2312" w:eastAsia="仿宋_GB2312"/>
          <w:b w:val="0"/>
          <w:sz w:val="32"/>
        </w:rPr>
        <w:t>二、《收入决算表》</w:t>
      </w:r>
    </w:p>
    <w:p w14:paraId="7CC33E01">
      <w:pPr>
        <w:spacing w:line="240" w:lineRule="auto"/>
        <w:ind w:firstLine="640"/>
        <w:jc w:val="both"/>
      </w:pPr>
      <w:r>
        <w:rPr>
          <w:rFonts w:ascii="仿宋_GB2312" w:hAnsi="仿宋_GB2312" w:eastAsia="仿宋_GB2312"/>
          <w:b w:val="0"/>
          <w:sz w:val="32"/>
        </w:rPr>
        <w:t>三、《支出决算表》</w:t>
      </w:r>
    </w:p>
    <w:p w14:paraId="1E88B472">
      <w:pPr>
        <w:spacing w:line="240" w:lineRule="auto"/>
        <w:ind w:firstLine="640"/>
        <w:jc w:val="both"/>
      </w:pPr>
      <w:r>
        <w:rPr>
          <w:rFonts w:ascii="仿宋_GB2312" w:hAnsi="仿宋_GB2312" w:eastAsia="仿宋_GB2312"/>
          <w:b w:val="0"/>
          <w:sz w:val="32"/>
        </w:rPr>
        <w:t>四、《财政拨款收入支出决算总表》</w:t>
      </w:r>
    </w:p>
    <w:p w14:paraId="763115FF">
      <w:pPr>
        <w:spacing w:line="240" w:lineRule="auto"/>
        <w:ind w:firstLine="640"/>
        <w:jc w:val="both"/>
      </w:pPr>
      <w:r>
        <w:rPr>
          <w:rFonts w:ascii="仿宋_GB2312" w:hAnsi="仿宋_GB2312" w:eastAsia="仿宋_GB2312"/>
          <w:b w:val="0"/>
          <w:sz w:val="32"/>
        </w:rPr>
        <w:t>五、《一般公共预算财政拨款支出决算表》</w:t>
      </w:r>
    </w:p>
    <w:p w14:paraId="04567E3D">
      <w:pPr>
        <w:spacing w:line="240" w:lineRule="auto"/>
        <w:ind w:firstLine="640"/>
        <w:jc w:val="both"/>
      </w:pPr>
      <w:r>
        <w:rPr>
          <w:rFonts w:ascii="仿宋_GB2312" w:hAnsi="仿宋_GB2312" w:eastAsia="仿宋_GB2312"/>
          <w:b w:val="0"/>
          <w:sz w:val="32"/>
        </w:rPr>
        <w:t>六、《一般公共预算财政拨款基本支出决算表》</w:t>
      </w:r>
    </w:p>
    <w:p w14:paraId="7D845F28">
      <w:pPr>
        <w:spacing w:line="240" w:lineRule="auto"/>
        <w:ind w:firstLine="640"/>
        <w:jc w:val="both"/>
      </w:pPr>
      <w:r>
        <w:rPr>
          <w:rFonts w:ascii="仿宋_GB2312" w:hAnsi="仿宋_GB2312" w:eastAsia="仿宋_GB2312"/>
          <w:b w:val="0"/>
          <w:sz w:val="32"/>
        </w:rPr>
        <w:t>七、《政府性基金预算财政拨款收入支出决算表》</w:t>
      </w:r>
    </w:p>
    <w:p w14:paraId="3C182250">
      <w:pPr>
        <w:spacing w:line="240" w:lineRule="auto"/>
        <w:ind w:firstLine="640"/>
        <w:jc w:val="both"/>
      </w:pPr>
      <w:r>
        <w:rPr>
          <w:rFonts w:ascii="仿宋_GB2312" w:hAnsi="仿宋_GB2312" w:eastAsia="仿宋_GB2312"/>
          <w:b w:val="0"/>
          <w:sz w:val="32"/>
        </w:rPr>
        <w:t>八、《国有资本经营预算财政拨款收入支出决算表》</w:t>
      </w:r>
    </w:p>
    <w:p w14:paraId="49C9F17F">
      <w:pPr>
        <w:spacing w:line="240" w:lineRule="auto"/>
        <w:ind w:firstLine="640"/>
        <w:jc w:val="both"/>
      </w:pPr>
      <w:r>
        <w:rPr>
          <w:rFonts w:ascii="仿宋_GB2312" w:hAnsi="仿宋_GB2312" w:eastAsia="仿宋_GB2312"/>
          <w:b w:val="0"/>
          <w:sz w:val="32"/>
        </w:rPr>
        <w:t>九、《财政拨款“三公”经费支出决算表》</w:t>
      </w:r>
    </w:p>
    <w:p w14:paraId="66D0D8B3">
      <w:pPr>
        <w:spacing w:line="240" w:lineRule="auto"/>
        <w:ind w:firstLine="640"/>
        <w:jc w:val="both"/>
      </w:pPr>
    </w:p>
    <w:p w14:paraId="0565EED6">
      <w:pPr>
        <w:spacing w:line="240" w:lineRule="auto"/>
        <w:ind w:firstLine="640"/>
        <w:jc w:val="both"/>
      </w:pPr>
    </w:p>
    <w:p w14:paraId="0F4029A9">
      <w:pPr>
        <w:spacing w:line="240" w:lineRule="auto"/>
        <w:ind w:firstLine="640"/>
        <w:jc w:val="both"/>
      </w:pPr>
    </w:p>
    <w:p w14:paraId="09B2FE95">
      <w:pPr>
        <w:spacing w:line="240" w:lineRule="auto"/>
        <w:ind w:firstLine="640"/>
        <w:jc w:val="both"/>
      </w:pPr>
    </w:p>
    <w:p w14:paraId="427321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8A652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E4206B"/>
    <w:rsid w:val="73423603"/>
    <w:rsid w:val="737A5923"/>
    <w:rsid w:val="73DE4104"/>
    <w:rsid w:val="73FB6630"/>
    <w:rsid w:val="74CE04EC"/>
    <w:rsid w:val="74E76DCD"/>
    <w:rsid w:val="76660D7C"/>
    <w:rsid w:val="77ED6F44"/>
    <w:rsid w:val="782F1E9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5607</Words>
  <Characters>6325</Characters>
  <Lines>0</Lines>
  <Paragraphs>0</Paragraphs>
  <TotalTime>2</TotalTime>
  <ScaleCrop>false</ScaleCrop>
  <LinksUpToDate>false</LinksUpToDate>
  <CharactersWithSpaces>6333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