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英吉沙县招商服务中心2024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793739">
      <w:r>
        <w:br w:type="page"/>
      </w:r>
    </w:p>
    <w:p w14:paraId="2BD24F5D">
      <w:pPr>
        <w:spacing w:line="640" w:lineRule="exact"/>
        <w:jc w:val="center"/>
        <w:outlineLvl w:val="1"/>
      </w:pPr>
      <w:r>
        <w:rPr>
          <w:rFonts w:ascii="黑体" w:hAnsi="黑体" w:eastAsia="黑体"/>
          <w:sz w:val="32"/>
        </w:rPr>
        <w:t>第一部分 单位概况</w:t>
      </w:r>
    </w:p>
    <w:p w14:paraId="24EF1041">
      <w:pPr>
        <w:spacing w:line="640" w:lineRule="exact"/>
        <w:ind w:firstLine="640"/>
        <w:jc w:val="both"/>
        <w:outlineLvl w:val="2"/>
      </w:pPr>
      <w:r>
        <w:rPr>
          <w:rFonts w:ascii="黑体" w:hAnsi="黑体" w:eastAsia="黑体"/>
          <w:sz w:val="32"/>
        </w:rPr>
        <w:t>一、主要职能</w:t>
      </w:r>
    </w:p>
    <w:p w14:paraId="1C092C23">
      <w:pPr>
        <w:spacing w:line="580" w:lineRule="exact"/>
        <w:ind w:firstLine="640"/>
        <w:jc w:val="both"/>
      </w:pPr>
      <w:r>
        <w:rPr>
          <w:rFonts w:ascii="仿宋_GB2312" w:hAnsi="仿宋_GB2312" w:eastAsia="仿宋_GB2312"/>
          <w:sz w:val="32"/>
        </w:rPr>
        <w:t>承办</w:t>
      </w:r>
      <w:r>
        <w:rPr>
          <w:rFonts w:hint="eastAsia" w:ascii="仿宋_GB2312" w:hAnsi="仿宋_GB2312" w:eastAsia="仿宋_GB2312"/>
          <w:sz w:val="32"/>
          <w:lang w:val="en-US" w:eastAsia="zh-CN"/>
        </w:rPr>
        <w:t>全</w:t>
      </w:r>
      <w:bookmarkStart w:id="0" w:name="_GoBack"/>
      <w:bookmarkEnd w:id="0"/>
      <w:r>
        <w:rPr>
          <w:rFonts w:ascii="仿宋_GB2312" w:hAnsi="仿宋_GB2312" w:eastAsia="仿宋_GB2312"/>
          <w:sz w:val="32"/>
        </w:rPr>
        <w:t>县招商引资中的各项具体事项，调查、研究全县招商引资、投资软环境建设工作情况，向县人民政府提出促进招商引资、改善投资软环境方面重大问题的</w:t>
      </w:r>
      <w:r>
        <w:rPr>
          <w:rFonts w:hint="eastAsia" w:ascii="仿宋_GB2312" w:hAnsi="仿宋_GB2312" w:eastAsia="仿宋_GB2312"/>
          <w:sz w:val="32"/>
          <w:lang w:eastAsia="zh-CN"/>
        </w:rPr>
        <w:t>建议</w:t>
      </w:r>
      <w:r>
        <w:rPr>
          <w:rFonts w:ascii="仿宋_GB2312" w:hAnsi="仿宋_GB2312" w:eastAsia="仿宋_GB2312"/>
          <w:sz w:val="32"/>
        </w:rPr>
        <w:t>；配合有关部门协调做好投资软环境建设的有关工作。</w:t>
      </w:r>
    </w:p>
    <w:p w14:paraId="708CB488">
      <w:pPr>
        <w:spacing w:line="640" w:lineRule="exact"/>
        <w:ind w:firstLine="640"/>
        <w:jc w:val="both"/>
        <w:outlineLvl w:val="2"/>
      </w:pPr>
      <w:r>
        <w:rPr>
          <w:rFonts w:ascii="黑体" w:hAnsi="黑体" w:eastAsia="黑体"/>
          <w:sz w:val="32"/>
        </w:rPr>
        <w:t>二、机构设置及人员情况</w:t>
      </w:r>
    </w:p>
    <w:p w14:paraId="6E930D8A">
      <w:pPr>
        <w:spacing w:line="580" w:lineRule="exact"/>
        <w:ind w:firstLine="640"/>
        <w:jc w:val="both"/>
      </w:pPr>
      <w:r>
        <w:rPr>
          <w:rFonts w:ascii="仿宋_GB2312" w:hAnsi="仿宋_GB2312" w:eastAsia="仿宋_GB2312"/>
          <w:sz w:val="32"/>
        </w:rPr>
        <w:t>英吉沙县招商服务中心2024年度，实有人数3人，其中：在职人员3人，减少1人；离休人员0人，增加0人；退休人员0人,增加0人。</w:t>
      </w:r>
    </w:p>
    <w:p w14:paraId="7A5C1C3F">
      <w:pPr>
        <w:spacing w:line="580" w:lineRule="exact"/>
        <w:ind w:firstLine="640"/>
        <w:jc w:val="both"/>
      </w:pPr>
      <w:r>
        <w:rPr>
          <w:rFonts w:ascii="仿宋_GB2312" w:hAnsi="仿宋_GB2312" w:eastAsia="仿宋_GB2312"/>
          <w:sz w:val="32"/>
        </w:rPr>
        <w:t>英吉沙县招商服务中心无下属预算单位，下设2个科室，分别是：综合办公室、业务室。</w:t>
      </w:r>
    </w:p>
    <w:p w14:paraId="210A2BF3">
      <w:r>
        <w:br w:type="page"/>
      </w:r>
    </w:p>
    <w:p w14:paraId="465D7C93">
      <w:pPr>
        <w:spacing w:line="240" w:lineRule="auto"/>
        <w:jc w:val="center"/>
        <w:outlineLvl w:val="1"/>
      </w:pPr>
      <w:r>
        <w:rPr>
          <w:rFonts w:ascii="黑体" w:hAnsi="黑体" w:eastAsia="黑体"/>
          <w:sz w:val="32"/>
        </w:rPr>
        <w:t>第二部分 部门决算情况说明</w:t>
      </w:r>
    </w:p>
    <w:p w14:paraId="6558F3BA">
      <w:pPr>
        <w:spacing w:line="640" w:lineRule="exact"/>
        <w:ind w:firstLine="640"/>
        <w:jc w:val="both"/>
        <w:outlineLvl w:val="2"/>
      </w:pPr>
      <w:r>
        <w:rPr>
          <w:rFonts w:ascii="黑体" w:hAnsi="黑体" w:eastAsia="黑体"/>
          <w:sz w:val="32"/>
        </w:rPr>
        <w:t>一、收入支出决算总体情况说明</w:t>
      </w:r>
    </w:p>
    <w:p w14:paraId="4779EA99">
      <w:pPr>
        <w:spacing w:line="580" w:lineRule="exact"/>
        <w:ind w:firstLine="640"/>
        <w:jc w:val="both"/>
      </w:pPr>
      <w:r>
        <w:rPr>
          <w:rFonts w:ascii="仿宋_GB2312" w:hAnsi="仿宋_GB2312" w:eastAsia="仿宋_GB2312"/>
          <w:b/>
          <w:sz w:val="32"/>
        </w:rPr>
        <w:t>2024年度收入总计2,551.68万元，</w:t>
      </w:r>
      <w:r>
        <w:rPr>
          <w:rFonts w:ascii="仿宋_GB2312" w:hAnsi="仿宋_GB2312" w:eastAsia="仿宋_GB2312"/>
          <w:b w:val="0"/>
          <w:sz w:val="32"/>
        </w:rPr>
        <w:t>其中：本年收入合计2,551.68万元，使用非财政拨款结余（含专用结余）0.00万元，年初结转和结余0.00万元。</w:t>
      </w:r>
    </w:p>
    <w:p w14:paraId="4A23A820">
      <w:pPr>
        <w:spacing w:line="580" w:lineRule="exact"/>
        <w:ind w:firstLine="640"/>
        <w:jc w:val="both"/>
      </w:pPr>
      <w:r>
        <w:rPr>
          <w:rFonts w:ascii="仿宋_GB2312" w:hAnsi="仿宋_GB2312" w:eastAsia="仿宋_GB2312"/>
          <w:b/>
          <w:sz w:val="32"/>
        </w:rPr>
        <w:t>2024年度支出总计2,551.68万元，</w:t>
      </w:r>
      <w:r>
        <w:rPr>
          <w:rFonts w:ascii="仿宋_GB2312" w:hAnsi="仿宋_GB2312" w:eastAsia="仿宋_GB2312"/>
          <w:b w:val="0"/>
          <w:sz w:val="32"/>
        </w:rPr>
        <w:t>其中：本年支出合计2,551.68万元，结余分配0.00万元，年末结转和结余0.00万元。</w:t>
      </w:r>
    </w:p>
    <w:p w14:paraId="30F07A67">
      <w:pPr>
        <w:spacing w:line="580" w:lineRule="exact"/>
        <w:ind w:firstLine="640"/>
        <w:jc w:val="both"/>
      </w:pPr>
      <w:r>
        <w:rPr>
          <w:rFonts w:ascii="仿宋_GB2312" w:hAnsi="仿宋_GB2312" w:eastAsia="仿宋_GB2312"/>
          <w:b w:val="0"/>
          <w:sz w:val="32"/>
        </w:rPr>
        <w:t>收入支出总体与上年相比，减少152.59万元，下降5.64%，主要原因是：本年喀什绿色建材产业园项目资金支付较上年减少。</w:t>
      </w:r>
    </w:p>
    <w:p w14:paraId="6FDA9DF1">
      <w:pPr>
        <w:spacing w:line="640" w:lineRule="exact"/>
        <w:ind w:firstLine="640"/>
        <w:jc w:val="both"/>
        <w:outlineLvl w:val="2"/>
      </w:pPr>
      <w:r>
        <w:rPr>
          <w:rFonts w:ascii="黑体" w:hAnsi="黑体" w:eastAsia="黑体"/>
          <w:sz w:val="32"/>
        </w:rPr>
        <w:t>二、收入决算情况说明</w:t>
      </w:r>
    </w:p>
    <w:p w14:paraId="3802AC42">
      <w:pPr>
        <w:spacing w:line="580" w:lineRule="exact"/>
        <w:ind w:firstLine="640"/>
        <w:jc w:val="both"/>
      </w:pPr>
      <w:r>
        <w:rPr>
          <w:rFonts w:ascii="仿宋_GB2312" w:hAnsi="仿宋_GB2312" w:eastAsia="仿宋_GB2312"/>
          <w:b/>
          <w:sz w:val="32"/>
        </w:rPr>
        <w:t>本年收入2,551.68万元，</w:t>
      </w:r>
      <w:r>
        <w:rPr>
          <w:rFonts w:ascii="仿宋_GB2312" w:hAnsi="仿宋_GB2312" w:eastAsia="仿宋_GB2312"/>
          <w:b w:val="0"/>
          <w:sz w:val="32"/>
        </w:rPr>
        <w:t>其中：财政拨款收入55.50万元，占2.18%；上级补助收入0.00万元，占0.00%；事业收入0.00万元，占0.00%；经营收入0.00万元，占0.00%；附属单位上缴收入0.00万元，占0.00%；其他收入2,496.18万元，占97.82%。</w:t>
      </w:r>
    </w:p>
    <w:p w14:paraId="1ED8AC70">
      <w:pPr>
        <w:spacing w:line="640" w:lineRule="exact"/>
        <w:ind w:firstLine="640"/>
        <w:jc w:val="both"/>
        <w:outlineLvl w:val="2"/>
      </w:pPr>
      <w:r>
        <w:rPr>
          <w:rFonts w:ascii="黑体" w:hAnsi="黑体" w:eastAsia="黑体"/>
          <w:sz w:val="32"/>
        </w:rPr>
        <w:t>三、支出决算情况说明</w:t>
      </w:r>
    </w:p>
    <w:p w14:paraId="5CB3E42C">
      <w:pPr>
        <w:spacing w:line="580" w:lineRule="exact"/>
        <w:ind w:firstLine="640"/>
        <w:jc w:val="both"/>
      </w:pPr>
      <w:r>
        <w:rPr>
          <w:rFonts w:ascii="仿宋_GB2312" w:hAnsi="仿宋_GB2312" w:eastAsia="仿宋_GB2312"/>
          <w:b/>
          <w:sz w:val="32"/>
        </w:rPr>
        <w:t>本年支出2,551.68万元，</w:t>
      </w:r>
      <w:r>
        <w:rPr>
          <w:rFonts w:ascii="仿宋_GB2312" w:hAnsi="仿宋_GB2312" w:eastAsia="仿宋_GB2312"/>
          <w:b w:val="0"/>
          <w:sz w:val="32"/>
        </w:rPr>
        <w:t>其中：基本支出55.50万元，占2.18%；项目支出2,496.18万元，占97.82%；上缴上级支出0.00万元，占0.00%；经营支出0.00万元，占0.00%；对附属单位补助支出0.00万元，占0.00%。</w:t>
      </w:r>
    </w:p>
    <w:p w14:paraId="261FCBF3">
      <w:pPr>
        <w:spacing w:line="640" w:lineRule="exact"/>
        <w:ind w:firstLine="640"/>
        <w:jc w:val="both"/>
        <w:outlineLvl w:val="2"/>
      </w:pPr>
      <w:r>
        <w:rPr>
          <w:rFonts w:ascii="黑体" w:hAnsi="黑体" w:eastAsia="黑体"/>
          <w:sz w:val="32"/>
        </w:rPr>
        <w:t>四、财政拨款收入支出决算总体情况说明</w:t>
      </w:r>
    </w:p>
    <w:p w14:paraId="4BE27BD5">
      <w:pPr>
        <w:spacing w:line="580" w:lineRule="exact"/>
        <w:ind w:firstLine="640"/>
        <w:jc w:val="both"/>
      </w:pPr>
      <w:r>
        <w:rPr>
          <w:rFonts w:ascii="仿宋_GB2312" w:hAnsi="仿宋_GB2312" w:eastAsia="仿宋_GB2312"/>
          <w:b/>
          <w:sz w:val="32"/>
        </w:rPr>
        <w:t>2024年度财政拨款收入总计55.50万元，</w:t>
      </w:r>
      <w:r>
        <w:rPr>
          <w:rFonts w:ascii="仿宋_GB2312" w:hAnsi="仿宋_GB2312" w:eastAsia="仿宋_GB2312"/>
          <w:b w:val="0"/>
          <w:sz w:val="32"/>
        </w:rPr>
        <w:t>其中：年初财政拨款结转和结余0.00万元，本年财政拨款收入55.50万元。</w:t>
      </w:r>
      <w:r>
        <w:rPr>
          <w:rFonts w:ascii="仿宋_GB2312" w:hAnsi="仿宋_GB2312" w:eastAsia="仿宋_GB2312"/>
          <w:b/>
          <w:sz w:val="32"/>
        </w:rPr>
        <w:t>财政拨款支出总计55.50万元，</w:t>
      </w:r>
      <w:r>
        <w:rPr>
          <w:rFonts w:ascii="仿宋_GB2312" w:hAnsi="仿宋_GB2312" w:eastAsia="仿宋_GB2312"/>
          <w:b w:val="0"/>
          <w:sz w:val="32"/>
        </w:rPr>
        <w:t>其中：年末财政拨款结转和结余0.00万元，本年财政拨款支出55.50万元。</w:t>
      </w:r>
    </w:p>
    <w:p w14:paraId="6814AC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减少5.72万元，下降9.34%，主要原因是：本年在职人员减少，相关人员经费较上年减少。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年初预算数64.08万元，决算数55.50万元，预决算差异率-13.39%，主要原因是：本年在职人员减少，年中调减人员经费，导致预决算存在差异。</w:t>
      </w:r>
    </w:p>
    <w:p w14:paraId="68151009">
      <w:pPr>
        <w:spacing w:line="640" w:lineRule="exact"/>
        <w:ind w:firstLine="640"/>
        <w:jc w:val="both"/>
        <w:outlineLvl w:val="2"/>
      </w:pPr>
      <w:r>
        <w:rPr>
          <w:rFonts w:ascii="黑体" w:hAnsi="黑体" w:eastAsia="黑体"/>
          <w:sz w:val="32"/>
        </w:rPr>
        <w:t>五、一般公共预算财政拨款支出决算情况说明</w:t>
      </w:r>
    </w:p>
    <w:p w14:paraId="18C80051">
      <w:pPr>
        <w:spacing w:line="640" w:lineRule="exact"/>
        <w:ind w:firstLine="640"/>
        <w:jc w:val="both"/>
        <w:outlineLvl w:val="3"/>
      </w:pPr>
      <w:r>
        <w:rPr>
          <w:rFonts w:ascii="楷体_GB2312" w:hAnsi="楷体_GB2312" w:eastAsia="楷体_GB2312"/>
          <w:b/>
          <w:sz w:val="32"/>
        </w:rPr>
        <w:t>（一）一般公共预算财政拨款支出决算总体情况</w:t>
      </w:r>
    </w:p>
    <w:p w14:paraId="53001308">
      <w:pPr>
        <w:spacing w:line="580" w:lineRule="exact"/>
        <w:ind w:firstLine="640"/>
        <w:jc w:val="both"/>
      </w:pPr>
      <w:r>
        <w:rPr>
          <w:rFonts w:ascii="仿宋_GB2312" w:hAnsi="仿宋_GB2312" w:eastAsia="仿宋_GB2312"/>
          <w:b/>
          <w:sz w:val="32"/>
        </w:rPr>
        <w:t>2024年度一般公共预算财政拨款支出55.50万元，</w:t>
      </w:r>
      <w:r>
        <w:rPr>
          <w:rFonts w:ascii="仿宋_GB2312" w:hAnsi="仿宋_GB2312" w:eastAsia="仿宋_GB2312"/>
          <w:b w:val="0"/>
          <w:sz w:val="32"/>
        </w:rPr>
        <w:t>占本年支出合计的2.18%。</w:t>
      </w:r>
      <w:r>
        <w:rPr>
          <w:rFonts w:ascii="仿宋_GB2312" w:hAnsi="仿宋_GB2312" w:eastAsia="仿宋_GB2312"/>
          <w:b/>
          <w:sz w:val="32"/>
        </w:rPr>
        <w:t>与上年相比，</w:t>
      </w:r>
      <w:r>
        <w:rPr>
          <w:rFonts w:ascii="仿宋_GB2312" w:hAnsi="仿宋_GB2312" w:eastAsia="仿宋_GB2312"/>
          <w:b w:val="0"/>
          <w:sz w:val="32"/>
        </w:rPr>
        <w:t>减少5.72万元，下降9.34%，主要原因是：本年在职人员减少，相关人员经费较上年减少。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年初预算数64.08万元，决算数55.50万元，预决算差异率-13.39%，主要原因是：本年在职人员减少，年中调减人员经费，导致预决算存在差异。</w:t>
      </w:r>
    </w:p>
    <w:p w14:paraId="07F2B6FE">
      <w:pPr>
        <w:spacing w:line="640" w:lineRule="exact"/>
        <w:ind w:firstLine="640"/>
        <w:jc w:val="both"/>
        <w:outlineLvl w:val="3"/>
      </w:pPr>
      <w:r>
        <w:rPr>
          <w:rFonts w:ascii="楷体_GB2312" w:hAnsi="楷体_GB2312" w:eastAsia="楷体_GB2312"/>
          <w:b/>
          <w:sz w:val="32"/>
        </w:rPr>
        <w:t>（二）一般公共预算财政拨款支出决算结构情况</w:t>
      </w:r>
    </w:p>
    <w:p w14:paraId="0BD0B887">
      <w:pPr>
        <w:spacing w:line="580" w:lineRule="exact"/>
        <w:ind w:firstLine="640"/>
        <w:jc w:val="both"/>
      </w:pPr>
      <w:r>
        <w:rPr>
          <w:rFonts w:ascii="仿宋_GB2312" w:hAnsi="仿宋_GB2312" w:eastAsia="仿宋_GB2312"/>
          <w:b w:val="0"/>
          <w:sz w:val="32"/>
        </w:rPr>
        <w:t>1.一般公共服务支出(类)43.12万元,占77.69%。</w:t>
      </w:r>
    </w:p>
    <w:p w14:paraId="19AD66DE">
      <w:pPr>
        <w:spacing w:line="580" w:lineRule="exact"/>
        <w:ind w:firstLine="640"/>
        <w:jc w:val="both"/>
      </w:pPr>
      <w:r>
        <w:rPr>
          <w:rFonts w:ascii="仿宋_GB2312" w:hAnsi="仿宋_GB2312" w:eastAsia="仿宋_GB2312"/>
          <w:b w:val="0"/>
          <w:sz w:val="32"/>
        </w:rPr>
        <w:t>2.社会保障和就业支出(类)5.50万元,占9.91%。</w:t>
      </w:r>
    </w:p>
    <w:p w14:paraId="75DC63B7">
      <w:pPr>
        <w:spacing w:line="580" w:lineRule="exact"/>
        <w:ind w:firstLine="640"/>
        <w:jc w:val="both"/>
      </w:pPr>
      <w:r>
        <w:rPr>
          <w:rFonts w:ascii="仿宋_GB2312" w:hAnsi="仿宋_GB2312" w:eastAsia="仿宋_GB2312"/>
          <w:b w:val="0"/>
          <w:sz w:val="32"/>
        </w:rPr>
        <w:t>3.卫生健康支出(类)2.38万元,占4.29%。</w:t>
      </w:r>
    </w:p>
    <w:p w14:paraId="0D02BB33">
      <w:pPr>
        <w:spacing w:line="580" w:lineRule="exact"/>
        <w:ind w:firstLine="640"/>
        <w:jc w:val="both"/>
      </w:pPr>
      <w:r>
        <w:rPr>
          <w:rFonts w:ascii="仿宋_GB2312" w:hAnsi="仿宋_GB2312" w:eastAsia="仿宋_GB2312"/>
          <w:b w:val="0"/>
          <w:sz w:val="32"/>
        </w:rPr>
        <w:t>4.住房保障支出(类)4.50万元,占8.11%。</w:t>
      </w:r>
    </w:p>
    <w:p w14:paraId="5EF0027C">
      <w:pPr>
        <w:spacing w:line="640" w:lineRule="exact"/>
        <w:ind w:firstLine="640"/>
        <w:jc w:val="both"/>
        <w:outlineLvl w:val="3"/>
      </w:pPr>
      <w:r>
        <w:rPr>
          <w:rFonts w:ascii="楷体_GB2312" w:hAnsi="楷体_GB2312" w:eastAsia="楷体_GB2312"/>
          <w:b/>
          <w:sz w:val="32"/>
        </w:rPr>
        <w:t>（三）一般公共预算财政拨款支出决算具体情况</w:t>
      </w:r>
    </w:p>
    <w:p w14:paraId="1152B5BE">
      <w:pPr>
        <w:spacing w:line="580" w:lineRule="exact"/>
        <w:ind w:firstLine="640"/>
        <w:jc w:val="both"/>
      </w:pPr>
      <w:r>
        <w:rPr>
          <w:rFonts w:ascii="仿宋_GB2312" w:hAnsi="仿宋_GB2312" w:eastAsia="仿宋_GB2312"/>
          <w:b w:val="0"/>
          <w:sz w:val="32"/>
        </w:rPr>
        <w:t>1.一般公共服务支出(类)商贸事务(款)招商引资(项):支出决算数为43.12万元，比上年决算减少3.43万元，下降7.37%,主要原因是：本年在职人员减少，相关人员经费较上年减少。</w:t>
      </w:r>
    </w:p>
    <w:p w14:paraId="77E4978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5.50万元，比上年决算减少1.12万元，下降16.92%,主要原因是：本年在职人员减少，单位基本养老保险缴费较上年减少。</w:t>
      </w:r>
    </w:p>
    <w:p w14:paraId="3A21EA50">
      <w:pPr>
        <w:spacing w:line="580" w:lineRule="exact"/>
        <w:ind w:firstLine="640"/>
        <w:jc w:val="both"/>
      </w:pPr>
      <w:r>
        <w:rPr>
          <w:rFonts w:ascii="仿宋_GB2312" w:hAnsi="仿宋_GB2312" w:eastAsia="仿宋_GB2312"/>
          <w:b w:val="0"/>
          <w:sz w:val="32"/>
        </w:rPr>
        <w:t>3.卫生健康支出(类)行政事业单位医疗(款)事业单位医疗(项):支出决算数为2.38万元，比上年决算减少0.34万元，下降12.50%,主要原因是：本年在职人员减少，事业单位医疗保险缴费较上年减少。</w:t>
      </w:r>
    </w:p>
    <w:p w14:paraId="1881415B">
      <w:pPr>
        <w:spacing w:line="580" w:lineRule="exact"/>
        <w:ind w:firstLine="640"/>
        <w:jc w:val="both"/>
      </w:pPr>
      <w:r>
        <w:rPr>
          <w:rFonts w:ascii="仿宋_GB2312" w:hAnsi="仿宋_GB2312" w:eastAsia="仿宋_GB2312"/>
          <w:b w:val="0"/>
          <w:sz w:val="32"/>
        </w:rPr>
        <w:t>4.住房保障支出(类)住房改革支出(款)住房公积金(项):支出决算数为4.50万元，比上年决算减少0.82万元，下降15.41%,主要原因是：本年在职人员减少，住房公积金缴费较上年减少。</w:t>
      </w:r>
    </w:p>
    <w:p w14:paraId="5437F16F">
      <w:pPr>
        <w:spacing w:line="640" w:lineRule="exact"/>
        <w:ind w:firstLine="640"/>
        <w:jc w:val="both"/>
        <w:outlineLvl w:val="2"/>
      </w:pPr>
      <w:r>
        <w:rPr>
          <w:rFonts w:ascii="黑体" w:hAnsi="黑体" w:eastAsia="黑体"/>
          <w:sz w:val="32"/>
        </w:rPr>
        <w:t>六、一般公共预算财政拨款基本支出决算情况说明</w:t>
      </w:r>
    </w:p>
    <w:p w14:paraId="203AB260">
      <w:pPr>
        <w:spacing w:line="580" w:lineRule="exact"/>
        <w:ind w:firstLine="640"/>
        <w:jc w:val="both"/>
      </w:pPr>
      <w:r>
        <w:rPr>
          <w:rFonts w:ascii="仿宋_GB2312" w:hAnsi="仿宋_GB2312" w:eastAsia="仿宋_GB2312"/>
          <w:b w:val="0"/>
          <w:sz w:val="32"/>
        </w:rPr>
        <w:t>2024年度一般公共预算财政拨款基本支出55.50万元，其中：</w:t>
      </w:r>
      <w:r>
        <w:rPr>
          <w:rFonts w:ascii="仿宋_GB2312" w:hAnsi="仿宋_GB2312" w:eastAsia="仿宋_GB2312"/>
          <w:b/>
          <w:sz w:val="32"/>
        </w:rPr>
        <w:t>人员经费55.19万元，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5B59171">
      <w:pPr>
        <w:spacing w:line="580" w:lineRule="exact"/>
        <w:ind w:firstLine="640"/>
        <w:jc w:val="both"/>
      </w:pPr>
      <w:r>
        <w:rPr>
          <w:rFonts w:ascii="仿宋_GB2312" w:hAnsi="仿宋_GB2312" w:eastAsia="仿宋_GB2312"/>
          <w:b/>
          <w:sz w:val="32"/>
        </w:rPr>
        <w:t>公用经费0.31万元，</w:t>
      </w:r>
      <w:r>
        <w:rPr>
          <w:rFonts w:ascii="仿宋_GB2312" w:hAnsi="仿宋_GB2312" w:eastAsia="仿宋_GB2312"/>
          <w:b w:val="0"/>
          <w:sz w:val="32"/>
        </w:rPr>
        <w:t>包括：办公费、邮电费。</w:t>
      </w:r>
    </w:p>
    <w:p w14:paraId="2F6F1F15">
      <w:pPr>
        <w:spacing w:line="640" w:lineRule="exact"/>
        <w:ind w:firstLine="640"/>
        <w:jc w:val="both"/>
        <w:outlineLvl w:val="2"/>
      </w:pPr>
      <w:r>
        <w:rPr>
          <w:rFonts w:ascii="黑体" w:hAnsi="黑体" w:eastAsia="黑体"/>
          <w:sz w:val="32"/>
        </w:rPr>
        <w:t>七、政府性基金预算财政拨款收入支出决算情况说明</w:t>
      </w:r>
    </w:p>
    <w:p w14:paraId="1C01A7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AF2B07">
      <w:pPr>
        <w:spacing w:line="640" w:lineRule="exact"/>
        <w:ind w:firstLine="640"/>
        <w:jc w:val="both"/>
        <w:outlineLvl w:val="2"/>
      </w:pPr>
      <w:r>
        <w:rPr>
          <w:rFonts w:ascii="黑体" w:hAnsi="黑体" w:eastAsia="黑体"/>
          <w:sz w:val="32"/>
        </w:rPr>
        <w:t>八、国有资本经营预算财政拨款收入支出决算情况说明</w:t>
      </w:r>
    </w:p>
    <w:p w14:paraId="76A55A2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D98A0D2">
      <w:pPr>
        <w:spacing w:line="640" w:lineRule="exact"/>
        <w:ind w:firstLine="640"/>
        <w:jc w:val="both"/>
        <w:outlineLvl w:val="2"/>
      </w:pPr>
      <w:r>
        <w:rPr>
          <w:rFonts w:ascii="黑体" w:hAnsi="黑体" w:eastAsia="黑体"/>
          <w:sz w:val="32"/>
        </w:rPr>
        <w:t>九、财政拨款“三公”经费支出决算情况说明</w:t>
      </w:r>
    </w:p>
    <w:p w14:paraId="23553E3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83C2C8">
      <w:pPr>
        <w:spacing w:line="580" w:lineRule="exact"/>
        <w:ind w:firstLine="640"/>
        <w:jc w:val="both"/>
      </w:pPr>
      <w:r>
        <w:rPr>
          <w:rFonts w:ascii="仿宋_GB2312" w:hAnsi="仿宋_GB2312" w:eastAsia="仿宋_GB2312"/>
          <w:b/>
          <w:sz w:val="32"/>
        </w:rPr>
        <w:t>具体情况如下：</w:t>
      </w:r>
    </w:p>
    <w:p w14:paraId="45E207B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F8DC3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6DD6B9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F278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E3B79B">
      <w:pPr>
        <w:spacing w:line="640" w:lineRule="exact"/>
        <w:ind w:firstLine="640"/>
        <w:jc w:val="both"/>
        <w:outlineLvl w:val="2"/>
      </w:pPr>
      <w:r>
        <w:rPr>
          <w:rFonts w:ascii="黑体" w:hAnsi="黑体" w:eastAsia="黑体"/>
          <w:sz w:val="32"/>
        </w:rPr>
        <w:t>十、其他重要事项的情况说明</w:t>
      </w:r>
    </w:p>
    <w:p w14:paraId="3DBA3209">
      <w:pPr>
        <w:spacing w:line="640" w:lineRule="exact"/>
        <w:ind w:firstLine="640"/>
        <w:jc w:val="both"/>
        <w:outlineLvl w:val="3"/>
      </w:pPr>
      <w:r>
        <w:rPr>
          <w:rFonts w:ascii="楷体_GB2312" w:hAnsi="楷体_GB2312" w:eastAsia="楷体_GB2312"/>
          <w:b/>
          <w:sz w:val="32"/>
        </w:rPr>
        <w:t>（一）机关运行经费及公用经费支出情况</w:t>
      </w:r>
    </w:p>
    <w:p w14:paraId="735D642E">
      <w:pPr>
        <w:spacing w:line="580" w:lineRule="exact"/>
        <w:ind w:firstLine="640"/>
        <w:jc w:val="both"/>
      </w:pPr>
      <w:r>
        <w:rPr>
          <w:rFonts w:ascii="仿宋_GB2312" w:hAnsi="仿宋_GB2312" w:eastAsia="仿宋_GB2312"/>
          <w:b w:val="0"/>
          <w:sz w:val="32"/>
        </w:rPr>
        <w:t>2024年度英吉沙县招商服务中心（事业单位）公用经费支出0.31万元，比上年增加0.19万元，增长158.33%，主要原因是：本年办公费、邮电费支出增加，导致公用经费支出增加。</w:t>
      </w:r>
    </w:p>
    <w:p w14:paraId="7D3DBAD0">
      <w:pPr>
        <w:spacing w:line="640" w:lineRule="exact"/>
        <w:ind w:firstLine="640"/>
        <w:jc w:val="both"/>
        <w:outlineLvl w:val="3"/>
      </w:pPr>
      <w:r>
        <w:rPr>
          <w:rFonts w:ascii="楷体_GB2312" w:hAnsi="楷体_GB2312" w:eastAsia="楷体_GB2312"/>
          <w:b/>
          <w:sz w:val="32"/>
        </w:rPr>
        <w:t>（二）政府采购情况</w:t>
      </w:r>
    </w:p>
    <w:p w14:paraId="2DBA26D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CD6E02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8212247">
      <w:pPr>
        <w:spacing w:line="640" w:lineRule="exact"/>
        <w:ind w:firstLine="640"/>
        <w:jc w:val="both"/>
        <w:outlineLvl w:val="3"/>
      </w:pPr>
      <w:r>
        <w:rPr>
          <w:rFonts w:ascii="楷体_GB2312" w:hAnsi="楷体_GB2312" w:eastAsia="楷体_GB2312"/>
          <w:b/>
          <w:sz w:val="32"/>
        </w:rPr>
        <w:t>（三）国有资产占用情况说明</w:t>
      </w:r>
    </w:p>
    <w:p w14:paraId="3419FD7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566C321">
      <w:pPr>
        <w:spacing w:line="640" w:lineRule="exact"/>
        <w:ind w:firstLine="640"/>
        <w:jc w:val="both"/>
        <w:outlineLvl w:val="2"/>
      </w:pPr>
      <w:r>
        <w:rPr>
          <w:rFonts w:ascii="黑体" w:hAnsi="黑体" w:eastAsia="黑体"/>
          <w:sz w:val="32"/>
        </w:rPr>
        <w:t>十一、预算绩效的情况说明</w:t>
      </w:r>
    </w:p>
    <w:p w14:paraId="0817114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2,551.68万元，实际执行总额2,551.68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14:paraId="647B8B9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E83A9D">
        <w:tblPrEx>
          <w:tblCellMar>
            <w:top w:w="0" w:type="dxa"/>
            <w:left w:w="108" w:type="dxa"/>
            <w:bottom w:w="0" w:type="dxa"/>
            <w:right w:w="108" w:type="dxa"/>
          </w:tblCellMar>
        </w:tblPrEx>
        <w:tc>
          <w:tcPr>
            <w:tcW w:w="8847" w:type="dxa"/>
            <w:gridSpan w:val="9"/>
            <w:vAlign w:val="center"/>
          </w:tcPr>
          <w:p w14:paraId="6376AFCF">
            <w:pPr>
              <w:jc w:val="center"/>
            </w:pPr>
            <w:r>
              <w:rPr>
                <w:rFonts w:ascii="宋体" w:hAnsi="宋体" w:eastAsia="宋体"/>
                <w:sz w:val="24"/>
              </w:rPr>
              <w:t>单位整体支出绩效自评表</w:t>
            </w:r>
          </w:p>
        </w:tc>
      </w:tr>
      <w:tr w14:paraId="43310EE0">
        <w:tblPrEx>
          <w:tblCellMar>
            <w:top w:w="0" w:type="dxa"/>
            <w:left w:w="108" w:type="dxa"/>
            <w:bottom w:w="0" w:type="dxa"/>
            <w:right w:w="108" w:type="dxa"/>
          </w:tblCellMar>
        </w:tblPrEx>
        <w:tc>
          <w:tcPr>
            <w:tcW w:w="8847" w:type="dxa"/>
            <w:gridSpan w:val="9"/>
            <w:vAlign w:val="center"/>
          </w:tcPr>
          <w:p w14:paraId="127E9D96">
            <w:pPr>
              <w:jc w:val="center"/>
            </w:pPr>
            <w:r>
              <w:rPr>
                <w:rFonts w:ascii="宋体" w:hAnsi="宋体" w:eastAsia="宋体"/>
                <w:sz w:val="24"/>
              </w:rPr>
              <w:t>（2024年度）</w:t>
            </w:r>
          </w:p>
        </w:tc>
      </w:tr>
      <w:tr w14:paraId="557602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E9F4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0C64A6">
            <w:pPr>
              <w:jc w:val="center"/>
            </w:pPr>
            <w:r>
              <w:rPr>
                <w:rFonts w:ascii="宋体" w:hAnsi="宋体" w:eastAsia="宋体"/>
                <w:sz w:val="16"/>
              </w:rPr>
              <w:t>英吉沙县招商服务中心</w:t>
            </w:r>
          </w:p>
        </w:tc>
      </w:tr>
      <w:tr w14:paraId="4E3688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DC88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52D0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89E0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770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E140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A126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D356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BB337">
            <w:pPr>
              <w:jc w:val="center"/>
            </w:pPr>
            <w:r>
              <w:rPr>
                <w:rFonts w:ascii="宋体" w:hAnsi="宋体" w:eastAsia="宋体"/>
                <w:sz w:val="16"/>
              </w:rPr>
              <w:t>得分</w:t>
            </w:r>
          </w:p>
        </w:tc>
      </w:tr>
      <w:tr w14:paraId="34A880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2B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CBC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260B">
            <w:pPr>
              <w:jc w:val="center"/>
            </w:pPr>
            <w:r>
              <w:rPr>
                <w:rFonts w:ascii="宋体" w:hAnsi="宋体" w:eastAsia="宋体"/>
                <w:sz w:val="16"/>
              </w:rPr>
              <w:t>64.08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4FA4A">
            <w:pPr>
              <w:jc w:val="center"/>
            </w:pPr>
            <w:r>
              <w:rPr>
                <w:rFonts w:ascii="宋体" w:hAnsi="宋体" w:eastAsia="宋体"/>
                <w:sz w:val="16"/>
              </w:rPr>
              <w:t>2,551.68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4CC07">
            <w:pPr>
              <w:jc w:val="center"/>
            </w:pPr>
            <w:r>
              <w:rPr>
                <w:rFonts w:ascii="宋体" w:hAnsi="宋体" w:eastAsia="宋体"/>
                <w:sz w:val="16"/>
              </w:rPr>
              <w:t>2,551.68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A87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9E94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8AAF0">
            <w:pPr>
              <w:jc w:val="center"/>
            </w:pPr>
            <w:r>
              <w:rPr>
                <w:rFonts w:ascii="宋体" w:hAnsi="宋体" w:eastAsia="宋体"/>
                <w:sz w:val="16"/>
              </w:rPr>
              <w:t>10</w:t>
            </w:r>
          </w:p>
        </w:tc>
      </w:tr>
      <w:tr w14:paraId="223B05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6F9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3C15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A9B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035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96A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B82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52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2C03F">
            <w:pPr>
              <w:jc w:val="center"/>
            </w:pPr>
            <w:r>
              <w:rPr>
                <w:rFonts w:ascii="宋体" w:hAnsi="宋体" w:eastAsia="宋体"/>
                <w:sz w:val="16"/>
              </w:rPr>
              <w:t>—</w:t>
            </w:r>
          </w:p>
        </w:tc>
      </w:tr>
      <w:tr w14:paraId="16C376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EDA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170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3119C">
            <w:pPr>
              <w:jc w:val="center"/>
            </w:pPr>
            <w:r>
              <w:rPr>
                <w:rFonts w:ascii="宋体" w:hAnsi="宋体" w:eastAsia="宋体"/>
                <w:sz w:val="16"/>
              </w:rPr>
              <w:t>64.08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95492">
            <w:pPr>
              <w:jc w:val="center"/>
            </w:pPr>
            <w:r>
              <w:rPr>
                <w:rFonts w:ascii="宋体" w:hAnsi="宋体" w:eastAsia="宋体"/>
                <w:sz w:val="16"/>
              </w:rPr>
              <w:t>55.50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B4992">
            <w:pPr>
              <w:jc w:val="center"/>
            </w:pPr>
            <w:r>
              <w:rPr>
                <w:rFonts w:ascii="宋体" w:hAnsi="宋体" w:eastAsia="宋体"/>
                <w:sz w:val="16"/>
              </w:rPr>
              <w:t>55.50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E72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BA8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EDBE4">
            <w:pPr>
              <w:jc w:val="center"/>
            </w:pPr>
            <w:r>
              <w:rPr>
                <w:rFonts w:ascii="宋体" w:hAnsi="宋体" w:eastAsia="宋体"/>
                <w:sz w:val="16"/>
              </w:rPr>
              <w:t>—</w:t>
            </w:r>
          </w:p>
        </w:tc>
      </w:tr>
      <w:tr w14:paraId="45C140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636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6B86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423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9CAD">
            <w:pPr>
              <w:jc w:val="center"/>
            </w:pPr>
            <w:r>
              <w:rPr>
                <w:rFonts w:ascii="宋体" w:hAnsi="宋体" w:eastAsia="宋体"/>
                <w:sz w:val="16"/>
              </w:rPr>
              <w:t>2,496.18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00EE0">
            <w:pPr>
              <w:jc w:val="center"/>
            </w:pPr>
            <w:r>
              <w:rPr>
                <w:rFonts w:ascii="宋体" w:hAnsi="宋体" w:eastAsia="宋体"/>
                <w:sz w:val="16"/>
              </w:rPr>
              <w:t>2,496.18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8D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737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52E3">
            <w:pPr>
              <w:jc w:val="center"/>
            </w:pPr>
            <w:r>
              <w:rPr>
                <w:rFonts w:ascii="宋体" w:hAnsi="宋体" w:eastAsia="宋体"/>
                <w:sz w:val="16"/>
              </w:rPr>
              <w:t>—</w:t>
            </w:r>
          </w:p>
        </w:tc>
      </w:tr>
      <w:tr w14:paraId="4404EB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A02A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5DAF1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49666">
            <w:pPr>
              <w:jc w:val="center"/>
            </w:pPr>
            <w:r>
              <w:rPr>
                <w:rFonts w:ascii="宋体" w:hAnsi="宋体" w:eastAsia="宋体"/>
                <w:sz w:val="16"/>
              </w:rPr>
              <w:t>实际完成情况</w:t>
            </w:r>
          </w:p>
        </w:tc>
      </w:tr>
      <w:tr w14:paraId="0F3AC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8505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3C10E9">
            <w:pPr>
              <w:jc w:val="both"/>
            </w:pPr>
            <w:r>
              <w:rPr>
                <w:rFonts w:ascii="宋体" w:hAnsi="宋体" w:eastAsia="宋体"/>
                <w:sz w:val="16"/>
              </w:rPr>
              <w:t>2024年，紧紧围绕党中央、国务院决策部署和自治区、地区要求，贯彻落实第二次、第三次中央新疆工作座谈会精神，特别是2022年7月、2023年8月习近平总书记关于新疆工作的重要讲话精神，贯彻落实第九次全国对口援疆工作会议精神，紧盯自治区党委提出的“十大产业集群”发展战略和地委提出的“重点发展劳动密集型产业、特色优势产业、</w:t>
            </w:r>
            <w:r>
              <w:rPr>
                <w:rFonts w:hint="eastAsia" w:ascii="宋体" w:hAnsi="宋体"/>
                <w:sz w:val="16"/>
                <w:lang w:eastAsia="zh-CN"/>
              </w:rPr>
              <w:t>战略性新兴产业</w:t>
            </w:r>
            <w:r>
              <w:rPr>
                <w:rFonts w:ascii="宋体" w:hAnsi="宋体" w:eastAsia="宋体"/>
                <w:sz w:val="16"/>
              </w:rPr>
              <w:t>和资源密集型产业”的工作部署，不断增强招商项目的储备和策划能力，整合招商资源，强化工作措施，圆满完成各项</w:t>
            </w:r>
            <w:r>
              <w:rPr>
                <w:rFonts w:hint="eastAsia" w:ascii="宋体" w:hAnsi="宋体"/>
                <w:sz w:val="16"/>
                <w:lang w:eastAsia="zh-CN"/>
              </w:rPr>
              <w:t>招</w:t>
            </w:r>
            <w:r>
              <w:rPr>
                <w:rFonts w:ascii="宋体" w:hAnsi="宋体" w:eastAsia="宋体"/>
                <w:sz w:val="16"/>
              </w:rPr>
              <w:t>商引资工作任务，确保</w:t>
            </w:r>
            <w:r>
              <w:rPr>
                <w:rFonts w:hint="eastAsia" w:ascii="宋体" w:hAnsi="宋体"/>
                <w:sz w:val="16"/>
                <w:lang w:eastAsia="zh-CN"/>
              </w:rPr>
              <w:t>招</w:t>
            </w:r>
            <w:r>
              <w:rPr>
                <w:rFonts w:ascii="宋体" w:hAnsi="宋体" w:eastAsia="宋体"/>
                <w:sz w:val="16"/>
              </w:rPr>
              <w:t>商引资取得新成效。据2023年地区下达</w:t>
            </w:r>
            <w:r>
              <w:rPr>
                <w:rFonts w:hint="eastAsia" w:ascii="宋体" w:hAnsi="宋体"/>
                <w:sz w:val="16"/>
                <w:lang w:eastAsia="zh-CN"/>
              </w:rPr>
              <w:t>招</w:t>
            </w:r>
            <w:r>
              <w:rPr>
                <w:rFonts w:ascii="宋体" w:hAnsi="宋体" w:eastAsia="宋体"/>
                <w:sz w:val="16"/>
              </w:rPr>
              <w:t>商引资目标任务和</w:t>
            </w:r>
            <w:r>
              <w:rPr>
                <w:rFonts w:hint="eastAsia" w:ascii="宋体" w:hAnsi="宋体"/>
                <w:sz w:val="16"/>
                <w:lang w:eastAsia="zh-CN"/>
              </w:rPr>
              <w:t>招</w:t>
            </w:r>
            <w:r>
              <w:rPr>
                <w:rFonts w:ascii="宋体" w:hAnsi="宋体" w:eastAsia="宋体"/>
                <w:sz w:val="16"/>
              </w:rPr>
              <w:t>商引资工作开展情况，测算2024年英吉沙县到位资金14.5亿元，整体增幅20%，其中区外到位资金11亿元，区内到位资金3.5亿元，新建亿元以上项目6个、对接洽谈企业不少于80家、区外签约项目不少于30个。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C6193F">
            <w:pPr>
              <w:jc w:val="both"/>
            </w:pPr>
            <w:r>
              <w:rPr>
                <w:rFonts w:hint="eastAsia" w:ascii="宋体" w:hAnsi="宋体"/>
                <w:sz w:val="16"/>
                <w:lang w:eastAsia="zh-CN"/>
              </w:rPr>
              <w:t>截至</w:t>
            </w:r>
            <w:r>
              <w:rPr>
                <w:rFonts w:ascii="宋体" w:hAnsi="宋体" w:eastAsia="宋体"/>
                <w:sz w:val="16"/>
              </w:rPr>
              <w:t>2024年12月，</w:t>
            </w:r>
            <w:r>
              <w:rPr>
                <w:rFonts w:hint="eastAsia" w:ascii="宋体" w:hAnsi="宋体"/>
                <w:sz w:val="16"/>
                <w:lang w:eastAsia="zh-CN"/>
              </w:rPr>
              <w:t>本单位</w:t>
            </w:r>
            <w:r>
              <w:rPr>
                <w:rFonts w:ascii="宋体" w:hAnsi="宋体" w:eastAsia="宋体"/>
                <w:sz w:val="16"/>
              </w:rPr>
              <w:t>本年度实际完成外出招商18批次，对接洽谈企业92家，接待考察企业60批次，区外签约项目30个，新建亿元以上项目6个，到位资金18.17亿元，完成全年目标任务100.94%，较2023年同比增长35.6%，进一步提高英吉沙县经济发展。</w:t>
            </w:r>
          </w:p>
        </w:tc>
      </w:tr>
      <w:tr w14:paraId="19C5CE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DE7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80F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3F8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66D1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2200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07C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632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36CE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A3A2D">
            <w:pPr>
              <w:jc w:val="center"/>
            </w:pPr>
            <w:r>
              <w:rPr>
                <w:rFonts w:ascii="宋体" w:hAnsi="宋体" w:eastAsia="宋体"/>
                <w:sz w:val="16"/>
              </w:rPr>
              <w:t>得分</w:t>
            </w:r>
          </w:p>
        </w:tc>
      </w:tr>
      <w:tr w14:paraId="122D93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6999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6043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76A36">
            <w:pPr>
              <w:jc w:val="center"/>
            </w:pPr>
            <w:r>
              <w:rPr>
                <w:rFonts w:ascii="宋体" w:hAnsi="宋体" w:eastAsia="宋体"/>
                <w:sz w:val="16"/>
              </w:rPr>
              <w:t>新建亿元以上项目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99B92">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8A23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D29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9947F">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D4A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53123">
            <w:pPr>
              <w:jc w:val="center"/>
            </w:pPr>
            <w:r>
              <w:rPr>
                <w:rFonts w:ascii="宋体" w:hAnsi="宋体" w:eastAsia="宋体"/>
                <w:sz w:val="16"/>
              </w:rPr>
              <w:t>20</w:t>
            </w:r>
          </w:p>
        </w:tc>
      </w:tr>
      <w:tr w14:paraId="0EBB47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0FE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5D8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6E502">
            <w:pPr>
              <w:jc w:val="center"/>
            </w:pPr>
            <w:r>
              <w:rPr>
                <w:rFonts w:ascii="宋体" w:hAnsi="宋体" w:eastAsia="宋体"/>
                <w:sz w:val="16"/>
              </w:rPr>
              <w:t>对接洽谈企业个数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B8F5B">
            <w:pPr>
              <w:jc w:val="center"/>
            </w:pPr>
            <w:r>
              <w:rPr>
                <w:rFonts w:ascii="宋体" w:hAnsi="宋体" w:eastAsia="宋体"/>
                <w:sz w:val="16"/>
              </w:rPr>
              <w:t>&gt;=80家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99BC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37B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3FDA4">
            <w:pPr>
              <w:jc w:val="center"/>
            </w:pPr>
            <w:r>
              <w:rPr>
                <w:rFonts w:ascii="宋体" w:hAnsi="宋体" w:eastAsia="宋体"/>
                <w:sz w:val="16"/>
              </w:rPr>
              <w:t>=92家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878E5">
            <w:pPr>
              <w:jc w:val="center"/>
            </w:pPr>
            <w:r>
              <w:rPr>
                <w:rFonts w:ascii="宋体" w:hAnsi="宋体" w:eastAsia="宋体"/>
                <w:sz w:val="16"/>
              </w:rPr>
              <w:t>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C40A9">
            <w:pPr>
              <w:jc w:val="center"/>
            </w:pPr>
            <w:r>
              <w:rPr>
                <w:rFonts w:ascii="宋体" w:hAnsi="宋体" w:eastAsia="宋体"/>
                <w:sz w:val="16"/>
              </w:rPr>
              <w:t>20</w:t>
            </w:r>
          </w:p>
        </w:tc>
      </w:tr>
      <w:tr w14:paraId="100A6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19D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EBE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6AB9D">
            <w:pPr>
              <w:jc w:val="center"/>
            </w:pPr>
            <w:r>
              <w:rPr>
                <w:rFonts w:ascii="宋体" w:hAnsi="宋体" w:eastAsia="宋体"/>
                <w:sz w:val="16"/>
              </w:rPr>
              <w:t>区外签约项目个数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7CD6E">
            <w:pPr>
              <w:jc w:val="center"/>
            </w:pPr>
            <w:r>
              <w:rPr>
                <w:rFonts w:ascii="宋体" w:hAnsi="宋体" w:eastAsia="宋体"/>
                <w:sz w:val="16"/>
              </w:rPr>
              <w:t>&gt;=30个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8FF0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3CE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51BDF">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19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DE31C">
            <w:pPr>
              <w:jc w:val="center"/>
            </w:pPr>
            <w:r>
              <w:rPr>
                <w:rFonts w:ascii="宋体" w:hAnsi="宋体" w:eastAsia="宋体"/>
                <w:sz w:val="16"/>
              </w:rPr>
              <w:t>20</w:t>
            </w:r>
          </w:p>
        </w:tc>
      </w:tr>
      <w:tr w14:paraId="2C3946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3F6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0BC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7574C">
            <w:pPr>
              <w:jc w:val="center"/>
            </w:pPr>
            <w:r>
              <w:rPr>
                <w:rFonts w:ascii="宋体" w:hAnsi="宋体" w:eastAsia="宋体"/>
                <w:sz w:val="16"/>
              </w:rPr>
              <w:t>预计招商到位资金总额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FB298">
            <w:pPr>
              <w:jc w:val="center"/>
            </w:pPr>
            <w:r>
              <w:rPr>
                <w:rFonts w:ascii="宋体" w:hAnsi="宋体" w:eastAsia="宋体"/>
                <w:sz w:val="16"/>
              </w:rPr>
              <w:t>&gt;=14.50亿元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802D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B221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5918B">
            <w:pPr>
              <w:jc w:val="center"/>
            </w:pPr>
            <w:r>
              <w:rPr>
                <w:rFonts w:ascii="宋体" w:hAnsi="宋体" w:eastAsia="宋体"/>
                <w:sz w:val="16"/>
              </w:rPr>
              <w:t>=18.17亿元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5D3A">
            <w:pPr>
              <w:jc w:val="center"/>
            </w:pPr>
            <w:r>
              <w:rPr>
                <w:rFonts w:ascii="宋体" w:hAnsi="宋体" w:eastAsia="宋体"/>
                <w:sz w:val="16"/>
              </w:rPr>
              <w:t>125.31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FCE1D">
            <w:pPr>
              <w:jc w:val="center"/>
            </w:pPr>
            <w:r>
              <w:rPr>
                <w:rFonts w:ascii="宋体" w:hAnsi="宋体" w:eastAsia="宋体"/>
                <w:sz w:val="16"/>
              </w:rPr>
              <w:t>15</w:t>
            </w:r>
          </w:p>
        </w:tc>
      </w:tr>
      <w:tr w14:paraId="6780A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766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1554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831EC">
            <w:pPr>
              <w:jc w:val="center"/>
            </w:pPr>
            <w:r>
              <w:rPr>
                <w:rFonts w:ascii="宋体" w:hAnsi="宋体" w:eastAsia="宋体"/>
                <w:sz w:val="16"/>
              </w:rPr>
              <w:t>招商到位资金同比增长率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177DD">
            <w:pPr>
              <w:jc w:val="center"/>
            </w:pPr>
            <w:r>
              <w:rPr>
                <w:rFonts w:ascii="宋体" w:hAnsi="宋体" w:eastAsia="宋体"/>
                <w:sz w:val="16"/>
              </w:rPr>
              <w:t>&gt;=20%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F99C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DAA1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2ECE">
            <w:pPr>
              <w:jc w:val="center"/>
            </w:pPr>
            <w:r>
              <w:rPr>
                <w:rFonts w:ascii="宋体" w:hAnsi="宋体" w:eastAsia="宋体"/>
                <w:sz w:val="16"/>
              </w:rPr>
              <w:t>=35.6%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1AC8F">
            <w:pPr>
              <w:jc w:val="center"/>
            </w:pPr>
            <w:r>
              <w:rPr>
                <w:rFonts w:ascii="宋体" w:hAnsi="宋体" w:eastAsia="宋体"/>
                <w:sz w:val="16"/>
              </w:rPr>
              <w:t>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4AAB5">
            <w:pPr>
              <w:jc w:val="center"/>
            </w:pPr>
            <w:r>
              <w:rPr>
                <w:rFonts w:ascii="宋体" w:hAnsi="宋体" w:eastAsia="宋体"/>
                <w:sz w:val="16"/>
              </w:rPr>
              <w:t>15</w:t>
            </w:r>
          </w:p>
        </w:tc>
      </w:tr>
    </w:tbl>
    <w:p w14:paraId="6F8BB6FC">
      <w:r>
        <w:br w:type="page"/>
      </w:r>
    </w:p>
    <w:p w14:paraId="7DF6DA01">
      <w:pPr>
        <w:spacing w:line="640" w:lineRule="exact"/>
        <w:ind w:firstLine="640"/>
        <w:jc w:val="both"/>
        <w:outlineLvl w:val="2"/>
      </w:pPr>
      <w:r>
        <w:rPr>
          <w:rFonts w:ascii="黑体" w:hAnsi="黑体" w:eastAsia="黑体"/>
          <w:sz w:val="32"/>
        </w:rPr>
        <w:t>十二、其他需说明的事项</w:t>
      </w:r>
    </w:p>
    <w:p w14:paraId="14DAD34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0F770BF">
      <w:r>
        <w:br w:type="page"/>
      </w:r>
    </w:p>
    <w:p w14:paraId="25570BD7">
      <w:pPr>
        <w:spacing w:line="240" w:lineRule="auto"/>
        <w:jc w:val="center"/>
        <w:outlineLvl w:val="1"/>
      </w:pPr>
      <w:r>
        <w:rPr>
          <w:rFonts w:ascii="黑体" w:hAnsi="黑体" w:eastAsia="黑体"/>
          <w:sz w:val="32"/>
        </w:rPr>
        <w:t>第三部分 专业名词解释</w:t>
      </w:r>
    </w:p>
    <w:p w14:paraId="55AE52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D177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FDE60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9782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DC576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A4DD5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026BA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596FC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29AFD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D08A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4935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AFA44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6B9E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A4DB6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29CAE75">
      <w:r>
        <w:br w:type="page"/>
      </w:r>
    </w:p>
    <w:p w14:paraId="48ECDEB4">
      <w:pPr>
        <w:spacing w:line="240" w:lineRule="auto"/>
        <w:jc w:val="center"/>
        <w:outlineLvl w:val="1"/>
      </w:pPr>
      <w:r>
        <w:rPr>
          <w:rFonts w:ascii="黑体" w:hAnsi="黑体" w:eastAsia="黑体"/>
          <w:sz w:val="32"/>
        </w:rPr>
        <w:t>第四部分 部门决算报表（见附表）</w:t>
      </w:r>
    </w:p>
    <w:p w14:paraId="01F61345">
      <w:pPr>
        <w:spacing w:line="240" w:lineRule="auto"/>
        <w:ind w:firstLine="640"/>
        <w:jc w:val="both"/>
      </w:pPr>
      <w:r>
        <w:rPr>
          <w:rFonts w:ascii="仿宋_GB2312" w:hAnsi="仿宋_GB2312" w:eastAsia="仿宋_GB2312"/>
          <w:b w:val="0"/>
          <w:sz w:val="32"/>
        </w:rPr>
        <w:t>一、《收入支出决算总表》</w:t>
      </w:r>
    </w:p>
    <w:p w14:paraId="59ADE481">
      <w:pPr>
        <w:spacing w:line="240" w:lineRule="auto"/>
        <w:ind w:firstLine="640"/>
        <w:jc w:val="both"/>
      </w:pPr>
      <w:r>
        <w:rPr>
          <w:rFonts w:ascii="仿宋_GB2312" w:hAnsi="仿宋_GB2312" w:eastAsia="仿宋_GB2312"/>
          <w:b w:val="0"/>
          <w:sz w:val="32"/>
        </w:rPr>
        <w:t>二、《收入决算表》</w:t>
      </w:r>
    </w:p>
    <w:p w14:paraId="0069BD8D">
      <w:pPr>
        <w:spacing w:line="240" w:lineRule="auto"/>
        <w:ind w:firstLine="640"/>
        <w:jc w:val="both"/>
      </w:pPr>
      <w:r>
        <w:rPr>
          <w:rFonts w:ascii="仿宋_GB2312" w:hAnsi="仿宋_GB2312" w:eastAsia="仿宋_GB2312"/>
          <w:b w:val="0"/>
          <w:sz w:val="32"/>
        </w:rPr>
        <w:t>三、《支出决算表》</w:t>
      </w:r>
    </w:p>
    <w:p w14:paraId="0F6C3B95">
      <w:pPr>
        <w:spacing w:line="240" w:lineRule="auto"/>
        <w:ind w:firstLine="640"/>
        <w:jc w:val="both"/>
      </w:pPr>
      <w:r>
        <w:rPr>
          <w:rFonts w:ascii="仿宋_GB2312" w:hAnsi="仿宋_GB2312" w:eastAsia="仿宋_GB2312"/>
          <w:b w:val="0"/>
          <w:sz w:val="32"/>
        </w:rPr>
        <w:t>四、《财政拨款收入支出决算总表》</w:t>
      </w:r>
    </w:p>
    <w:p w14:paraId="5DAFA9B7">
      <w:pPr>
        <w:spacing w:line="240" w:lineRule="auto"/>
        <w:ind w:firstLine="640"/>
        <w:jc w:val="both"/>
      </w:pPr>
      <w:r>
        <w:rPr>
          <w:rFonts w:ascii="仿宋_GB2312" w:hAnsi="仿宋_GB2312" w:eastAsia="仿宋_GB2312"/>
          <w:b w:val="0"/>
          <w:sz w:val="32"/>
        </w:rPr>
        <w:t>五、《一般公共预算财政拨款支出决算表》</w:t>
      </w:r>
    </w:p>
    <w:p w14:paraId="180EFEF6">
      <w:pPr>
        <w:spacing w:line="240" w:lineRule="auto"/>
        <w:ind w:firstLine="640"/>
        <w:jc w:val="both"/>
      </w:pPr>
      <w:r>
        <w:rPr>
          <w:rFonts w:ascii="仿宋_GB2312" w:hAnsi="仿宋_GB2312" w:eastAsia="仿宋_GB2312"/>
          <w:b w:val="0"/>
          <w:sz w:val="32"/>
        </w:rPr>
        <w:t>六、《一般公共预算财政拨款基本支出决算表》</w:t>
      </w:r>
    </w:p>
    <w:p w14:paraId="011993B1">
      <w:pPr>
        <w:spacing w:line="240" w:lineRule="auto"/>
        <w:ind w:firstLine="640"/>
        <w:jc w:val="both"/>
      </w:pPr>
      <w:r>
        <w:rPr>
          <w:rFonts w:ascii="仿宋_GB2312" w:hAnsi="仿宋_GB2312" w:eastAsia="仿宋_GB2312"/>
          <w:b w:val="0"/>
          <w:sz w:val="32"/>
        </w:rPr>
        <w:t>七、《政府性基金预算财政拨款收入支出决算表》</w:t>
      </w:r>
    </w:p>
    <w:p w14:paraId="4B1C5E32">
      <w:pPr>
        <w:spacing w:line="240" w:lineRule="auto"/>
        <w:ind w:firstLine="640"/>
        <w:jc w:val="both"/>
      </w:pPr>
      <w:r>
        <w:rPr>
          <w:rFonts w:ascii="仿宋_GB2312" w:hAnsi="仿宋_GB2312" w:eastAsia="仿宋_GB2312"/>
          <w:b w:val="0"/>
          <w:sz w:val="32"/>
        </w:rPr>
        <w:t>八、《国有资本经营预算财政拨款收入支出决算表》</w:t>
      </w:r>
    </w:p>
    <w:p w14:paraId="08AF90FB">
      <w:pPr>
        <w:spacing w:line="240" w:lineRule="auto"/>
        <w:ind w:firstLine="640"/>
        <w:jc w:val="both"/>
      </w:pPr>
      <w:r>
        <w:rPr>
          <w:rFonts w:ascii="仿宋_GB2312" w:hAnsi="仿宋_GB2312" w:eastAsia="仿宋_GB2312"/>
          <w:b w:val="0"/>
          <w:sz w:val="32"/>
        </w:rPr>
        <w:t>九、《财政拨款“三公”经费支出决算表》</w:t>
      </w:r>
    </w:p>
    <w:p w14:paraId="53A9F49A">
      <w:pPr>
        <w:spacing w:line="240" w:lineRule="auto"/>
        <w:ind w:firstLine="640"/>
        <w:jc w:val="both"/>
      </w:pPr>
    </w:p>
    <w:p w14:paraId="06BF1A54">
      <w:pPr>
        <w:spacing w:line="240" w:lineRule="auto"/>
        <w:ind w:firstLine="640"/>
        <w:jc w:val="both"/>
      </w:pPr>
    </w:p>
    <w:p w14:paraId="74E24DF7">
      <w:pPr>
        <w:spacing w:line="240" w:lineRule="auto"/>
        <w:ind w:firstLine="640"/>
        <w:jc w:val="both"/>
      </w:pPr>
    </w:p>
    <w:p w14:paraId="62B6282D">
      <w:pPr>
        <w:spacing w:line="240" w:lineRule="auto"/>
        <w:ind w:firstLine="640"/>
        <w:jc w:val="both"/>
      </w:pPr>
    </w:p>
    <w:p w14:paraId="782C0F2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8041CF"/>
    <w:rsid w:val="1DAF458D"/>
    <w:rsid w:val="1E086ACE"/>
    <w:rsid w:val="1E4B5CA5"/>
    <w:rsid w:val="1EAA4A5F"/>
    <w:rsid w:val="1F21385C"/>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815DCA"/>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5367</Words>
  <Characters>6137</Characters>
  <Lines>0</Lines>
  <Paragraphs>0</Paragraphs>
  <TotalTime>5</TotalTime>
  <ScaleCrop>false</ScaleCrop>
  <LinksUpToDate>false</LinksUpToDate>
  <CharactersWithSpaces>6147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2025-09-17T05:42:23Z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