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bookmarkStart w:id="0" w:name="_GoBack"/>
      <w:bookmarkEnd w:id="0"/>
    </w:p>
    <w:p>
      <w:pPr>
        <w:spacing w:line="570" w:lineRule="exact"/>
        <w:jc w:val="center"/>
        <w:rPr>
          <w:rFonts w:ascii="华文中宋" w:hAnsi="华文中宋" w:eastAsia="华文中宋" w:cs="宋体"/>
          <w:b/>
          <w:kern w:val="0"/>
          <w:sz w:val="52"/>
          <w:szCs w:val="52"/>
        </w:rPr>
      </w:pPr>
    </w:p>
    <w:p>
      <w:pPr>
        <w:spacing w:line="570" w:lineRule="exact"/>
        <w:jc w:val="both"/>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部门单位项目支出绩效评价报告</w:t>
      </w:r>
    </w:p>
    <w:p>
      <w:pPr>
        <w:spacing w:line="570" w:lineRule="exact"/>
        <w:jc w:val="center"/>
        <w:rPr>
          <w:rFonts w:ascii="华文中宋" w:hAnsi="华文中宋" w:eastAsia="华文中宋" w:cs="宋体"/>
          <w:b/>
          <w:kern w:val="0"/>
          <w:sz w:val="52"/>
          <w:szCs w:val="52"/>
        </w:rPr>
      </w:pPr>
    </w:p>
    <w:p>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9"/>
          <w:rFonts w:hint="eastAsia" w:ascii="仿宋_GB2312" w:hAnsi="楷体" w:eastAsia="仿宋_GB2312"/>
          <w:spacing w:val="-4"/>
          <w:sz w:val="32"/>
          <w:szCs w:val="32"/>
        </w:rPr>
        <w:t>2024</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9"/>
          <w:rFonts w:hint="eastAsia" w:ascii="仿宋" w:hAnsi="仿宋" w:eastAsia="仿宋" w:cs="仿宋"/>
          <w:b w:val="0"/>
          <w:bCs w:val="0"/>
          <w:spacing w:val="-4"/>
          <w:sz w:val="32"/>
          <w:szCs w:val="32"/>
        </w:rPr>
        <w:t>2023年林草项目专项资金支付项目</w:t>
      </w:r>
    </w:p>
    <w:p>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9"/>
          <w:rFonts w:hint="eastAsia" w:ascii="仿宋" w:hAnsi="仿宋" w:eastAsia="仿宋" w:cs="仿宋"/>
          <w:b w:val="0"/>
          <w:bCs w:val="0"/>
          <w:spacing w:val="-4"/>
          <w:sz w:val="32"/>
          <w:szCs w:val="32"/>
        </w:rPr>
        <w:t>英吉沙县林业和草原局</w:t>
      </w:r>
    </w:p>
    <w:p>
      <w:pPr>
        <w:spacing w:line="540" w:lineRule="exact"/>
        <w:ind w:firstLine="360" w:firstLineChars="100"/>
        <w:rPr>
          <w:rFonts w:hint="eastAsia" w:ascii="仿宋" w:hAnsi="仿宋" w:eastAsia="仿宋" w:cs="仿宋"/>
          <w:spacing w:val="-4"/>
          <w:sz w:val="32"/>
          <w:szCs w:val="32"/>
        </w:rPr>
      </w:pPr>
      <w:r>
        <w:rPr>
          <w:rFonts w:hint="eastAsia" w:ascii="仿宋" w:hAnsi="仿宋" w:eastAsia="仿宋" w:cs="仿宋"/>
          <w:kern w:val="0"/>
          <w:sz w:val="36"/>
          <w:szCs w:val="36"/>
        </w:rPr>
        <w:t>主管部门（公章）：</w:t>
      </w:r>
      <w:r>
        <w:rPr>
          <w:rStyle w:val="19"/>
          <w:rFonts w:hint="eastAsia" w:ascii="仿宋" w:hAnsi="仿宋" w:eastAsia="仿宋" w:cs="仿宋"/>
          <w:b w:val="0"/>
          <w:bCs w:val="0"/>
          <w:spacing w:val="-4"/>
          <w:sz w:val="32"/>
          <w:szCs w:val="32"/>
        </w:rPr>
        <w:t>英吉沙县林业和草原局</w:t>
      </w:r>
    </w:p>
    <w:p>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9"/>
          <w:rFonts w:hint="eastAsia" w:ascii="仿宋" w:hAnsi="仿宋" w:eastAsia="仿宋" w:cs="仿宋"/>
          <w:b w:val="0"/>
          <w:bCs w:val="0"/>
          <w:spacing w:val="-4"/>
          <w:sz w:val="32"/>
          <w:szCs w:val="32"/>
        </w:rPr>
        <w:t>韩善伟</w:t>
      </w:r>
    </w:p>
    <w:p>
      <w:pPr>
        <w:spacing w:line="540" w:lineRule="exact"/>
        <w:ind w:firstLine="360" w:firstLineChars="100"/>
        <w:rPr>
          <w:rStyle w:val="19"/>
          <w:rFonts w:hint="eastAsia"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9"/>
          <w:rFonts w:hint="eastAsia" w:ascii="仿宋" w:hAnsi="仿宋" w:eastAsia="仿宋" w:cs="仿宋"/>
          <w:b w:val="0"/>
          <w:bCs w:val="0"/>
          <w:spacing w:val="-4"/>
          <w:sz w:val="32"/>
          <w:szCs w:val="32"/>
        </w:rPr>
        <w:t>2025年02月14日</w:t>
      </w:r>
    </w:p>
    <w:p>
      <w:pPr>
        <w:rPr>
          <w:rStyle w:val="19"/>
          <w:rFonts w:hint="eastAsia" w:ascii="仿宋" w:hAnsi="仿宋" w:eastAsia="仿宋" w:cs="仿宋"/>
          <w:b w:val="0"/>
          <w:bCs w:val="0"/>
          <w:spacing w:val="-4"/>
          <w:sz w:val="32"/>
          <w:szCs w:val="32"/>
        </w:rPr>
      </w:pPr>
      <w:r>
        <w:br w:type="page"/>
      </w:r>
    </w:p>
    <w:p>
      <w:pPr>
        <w:spacing w:line="570" w:lineRule="exact"/>
        <w:ind w:firstLine="624" w:firstLineChars="200"/>
        <w:rPr>
          <w:rStyle w:val="19"/>
          <w:rFonts w:ascii="黑体" w:hAnsi="黑体" w:eastAsia="黑体" w:cs="黑体"/>
          <w:b w:val="0"/>
          <w:spacing w:val="-4"/>
          <w:sz w:val="32"/>
          <w:szCs w:val="32"/>
        </w:rPr>
      </w:pPr>
      <w:r>
        <w:rPr>
          <w:rStyle w:val="19"/>
          <w:rFonts w:hint="eastAsia" w:ascii="黑体" w:hAnsi="黑体" w:eastAsia="黑体" w:cs="黑体"/>
          <w:b w:val="0"/>
          <w:spacing w:val="-4"/>
          <w:sz w:val="32"/>
          <w:szCs w:val="32"/>
        </w:rPr>
        <w:t>一、基本情况</w:t>
      </w:r>
    </w:p>
    <w:p>
      <w:pPr>
        <w:spacing w:line="570" w:lineRule="exact"/>
        <w:ind w:firstLine="627" w:firstLineChars="200"/>
        <w:rPr>
          <w:rStyle w:val="19"/>
          <w:rFonts w:ascii="方正楷体_GBK" w:hAnsi="方正楷体_GBK" w:eastAsia="方正楷体_GBK" w:cs="方正楷体_GBK"/>
          <w:bCs w:val="0"/>
          <w:spacing w:val="-4"/>
          <w:sz w:val="32"/>
          <w:szCs w:val="32"/>
        </w:rPr>
      </w:pPr>
      <w:r>
        <w:rPr>
          <w:rStyle w:val="19"/>
          <w:rFonts w:hint="eastAsia" w:ascii="楷体" w:hAnsi="楷体" w:eastAsia="楷体" w:cs="楷体"/>
          <w:bCs w:val="0"/>
          <w:spacing w:val="-4"/>
          <w:sz w:val="32"/>
          <w:szCs w:val="32"/>
        </w:rPr>
        <w:t>（一）项目概况。包括项目背景、主要内容及实施情况、资金投入和使用情况等。</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1. 项目背景</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xml:space="preserve">       本项目遵循财政部《项目支出绩效评价管理办法》（财预〔2020〕10号）和自治区财政厅《自治区财政支出绩效评价管理暂行办法》（新财预〔2018〕189号）《关于提前下达2024年林草专项资金预算的通知》（喀地财建〔2022〕128号）《关于下达2024年林草专项资金预算的通知》（喀地财建〔2023〕106号）等相关政策文件与规定，旨在评价财政预算资金使用的效率及效益。 </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2023年林草专项项目资金未全额支付，严重制约中小微企业发展，导致群众信访增加，通过2023年林草项目专项资金支付项目的实施，有效提高政府公信力。</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 主要内容及实施情况</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（2）主要内容</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项目计划投入资金项目资金393.04万元，用于支付2023年林草专项项目资金，其中，1.英吉沙县2023年中央林业草原生态保护恢复资金(国家重点野生动植物保护补助)项目(喀地财建(2022)128号)，总投资29.2万元，需支付资金7.696212万元。2.英吉沙县2023年草原植被恢复费项目(喀地财建(2022133号)总投资2万元，需支付资金0.38万元。3英吉沙县2023年中央财政林业草原生态保护恢复资金(国有林保护修复-森林防火)项目(喀地财建(2022〕128号)，总投资20万元，需支付资金8.041988万元。4.英吉沙县2023年第二批中央财政林业草原改革发展资金国土绿化-造林补助(乡村绿化美化)项目(喀地财建(2023】48号)，总投资20万元，需支付资金20万元。5.新疆英吉沙县2023年中央财政林业改革发展资金造林补助项目(喀地财建(2022127号)，总投资740万元，主要用于我县1万亩退化林修复及 1000亩造林补助，需支付资金4.37万元。6.英吉沙县2023年第二批中央林业草原改革发展资金项目(喀地财建〔2023】48号)，总投资309.46万元，主要用于我县五座水库肥料、生态林电费、生态林补植苗木等，需支付资金96.268956万元。7.英吉沙县2023年中央财政林业改革发展资金(国土绿化--沙化土地封禁保护补偿)项目(喀地财建(2022〕127号),总投资87.46万元，需支付资金2740585万元。8.英吉沙县2023年中央林业草原生态保护恢复资金(森林保护修复)林业有害生物防治项目(喀地财建(2022J128号)，总投资60万元，主要用于我县6万亩幼林鼠免害防治铁丝网采购，需支付资金50.25万元9.英吉沙县 2023年中央财政林业草原生态保护恢复资金(国有林保护修复-国有国家级公益林管护支出)项目(喀地财建〔2022)128号)总投资 130万元，主要用于22名管护员补助及2023年森林督察技术服务费用，需支付资金93万元。10.英吉沙县2023年中央财政林业草原生态保护恢复资金森林资源培育补助(乡村绿化美化)项目(喀地财建(2022〕128号)，总投资600万元，需支付资金68.86666万元11.2023年英吉沙县质增效示范园建设项目(喀地财建(2022】133号)，总投资48万元，主要用于2个县级示范园建设，需支付资金15.872万元。12.2023年第二批中央林业草原生态保护恢复资金(森林保护修复--森林防火)项目(喀地财建[2023)107号)，总投资37万元，需支付资金11.61936万元。13.英吉沙县2023年自治区林业发展补助资金项目(喀地财建〔2022〕133号)，总投资98.61万元，主要用于5座生态林管护站维修维护、克孜勒片区生态林防洪机械、补植沙枣苗木20万株，以及2022年机井维修设备款等费用，需支付资金60.2079万元。14.英吉沙县2022年森林植被恢复费异地植被恢复造林项目，项目总投资12.7568万元，主要用于县城至艾古斯乡路边71笛沙枣林建设费用，需支付资金12.7568万元。共计393.04万元。</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（2）实施情况</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实施前由项目负责人进行牵头，首先进行项目的前期调研。评估项目实施的相关性、预期绩效的可实现性、实施方案的有效性、财政资金投入可行性风险。其次在项目实施过程中结合本县的实际要求，严格按照相关文件的规定开展，在项目实施过程中不定期进行监督检查，发现问题及时整改。最后项目结束时实施单位及时进行成果验收，做好项目的后期管护工作。</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3.项目实施主体</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项目实施主体:英吉沙县林业和草原局</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项目实施时间：2024年1月-12月。</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xml:space="preserve"> </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实施主体基本情况：英吉沙县林业和草原局为全额事业单位，</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实施主体主要职能：（1）生态保护修复？：组织、协调、指导和监督林业和草原生态保护修复和造林绿化工作，指导公益林和商品林的培育，监督全民义务植树、城乡绿化工作，以及有害生物防治和检疫工作？资源管理？：负责森林、草原、湿地资源的监督管理，编制采伐限额并监督执行，管理林地、草原和湿地的开发利用？。（2）？野生动植物保护？：负责陆生野生动植物资源的监督管理，包括调查、救护繁育、经营利用等。（3）？荒漠化防治？：组织开展荒漠调查，制定防治规划，监督管理石漠化、沙化土地的开发利用。（4）？自然保护地管理？：负责各类自然保护地的规划和管理，包括国家公园、风景名胜区等的审核报批和监督管理。（5）？产业发展？：推进林业和草原改革和产业发展相关工作，包括集体林权制度、国有林区改革等。</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实施主体编制人数24人，其中：行政人员编制4人、工勤1人、参公4人、事业编制15人。实有在职人数23人，其中：行政在职4人、工勤1人、参公4人、事业在职14人。离退休人员24人，其中：行政退休人员10人、事业退休14人。</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4. 资金投入和使用情况</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（1）项目资金安排落实情况分析</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项目总投资393.04万元、资金来源为2023年林草专项项目资金。</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（2）项目资金总投入情况分析</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lang w:eastAsia="zh-CN"/>
        </w:rPr>
        <w:t>截至2024年</w:t>
      </w:r>
      <w:r>
        <w:rPr>
          <w:rStyle w:val="19"/>
          <w:rFonts w:hint="eastAsia" w:ascii="仿宋" w:hAnsi="仿宋" w:eastAsia="仿宋" w:cs="仿宋"/>
          <w:b w:val="0"/>
          <w:bCs w:val="0"/>
          <w:spacing w:val="-4"/>
          <w:sz w:val="32"/>
          <w:szCs w:val="32"/>
        </w:rPr>
        <w:t>12月31日，实际到位项目资金393.04万元，预算资金到位率为100%。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（3）资金使用情况</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截至2024年12月31日，实际支出382.04万元，预算执行率97.20%。</w:t>
      </w:r>
    </w:p>
    <w:p>
      <w:pPr>
        <w:spacing w:line="570" w:lineRule="exact"/>
        <w:ind w:firstLine="627" w:firstLineChars="200"/>
        <w:rPr>
          <w:rStyle w:val="19"/>
          <w:rFonts w:ascii="楷体" w:hAnsi="楷体" w:eastAsia="楷体" w:cs="楷体"/>
          <w:bCs w:val="0"/>
          <w:spacing w:val="-4"/>
          <w:sz w:val="32"/>
          <w:szCs w:val="32"/>
        </w:rPr>
      </w:pPr>
      <w:r>
        <w:rPr>
          <w:rStyle w:val="19"/>
          <w:rFonts w:hint="eastAsia" w:ascii="楷体" w:hAnsi="楷体" w:eastAsia="楷体" w:cs="楷体"/>
          <w:bCs w:val="0"/>
          <w:spacing w:val="-4"/>
          <w:sz w:val="32"/>
          <w:szCs w:val="32"/>
        </w:rPr>
        <w:t>（二）项目绩效目标。包括总体目标和阶段性目标。</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1.项目绩效总目标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该项目计划投入资金项目资金393.04万元，用于支付2023年林草专项项目资金，其中，1.英吉沙县2023年中央林业草原生态保护恢复资金(国家重点野生动植物保护补助)项目(喀地财建(2022)128号)，总投资29.2万元，需支付资金7.696212万元。2.英吉沙县2023年草原植被恢复费项目(喀地财建(2022133号)总投资2万元，需支付资金0.38万元。3英吉沙县2023年中央财政林业草原生态保护恢复资金(国有林保护修复-森林防火)项目(喀地财建(2022〕128号)，总投资20万元，需支付资金8.041988万元。4.英吉沙县2023年第二批中央财政林业草原改革发展资金国土绿化-造林补助(乡村绿化美化)项目(喀地财建(2023】48号)，总投资20万元，需支付资金20万元。5.新疆英吉沙县2023年中央财政林业改革发展资金造林补助项目(喀地财建(2022127号)，总投资740万元，主要用于我县1万亩退化林修复及 1000亩造林补助，需支付资金4.37万元。6.英吉沙县2023年第二批中央林业草原改革发展资金项目(喀地财建〔2023】48号)，总投资309.46万元，主要用于我县五座水库肥料、生态林电费、生态林补植苗木等，需支付资金96.268956万元。7.英吉沙县2023年中央财政林业改革发展资金(国土绿化--沙化土地封禁保护补偿)项目(喀地财建(2022〕127号),总投资87.46万元，需支付资金2740585万元。8.英吉沙县2023年中央林业草原生态保护恢复资金(森林保护修复)林业有害生物防治项目(喀地财建(2022J128号)，总投资60万元，主要用于我县6万亩幼林鼠免害防治铁丝网采购，需支付资金50.25万元9.英吉沙县 2023年中央财政林业草原生态保护恢复资金(国有林保护修复-国有国家级公益林管护支出)项目(喀地财建〔2022)128号)总投资 130万元，主要用于22名管护员补助及2023年森林督察技术服务费用，需支付资金93万元。10.英吉沙县2023年中央财政林业草原生态保护恢复资金森林资源培育补助(乡村绿化美化)项目(喀地财建(2022〕128号)，总投资600万元，需支付资金68.86666万元11.2023年英吉沙县质增效示范园建设项目(喀地财建(2022】133号)，总投资48万元，主要用于2个县级示范园建设，需支付资金15.872万元。12.2023年第二批中央林业草原生态保护恢复资金(森林保护修复--森林防火)项目(喀地财建[2023)107号)，总投资37万元，需支付资金11.61936万元。13.英吉沙县2023年自治区林业发展补助资金项目(喀地财建〔2022〕133号)，总投资98.61万元，主要用于5座生态林管护站维修维护、克孜勒片区生态林防洪机械、补植沙枣苗木20万株，以及2022年机井维修设备款等费用，需支付资金60.2079万元。14.英吉沙县2022年森林植被恢复费异地植被恢复造林项目，项目总投资12.7568万元，主要用于县城至艾古斯乡路边71笛沙枣林建设费用，需支付资金12.7568万元。共计393.04万元。通过该项目的实施有效化解制约中小微企业发展的困难和化解群众信访事项，提高政府公信力。</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2.阶段性目标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实施的前期准备工作:为进一步提高财政资金使用效益2024年度地方政府一般债务还本项目严格落实项目管理制度，明确职责分工，统一协调解决项目实施过程中出现的各类问题，确保项目的顺利实施，从预算收支管理、资产管理政府采购管理、合同管理等方面，健全和完善单位财务管理制度，坚定实施各项内部控制制度。，</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具体实施工作:项目负责人为韩善伟，负责对2024年到期一般债券还本及时足额上缴。财务人员约尔妮萨·阿布来提负责在财政平台做《用款计划》提交财政国库科审批，财政审批通过后，财务人员在财政平台做《支付计划》提交财政支付中心审批，财政支付中心审批后，履行国库直接支付程序，直接支付至各收款单位。</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财务负责人：约仁萨·阿卜来提，办理相关项目补贴拨付和支付财务工作。负责编制下一年度预算或追加预算时，应同时编制预算绩效计划，报送绩效目标。对预算绩效执行进行绩效监督检查和控制，按要求向本级财政局报告绩效目标执行情况和预算绩效管理情况，并按规定公开相关信息。</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验收阶段的具体工作:坚持“谁申请资金，谁编制目标，谁负责项目实施”的原则，严格执行专账管理，专款专用，原始凭证符合要求，支付手续齐全，资金及时结算，充分发挥财政专项资金的使用效益。我单位随时对专项资金项目进行监督检查，监督一般债券还本上缴是否按照预目计划时问如期进行，同时对专项项目瓷金进行定期成不定期督查，确保项目资全专款专用。</w:t>
      </w:r>
    </w:p>
    <w:p>
      <w:pPr>
        <w:spacing w:line="570" w:lineRule="exact"/>
        <w:ind w:firstLine="624" w:firstLineChars="200"/>
        <w:rPr>
          <w:rStyle w:val="19"/>
          <w:rFonts w:ascii="黑体" w:hAnsi="黑体" w:eastAsia="黑体" w:cs="黑体"/>
          <w:b w:val="0"/>
          <w:spacing w:val="-4"/>
          <w:sz w:val="32"/>
          <w:szCs w:val="32"/>
        </w:rPr>
      </w:pPr>
      <w:r>
        <w:rPr>
          <w:rStyle w:val="19"/>
          <w:rFonts w:hint="eastAsia" w:ascii="黑体" w:hAnsi="黑体" w:eastAsia="黑体" w:cs="黑体"/>
          <w:b w:val="0"/>
          <w:spacing w:val="-4"/>
          <w:sz w:val="32"/>
          <w:szCs w:val="32"/>
        </w:rPr>
        <w:t>二、绩效评价工作开展情况</w:t>
      </w:r>
    </w:p>
    <w:p>
      <w:pPr>
        <w:spacing w:line="570" w:lineRule="exact"/>
        <w:ind w:firstLine="627" w:firstLineChars="200"/>
        <w:rPr>
          <w:rStyle w:val="19"/>
          <w:rFonts w:ascii="楷体" w:hAnsi="楷体" w:eastAsia="楷体" w:cs="楷体"/>
          <w:bCs w:val="0"/>
          <w:spacing w:val="-4"/>
          <w:sz w:val="32"/>
          <w:szCs w:val="32"/>
        </w:rPr>
      </w:pPr>
      <w:r>
        <w:rPr>
          <w:rStyle w:val="19"/>
          <w:rFonts w:hint="eastAsia" w:ascii="楷体" w:hAnsi="楷体" w:eastAsia="楷体" w:cs="楷体"/>
          <w:bCs w:val="0"/>
          <w:spacing w:val="-4"/>
          <w:sz w:val="32"/>
          <w:szCs w:val="32"/>
        </w:rPr>
        <w:t>（一）绩效评价目的、对象</w:t>
      </w:r>
      <w:r>
        <w:rPr>
          <w:rStyle w:val="19"/>
          <w:rFonts w:hint="eastAsia" w:ascii="楷体" w:hAnsi="楷体" w:eastAsia="楷体" w:cs="楷体"/>
          <w:bCs w:val="0"/>
          <w:spacing w:val="-4"/>
          <w:sz w:val="32"/>
          <w:szCs w:val="32"/>
          <w:lang w:eastAsia="zh-CN"/>
        </w:rPr>
        <w:t>、时间和</w:t>
      </w:r>
      <w:r>
        <w:rPr>
          <w:rStyle w:val="19"/>
          <w:rFonts w:hint="eastAsia" w:ascii="楷体" w:hAnsi="楷体" w:eastAsia="楷体" w:cs="楷体"/>
          <w:bCs w:val="0"/>
          <w:spacing w:val="-4"/>
          <w:sz w:val="32"/>
          <w:szCs w:val="32"/>
        </w:rPr>
        <w:t>范围。</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1.绩效评价的目的</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为全面实施预算绩效管理，建立科学、合理的项目支出绩效评价管理体系，提高财政资源配置效率和使用效益，根据财政部印发《项目支出绩效评价管理办法》（财预〔2020〕10号）、《自治区财政支出绩效评价管理暂行办法》（新财预〔2018〕189号）文件精神，我单位针对2023年林草项目专项资金支付项目开展本次部门项目支出绩效评价工作。通过绩效评价，促进本单位总结经验、发现问题、改进工作，旨在评价本项目前期审批、实施过程及实施效果，促进预算管理不断完善，加快绩效目标的实现，保证财政资金有效、合理使用，具体绩效评价的目的细分如下：</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一是通过部门项目支出绩效评价，进一步严格落实《中华人民共和国预算法》以及党中央、国务院关于加强预算绩效管理的指示精神，建立健全“花钱必问效、无效必问责”的绩效预算管理机制、提升财政资金的使用效能。</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二是通过部门项目支出绩效评价，进一步完善绩效目标，根据项目绩效目标设立情况，细化形成多维度绩效指标，将绩效指标细化为数量指标、质量指标、时效指标、成本指标、经济效益指标、社会效益指标、可持续影响指标、服务对象满意度指标等内容，保证项目绩效指标设置科学、规范、合理、可衡量。</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四是通过部门项目支出绩效评价，从绩效的角度发现本项目在决策、实施和管理过程中存在的问题，寻求解决方案，为进一步深化项目管理工作提供依据，促进项目进一步的推进和后期项目维护和评价工作提供更深一步的理论和实际支持。</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2.绩效评价对象</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此次我单位根据《财政支出绩效评价管理暂行办法》（财预〔2020〕10号）文件要求实施评价工作，本次评价对象为2023年林草项目专项资金支付项目，评价核心为项目资金、项目产出、项目效益。</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3.绩效评价范围</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次绩效评价主要围绕项目资金使用情况和财务管理状况；资产配置、使用、处置及其收益管理情况；项目管理相关制度及措施是否被认真执行；绩效目标的实现程度（包括是否达到预定产出和效果）等方面进行综合绩效评价。</w:t>
      </w:r>
    </w:p>
    <w:p>
      <w:pPr>
        <w:spacing w:line="570" w:lineRule="exact"/>
        <w:ind w:firstLine="627" w:firstLineChars="200"/>
        <w:rPr>
          <w:rStyle w:val="19"/>
          <w:rFonts w:ascii="楷体" w:hAnsi="楷体" w:eastAsia="楷体" w:cs="楷体"/>
          <w:bCs w:val="0"/>
          <w:spacing w:val="-4"/>
          <w:sz w:val="32"/>
          <w:szCs w:val="32"/>
        </w:rPr>
      </w:pPr>
      <w:r>
        <w:rPr>
          <w:rStyle w:val="19"/>
          <w:rFonts w:hint="eastAsia" w:ascii="楷体" w:hAnsi="楷体" w:eastAsia="楷体" w:cs="楷体"/>
          <w:bCs w:val="0"/>
          <w:spacing w:val="-4"/>
          <w:sz w:val="32"/>
          <w:szCs w:val="32"/>
        </w:rPr>
        <w:t>（二）绩效评价原则、评价指标体系（附表说明）、评价方法、评价标准等。</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1.绩效评价原则</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依据《中华人民共和国预算法》《中共中央 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中共喀什地委喀什行政公署〈关于全面实施预算绩效管理的实施意见〉》（喀党发〔2018〕17号）等要求，绩效评价应遵循如下原则：</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（1）科学公正。绩效评价应当运用科学合理的方法，按照规范的程序，对项目绩效进行客观、公正的反映。</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统筹兼顾。单位自评、部门评价和财政评价应职责明确，各有侧重，相互衔接。单位自评应由项目单位自主实施，即“谁支出、谁自评”。部门评价和财政评价应在单位自评的基础上开展，必要时可委托第三方机构实施。</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（3）激励约束。绩效评价结果应与预算安排、政策调整、改进管理实质性挂钩，体现奖优罚劣和激励相容导向，有效要安排、低效要压减、无效要问责。</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（4）公开透明。绩效评价结果应依法依规公开，并自觉接受社会监督。</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根据以上原则，绩效评价应遵循如下要求:</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（1）在数据采集时，采取客观数据，主管部门审查、社会中介组织复查，与问卷调查相结合的形式，以保证各项指标的真实性。</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（2）保证评价结果的真实性、公正性，提高评价报告的公信力。</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绩效评价报告应当简明扼要，除了对绩效评价的过程、结果描述外，还应总结经验，指出问题，并就共性问题提出可操作性改进建议。评价工作组本着科学规范、公平公正、绩效相关的原则，采用全面、重点、现场和非现场相结合的方式进行评价。</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2.绩效评价指标体系</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我单位通过实施资料研读及前期调研，结合项目的实际开展情况，按照《项目支出绩效评价管理办法》（财预〔2020〕10号）文件要求，结合项目特点，经与专家组充分协商，设置指标体系结构如下：设置一级指标共4个，包括：决策指标、过程指标、产出指标、效益指标四类指标。主要围绕资金使用、项目管理、资源配置等方面，客观分析项目的产出和效果，从而考察项目预算定额标准的合理性，进而提出完善意见。整个评价框架构成体现从投入、过程到产出、效果和影响的绩效逻辑路径。项目绩效评价体系详见下表。</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2023年林草项目专项资金支付项目绩效评价指标体系及综合评分表</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一级指标        二级指标          三级指标                    得分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决策（15分）    项目立项（5分）   立项依据充分性（3分）         3</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xml:space="preserve">                                  立项程序（2分）               2 </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xml:space="preserve">                绩效目标（5分）   绩效目标合理性（3分）         3 </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xml:space="preserve">                                  绩效指标明确性（2分）         2 </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xml:space="preserve">                资金投入（5分）   预算编制（3分）               3 </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xml:space="preserve">                                  资金分配合理性（2分）         2 </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过程（20分）    资金管理（10分）  资金到位率（3分）             3</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xml:space="preserve">                                  预算执行率（3分）             2.94 </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xml:space="preserve">                                  资金使用合规性（4分）         4 </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xml:space="preserve">                组织实施（10分）  管理制度健全性（5分）         5 </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xml:space="preserve">                                  制度执行（5分）               5 </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产出（45分） 产出数量（10分）  实际完成率（10分）            9.29</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产出质量（10分）  质量达标率（10分）            10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产出时效（10分）  完成及时性（10分）            5</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产出成本（15分）  成本节约率（15分）            15</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效益（10分） 项目效益（10分）  实施效益（10分）              10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满意度（10分） 满意度（10分）    满意度（10分）                8</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xml:space="preserve">                权重分值：100分                     总得分      92.53 </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3.评价方法</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我单位根据本项目资金的性质和特点，选用比较法、公众评判法对项目进行评价，旨在通过综合分析影响绩效目标实现、实施效果的内外部因素，从而评价本项目绩效。其中：比较法，是指通过对绩效目标与实施效果、历史与当期情况、不同部门和地区同类支出的比较，综合分析绩效目标实现程度；公众评判法，是指通过专家评估、公众问卷及抽样调查等对财政支出效果进行评判，评价绩效目标实现程度。</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定量指标分析环节：主要采用对比三级指标预期指标值和三级指标截止评价日的完成情况，综合分析绩效目标实现程度。将实际完成值与年初指标值相比，完成指标值该指标赋全部分值；对完成值高于指标值较多的，要分析原因，如果是由于年初指标值设定明显偏低造成的，要按照偏离度适度调减分值；未完成指标值的，按照完成值与指标值的比例计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定性指标分析环节：主要采用公众评判法，通过问卷及抽样调查等方式评价本项目实施后社会公众对于其实施效果的满意程度，将调研结果按照《项目支出绩效评价管理办法》（财预〔2020〕10号）文件要求分为达成年度指标、部分达成年度指标并具有一定效果、未达成年度指标且效果较差三档，分别按照该指标对应分值区间100.00%-80.00%（含）、80.00%-60.00%（含）、60.00%-0.00%合理确定分值，详细评价方法的应用如下：</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立项依据充分性：比较法、文献法，查找法律法规政策以及规划，对比实际执行内容和政策支持内容是否匹配。</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立项程序规范性：比较法、文献法，查找相关项目设立的政策和文件要求，对比分析实际执行程序是否按照政策及文件要求执行，分析立项程序的规范性。</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绩效目标合理性：比较法，对比分析年初编制项目支出绩效目标表与项目内容的相关性、资金的匹配性等。</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绩效指标明确性：比较法，比较分析年初编制项目支出绩效目标表是否符合双七原则，是否可衡量。</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预算编制科学性：成本效益分析法 分析在产出一定的情况下，成本取值是否有依据，是否经过询价，是否按照市场最低成本编制。</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资金分配合理性：因素分析法，综合分析资金的分配依据是否充分，分配金额是否与项目实施单位需求金额一致，</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资金到位率：比较法，资金到位率预期指标值应为100.00%，通过实际计算，分析实际完成值和预期指标值之间的差距和原因。</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预算执行率：比较法，预算执行率预期指标值应为100.00%，通过实际计算，分析实际完成值和预期指标值之间的差距和原因。</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资金使用合规性：文献法、实地勘察法，一是查找资金管理办法，包括专项资金管理办法和单位自有资金管理办法；二是通过查账了解具体开支情况，是否专款专用，是否按照标准支出。</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管理制度健全性：文献法、比较法，查阅项目实施人员提供的财务和业务管理制度，将已建立的制度与现行的法律法规和政策要求进行对比，分析项目制度的合法性、合规性、完整性。</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制度执行有效性：比较法，结合项目实际实施过程性文件，根据已建设的财务管理制度和项目管理制度综合分析制度执行的有效性。</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定量指标：比较法，将实际完成值与年初指标值相比，完成指标值该指标赋全部分值；对完成值高于指标值较多的，要分析原因，如果是由于年初指标值设定明显偏低造成的，要按照偏离度适度调减分值；未完成指标值的，按照完成值与指标值的比例计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定性指标：公众评判法，通过问卷及抽样调查等方式评价本项目实施后社会公众对于其实施效果的满意程度。</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4. 绩效评价标准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绩效评价标准通常包括计划标准、行业标准、历史标准等，用于对绩效指标完成情况进行比较、分析、评价。具体绩效评价标准解释如下：</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计划标准：指以预先制定的目标、计划、预算、定额等作为评价标准。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行业标准：指参照国家公布的行业指标数据制定的评价标准。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历史标准：指参照历史数据制定的评价标准，为体现绩效改进的原则，在可实现的条件下应当确定相对较高的评价标准。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pPr>
        <w:spacing w:line="570" w:lineRule="exact"/>
        <w:ind w:firstLine="627" w:firstLineChars="200"/>
        <w:rPr>
          <w:rStyle w:val="19"/>
          <w:rFonts w:ascii="楷体" w:hAnsi="楷体" w:eastAsia="楷体" w:cs="楷体"/>
          <w:bCs w:val="0"/>
          <w:spacing w:val="-4"/>
          <w:sz w:val="32"/>
          <w:szCs w:val="32"/>
        </w:rPr>
      </w:pPr>
      <w:r>
        <w:rPr>
          <w:rStyle w:val="19"/>
          <w:rFonts w:hint="eastAsia" w:ascii="楷体" w:hAnsi="楷体" w:eastAsia="楷体" w:cs="楷体"/>
          <w:bCs w:val="0"/>
          <w:spacing w:val="-4"/>
          <w:sz w:val="32"/>
          <w:szCs w:val="32"/>
        </w:rPr>
        <w:t>（三）绩效评价工作过程。</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1.前期准备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我单位于2025年1月2日，确定绩效评价工作小组，正式开始前期准备工作，通过对评价对象前期调研，确定了评价的目的、方法以及评价的原则，根据项目的内容和特征制定了评价指标体系及评价标准。绩效评价工作小组人员名单及分工如下：</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高辉军（评价小组组长）：主要负责组织全盘工作开展，复核最终评价数据及报告质量;</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韩善伟（评价组副组长），绩效评价工作职责为为对项目实施情况进行实地调查。</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麦合苏提（评价小组组员）：主要负责年度总体目标和产出指标的评价，撰写项目支出部门评价报告。</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2.组织实施</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2025年1月4日-1月8日，评价工作进入实施阶段。在数据采集方面，评价小组整理单位前期提交的资料，与项目实施负责人沟通，了解资金的内容、操作流程、管理机制、资金使用方向等情况并采集信息，了解项目设置背景及资金使用等情况。</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3.分析评价</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2025年1月9日-1月18日，评价小组按照绩效评价的原则和规范，对取得的资料进行审查核实，对采集的数据进行分析，按照绩效评价指标评分表逐项进行打分、分析、汇总各方评价结果。　</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4.撰写与提交评价报告</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2025年1月19日-1月24日评价小组撰写绩效评价报告，按照新疆维吾尔自治区财政绩效管理信息系统绩效评价模块中统一格式和文本框架撰写绩效评价报告并提交审核。</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5.问题整改</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经审核通过后，由评价小组将报告推送至项目实施人员，由项目实施人员根据报告评价结论、存在的问题以及改进建议落实问题整改，并形成整改报告，由评价小组负责监督和核查整改落实情况，确保绩效评价落到实处。</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6.档案整理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建立和落实档案管理制度，将项目相关资料存档，包括但不限于：评价项目基本情况和相关文件、评价实施方案、项目支付资料等相关档案。</w:t>
      </w:r>
    </w:p>
    <w:p>
      <w:pPr>
        <w:spacing w:line="570" w:lineRule="exact"/>
        <w:ind w:firstLine="624" w:firstLineChars="200"/>
        <w:rPr>
          <w:rStyle w:val="19"/>
          <w:rFonts w:ascii="黑体" w:hAnsi="黑体" w:eastAsia="黑体" w:cs="黑体"/>
          <w:b w:val="0"/>
          <w:spacing w:val="-4"/>
          <w:sz w:val="32"/>
          <w:szCs w:val="32"/>
        </w:rPr>
      </w:pPr>
      <w:r>
        <w:rPr>
          <w:rStyle w:val="19"/>
          <w:rFonts w:hint="eastAsia" w:ascii="黑体" w:hAnsi="黑体" w:eastAsia="黑体" w:cs="黑体"/>
          <w:b w:val="0"/>
          <w:spacing w:val="-4"/>
          <w:sz w:val="32"/>
          <w:szCs w:val="32"/>
        </w:rPr>
        <w:t>三、综合评价情况及评价结论</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通过实施2023年林草专项资金支付项目产生社会效益。项目实施主要通过项目决策、项目过程、项目产出以及项目效益等方面进行评价，其中：</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决策：该项目主要通过依据该项目根据《关于下达2024年林草专项资金预算的通知》（喀地财建〔2023〕106号）文件实施喀地财建〔2022〕128号、喀地财建〔2022〕133号公喀地财建〔2023〕48号、喀地财建〔2022〕127号、喀地财建〔2023〕107号资金文件。文件立项，项目实施符合文件要求，项目立项依据充分，立项程序规范。</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项目过程：2023年林草专项资金支付项目预算安排 393.04万元，实际支出382.04万元，预算执行率97.2%。项目资金使用合规，项目财务管理制度健全，财务监控到位，所有资金支付均按照国库集中支付制度严格执行，现有项目管理制度执行情况良好。</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项目产出：</w:t>
      </w:r>
      <w:r>
        <w:rPr>
          <w:rStyle w:val="19"/>
          <w:rFonts w:hint="eastAsia" w:ascii="仿宋" w:hAnsi="仿宋" w:eastAsia="仿宋" w:cs="仿宋"/>
          <w:b w:val="0"/>
          <w:bCs w:val="0"/>
          <w:spacing w:val="-4"/>
          <w:sz w:val="32"/>
          <w:szCs w:val="32"/>
          <w:lang w:eastAsia="zh-CN"/>
        </w:rPr>
        <w:t>截至2024年</w:t>
      </w:r>
      <w:r>
        <w:rPr>
          <w:rStyle w:val="19"/>
          <w:rFonts w:hint="eastAsia" w:ascii="仿宋" w:hAnsi="仿宋" w:eastAsia="仿宋" w:cs="仿宋"/>
          <w:b w:val="0"/>
          <w:bCs w:val="0"/>
          <w:spacing w:val="-4"/>
          <w:sz w:val="32"/>
          <w:szCs w:val="32"/>
        </w:rPr>
        <w:t>12月31日，已实施2023年林草专项项目资金未全额支付，严重制约中小微企业发展，导致群众信访增加，通过2023年林草项目专项资金支付项目的实施，有效提高政府公信力。</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项目效益：通过实施此项目，极大地促进我县生态环境的改善与治理，持续巩固项目实施质量，产生社会效益，企业满意，提高政府公信力。</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（二）综合评价结论</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依据《中共中央国务院关于全面实施预算绩效管理的意见》《项目支出绩效评价管理办法》（财预〔2020〕10号）以及《关于进一步加强和规范喀什地区项目支出“全过程”预算绩效管理结果应用的通知》（喀地财绩〔2022〕2号）文件，绩效评价总分设置为100分，划分为四档：90（含）-100分为“优”、80（含）-90分为“良”、70（含）-80分为“中”、70分以下为“差”。经对2023年林草专项资金支付项目进行客观评价，最终评分结果：评价总分93.23分，绩效等级为“优”。</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2023年林草项目专项资金支付项目绩效评价评分汇总表</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一级指标 标准分值 得分 得分率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决策指标 15.00 15.00 100%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过程指标 20.00 19.94 99.70%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产出指标 45.00 38.59 85.75%</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效益指标        10.00   10.00   100%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满意度          10.00   8.00    80%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合计         100.00 92.53 92.53%</w:t>
      </w:r>
    </w:p>
    <w:p>
      <w:pPr>
        <w:spacing w:line="570" w:lineRule="exact"/>
        <w:ind w:firstLine="624" w:firstLineChars="200"/>
        <w:rPr>
          <w:rStyle w:val="19"/>
          <w:rFonts w:ascii="黑体" w:hAnsi="黑体" w:eastAsia="黑体" w:cs="黑体"/>
          <w:b w:val="0"/>
          <w:sz w:val="32"/>
          <w:szCs w:val="32"/>
        </w:rPr>
      </w:pPr>
      <w:r>
        <w:rPr>
          <w:rStyle w:val="19"/>
          <w:rFonts w:hint="eastAsia" w:ascii="黑体" w:hAnsi="黑体" w:eastAsia="黑体" w:cs="黑体"/>
          <w:b w:val="0"/>
          <w:spacing w:val="-4"/>
          <w:sz w:val="32"/>
          <w:szCs w:val="32"/>
        </w:rPr>
        <w:t xml:space="preserve">四、绩效评价指标分析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项目决策类指标包括项目立项、绩效目标和资金投入三方面的内容，由6个三级指标构成，权重分为15分，实际得分15分，得分率为100%。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立项依据充分性：该项目主要通过依据根据《关于提前下达2024年林草专项资金预算的通知》（喀地财建〔2022〕128号）。文件立项，项目实施符合文件要求，项目立项依据充分，立项程序规范；经检查我单位财政管理一体化信息系统，本项目不存在重复。结合英吉沙县林业和草原局职责，并组织实施该项目。围绕2024年度工作重点和工作计划制定项目预算，根据评分标准，该指标不扣分，得3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（2）立项程序规范性：根据决策依据编制工作计划和项目预算，经过与林业和草原局分管领导进行沟通、筛选确定经费预算计划，上党委会研究确定最终预算方案，根据评分标准，该指标不扣分，得2分。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绩效目标合理性：①该项目已设置年度绩效目标，具体内容为“年度预期目标：该项目计划投入资金项目资金393.035726万元，用于支付2023年林草专项项目资金，其中，1.英吉沙县2023年中央林业草原生态保护恢复资金（国家重点野生动植物保护补助）项目（喀地财建〔2022〕128号），总投资29.2万元，需支付资金7.696212万元。2.英吉沙县2023年草原植被恢复费项目（喀地财建〔2022〕133号），总投资2万元，需支付资金0.38万元。3.英吉沙县 2023 年中央财政林业草原生态保护恢复资金（国有林保护修复——森林防火）项目（喀地财建〔2022〕128 号），总投资20万元，需支付资金8.041988万元。4.英吉沙县 2023 年第二批中央财政林业草原改革发展资金国土绿化——造林补助（乡村绿化美化）项目（喀地财建〔2023〕48号），总投资20万元，需支付资金20万元。5.新疆英吉沙县 2023 年中央财政林业改革发展资金造林补助项目（喀地财建〔2022〕127号），总投资740万元，主要用于我县1万亩退化林修复及1000亩造林补助，需支付资金4.37万元。6.英吉沙县2023年第二批中央林业草原改革发展资金项目（喀地财建〔2023〕48号），总投资309.46万元，主要用于我县五座水库肥料、生态林电费、生态林补植苗木等，需支付资金96.268956万元。7.英吉沙县2023年中央财政林业改革发展资金（国土绿化——沙化土地封禁保护补偿）项目（喀地财建〔2022〕127号），总投资87.46万元，需支付资金27.40585万元。8.英吉沙县2023年中央林业草原生态保护恢复资金（森林保护修复）林业有害生物防治项目（喀地财建〔2022〕128号），总投资60万元，主要用于我县6万亩幼林鼠兔害防治铁丝网采购，需支付资金50.25万元9.英吉沙县2023年中央财政林业草原生态保护恢复资金（国有林保护修复-国有国家级公益林管护支出）项目（喀地财建〔2022〕128号），总投资130万元，主要用于22名管护员补助及2023年森林督察技术服务费用，需支付资金9.3万元。10.英吉沙县2023年中央财政林业草原生态保护恢复资金森林资源培育补助（乡村绿化美化）项目（喀地财建〔2022〕128号），总投资600万元，需支付资金68.86666万元11.2023年英吉沙县林果提质增效示范园建设项目（喀地财建〔2022〕133号），总投资48万元，主要用于2个县级示范园建设，需支付资金15.872万元。12.2023年第二批中央林业草原生态保护恢复资金（森林保护修复——森林防火）项目（喀地财建〔2023〕107号），总投资37万元，需支付资金11.61936万元。13.英吉沙县2023年自治区林业发展补助资金项目（喀地财建〔2022〕133号），总投资98.61万元，主要用于5座生态林管护站维修维护、克孜勒片区生态林防洪机械、补植沙枣苗木20万株，以及2022年机井维修设备款等费用，需支付资金60.2079万元。14.英吉沙县2022年森林植被恢复费异地植被恢复造林项目，项目总投资12.7568万元，主要用于县城至艾古斯乡路边71亩沙枣林建设费用，需支付资金12.7568万元。共计393.035726万元。通过该项目的实施，有效化解制约中小微企业发展的困难和化解群众信访事项，提高政府公信力”。</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②该项目实际工作内容为：截至目前，该项目已执行资金382.04万元，已用于支付13笔2023年林草专项项目资金。该项目的实施有效化解了制约中小微企业发展的困难和化解群众信访事项，提高政府公信力。绩效目标与实际工作内容一致，两者具有相关性。</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③该项目按照绩效目标完成数量指标、质量指标、时效指标、成本指标，完成了支付13笔2023年林草专项项目资金，达到有效化解制约中小微企业发展的困难和化解群众信访事项，提高政府公信力效益，预期产出效益和效果符合正常的业绩水平。</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④该项目批复的预算金额为393.04万元，《项目支出绩效目标表》中预算金额为393.04万元，预算确定的项目资金与预算确定的项目投资额相匹配。</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⑤本单位制定了实施方案，明确了总体思路及目标、并对任务进行了详细分解，对目标进行了细化，根据评分标准，该指标不扣分，得3分。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（4）绩效指标明确性：经检查我单位年初设置的《项目支出绩效目标表》，得出如下结论：本项目已将年度绩效目标进行细化为绩效指标体系，将项目绩效目标细化分解为具体的绩效指标。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该《项目绩效目标申报表》中，数量指标指标值为14个、三级指标的年度指标值与年度绩效目标中任务数不完全一致，已设置时效指标。已设置的绩效目标具备明确性、可衡量性、可实现性、相关性、时限性。根据评分标准，该指标扣分，得1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（5）预算编制科学性：我单位根据项目实际情况与项目预算编制较科学且经过论证；</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英吉沙县2023年中央林业草原生态保护恢复资金(国家重点野生动植物保护补助)项目(喀地财建(2022)128号)，总投资29.2万元，需支付资金7.696212万元。2.英吉沙县2023年草原植被恢复费项目(喀地财建(2022133号)总投资2万元，需支付资金0.38万元。3英吉沙县2023年中央财政林业草原生态保护恢复资金(国有林保护修复-森林防火)项目(喀地财建(2022〕128号)，总投资20万元，需支付资金8.041988万元。4.英吉沙县2023年第二批中央财政林业草原改革发展资金国土绿化-造林补助(乡村绿化美化)项目(喀地财建(2023】48号)，总投资20万元，需支付资金20万元。5.新疆英吉沙县2023年中央财政林业改革发展资金造林补助项目(喀地财建(2022127号)，总投资740万元，主要用于我县1万亩退化林修复及 1000亩造林补助，需支付资金4.37万元。6.英吉沙县2023年第二批中央林业草原改革发展资金项目(喀地财建〔2023】48号)，总投资309.46万元，主要用于我县五座水库肥料、生态林电费、生态林补植苗木等，需支付资金96.268956万元。7.英吉沙县2023年中央财政林业改革发展资金(国土绿化--沙化土地封禁保护补偿)项目(喀地财建(2022〕127号),总投资87.46万元，需支付资金2740585万元。8.英吉沙县2023年中央林业草原生态保护恢复资金(森林保护修复)林业有害生物防治项目(喀地财建(2022J128号)，总投资60万元，主要用于我县6万亩幼林鼠免害防治铁丝网采购，需支付资金50.25万元9.英吉沙县 2023年中央财政林业草原生态保护恢复资金(国有林保护修复-国有国家级公益林管护支出)项目(喀地财建〔2022)128号)总投资 130万元，主要用于22名管护员补助及2023年森林督察技术服务费用，需支付资金93万元。10.英吉沙县2023年中央财政林业草原生态保护恢复资金森林资源培育补助(乡村绿化美化)项目(喀地财建(2022〕128号)，总投资600万元，需支付资金68.86666万元11.2023年英吉沙县质增效示范园建设项目(喀地财建(2022】133号)，总投资48万元，主要用于2个县级示范园建设，需支付资金15.872万元。12.2023年第二批中央林业草原生态保护恢复资金(森林保护修复--森林防火)项目(喀地财建[2023)107号)，总投资37万元，需支付资金11.61936万元。13.英吉沙县2023年自治区林业发展补助资金项目(喀地财建〔2022〕133号)，总投资98.61万元，主要用于5座生态林管护站维修维护、克孜勒片区生态林防洪机械、补植沙枣苗木20万株，以及2022年机井维修设备款等费用，需支付资金60.2079万元。14.英吉沙县2022年森林植被恢复费异地植被恢复造林项目，项目总投资12.7568万元，主要用于县城至艾古斯乡路边71笛沙枣林建设费用，需支付资金12.7568万元。预算确定资金量与实际工作任务相匹配。本项目预算额度测算依据充分，严格按照标准编制，预算确定资金量与实际工作任务相匹配；根据评分标准，该指标不扣分，得3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6）资金分配合理性：本项目实际分配资金以该项目主要通过依据喀地财建〔2022〕128号、喀地财建〔2022〕133号公喀地财建〔2023〕48号、喀地财建〔2022〕127号、喀地财建〔2023〕107号资金文件。本项目实际到位资金393.04万元，资金分配额度合理，与我单位实际需求相适应。资金分配与实际相适应，根据评分标准，该指标不扣分，得2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项目过程类指标包括资金管理和组织实施两方面的内容，由 5个三级指标构成，权重分为20分，实际得分19.94分，得分率为99.7%。</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资金到位率：本项目预算资金为393.04万元，其中：财政安排资金393.04万元，实际到位资金393.04万元，资金到位率为100%；通过分析可知，该项目财政资金足额拨付到位，能够及时足额支付给实施单位。根据评分标准，该指标不扣分，得3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（2）预算执行率：我单位2023年林草专项资金支付项目预算金额为393.04万元，实际执行资金为383.04万元。执行率为97.46%根据评分标准，该指标扣0.06分，得2.94分。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（3）资金使用合规性：该项目根据《关于下达2024年林草专项资金预算的通知》（喀地财建〔2023〕106号）文件实施，单位财务制度健全、执行严格，根据评分标准，该指标不扣分，得4分。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4）管理制度健全性：我单位制定了相关制度均符合行政事业单位内控管理要求《2023年林草专项资金支出项目实施方案》，财务和业务管理制度合法、合规、完整，本项目执行符合上述制度规定。根据评分标准，该指标不扣分，得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5）制度执行有效性：该项目的实施符合相关法律法规及管理规定，项目具备完整规范的立项程序我单位制定了相关制度均符合行政事业单位内控管理要求《2023年林草专项资金支出项目实施方案》；经查证项目实施过程资料，项目采购、实施、验收等过程均按照采购管理办法和合同管理办法等相关制度执行，基本完成既定目标；经查证党委会议纪要、项目资金支付审批表、记账凭证等资金拨付流程资料，项目资金拨付流程完整、手续齐全。综上分析，项目执行遵守相关法律法规和相关管理规定。</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该项目实施所需要的项目人员和场地设备均已落实到位，具体涉及内容包括：项目资金支出严格按照自治区、地区以及本单位资金管理办法执行，项目启动实施后，为了加快本项目的实施，成立了2023年林草专项资金支出项目工作领导小组，由高辉军任组长，负责项目的组织工作；韩善伟任副组长，负责项目的实施工作；组员包括：约仁萨和麦合苏提，主要负责项目监督管理、验收以及资金核拨等工作。根据评分标准，该指标不扣分，得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项目产出类指标包括产出数量、产出质量、产出时效、产出成本四方面的内容，由4个三级指标构成，权重分为45分，实际得分38.59分，得分率为87.31%。</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对于“产出数量”</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支付2023年林草专项项目资金数量指标，完成该项目预期指标值为大于等于14个，实际完成指标为13个，指标完成率为92.86%，偏差原因：由于供货商价格上涨，未达成协商一致暂定支付款项目，改进措施：积极和供应商沟通，达成协商一致的情况下，进行资金支付。根据评分标准，该指标扣0.71分，得9.29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（1）对于“产出质量”：</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资金使用合规率质量指标，预期指标值为100%，实际完成指为100%。指标完成率为100%,与预期目标一致，根据评分标准，该指标不扣分，得10分。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（2）对于“产出时效”：</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资金拨付及时率时效指标，预期指标值为100%，实际完成指为100%。指标完成率为100%,与预期目标一致，根据评分标准，该指标不扣分，得5分；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项目完成时间时效指标，预期完成2024年12月25日，实际完成2025年1月22日完成，指标完成率为0%，根据评分标准，该指标扣5分，得0分；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合计得5分。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（4）对于“产出成本”：</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支付2023年林草专项资金平均成本经济成本指标，该项目预期指标值为小于等于28.07万元，实际完成指标为29.39万元，指标完成率为104.7%，偏差率4.7%，偏差原因：由于供货商价格上涨，未达成协商一致暂定支付款项目，改进措施：积极和供应商沟通，达成协商一致的情况下，进行资金支付</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根据评分标准，该指标不扣分，得14.06分。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（四）项目效益情况。</w:t>
      </w:r>
    </w:p>
    <w:p>
      <w:pPr>
        <w:spacing w:line="540" w:lineRule="exact"/>
        <w:ind w:firstLine="567"/>
        <w:rPr>
          <w:rStyle w:val="19"/>
          <w:rFonts w:hint="eastAsia"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 xml:space="preserve"> </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项目效益类指标包括项目效益1个方面的内容，由1个三级指标构成，权重分为10分，实际得分10分，得分率为100%。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提高政府公信力指标，该指标预期指标值为效果显著，实际完成指标为效果显著，指标完成率为100%，与预期目标一致，根据评分标准，该指标不扣分，得10分；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w:t>
      </w:r>
      <w:r>
        <w:rPr>
          <w:rFonts w:hint="eastAsia" w:ascii="楷体" w:hAnsi="楷体" w:eastAsia="楷体" w:cs="楷体"/>
          <w:b/>
          <w:spacing w:val="-4"/>
          <w:sz w:val="32"/>
          <w:szCs w:val="32"/>
          <w:lang w:val="en-US" w:eastAsia="zh-CN"/>
        </w:rPr>
        <w:t>五</w:t>
      </w:r>
      <w:r>
        <w:rPr>
          <w:rFonts w:hint="eastAsia" w:ascii="楷体" w:hAnsi="楷体" w:eastAsia="楷体" w:cs="楷体"/>
          <w:b/>
          <w:spacing w:val="-4"/>
          <w:sz w:val="32"/>
          <w:szCs w:val="32"/>
        </w:rPr>
        <w:t>）满意度指标完成情况分析。</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项目满意度指标包括益1个方面的内容，由1个三级指标构成，权重分为10分，实际得分8分，得分率为80%。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施工企业和群众满意度指标，该指标预期指标值为95%，实际完成值为92.85%，指标完成率为97.73%，偏差原因：首先，项目初期，对受益对象需求的理解存在偏差，导致预期值设置偏低。其次，项目在实际执行过程中有效地满足了项目预期目标，造成实际完成情况超出受益对象的期望。改进措施：一方面：建立常态化满意度调查机制，定期收集群众意见建议；根据反馈及时改进服务，提升服务质量和水平。另外一方面：对偏差进行深入分析，充分了解受益对象的需求变化，明确造成实际完成值高于预期的具体原因，以便在未来的项目中更好地把握和预测。与预期目标不一致，根据评分标准，该指标扣2分,得8分。</w:t>
      </w:r>
    </w:p>
    <w:p>
      <w:pPr>
        <w:spacing w:line="570" w:lineRule="exact"/>
        <w:ind w:firstLine="624" w:firstLineChars="200"/>
        <w:rPr>
          <w:rStyle w:val="19"/>
          <w:rFonts w:ascii="黑体" w:hAnsi="黑体" w:eastAsia="黑体" w:cs="黑体"/>
          <w:b w:val="0"/>
          <w:spacing w:val="-4"/>
          <w:sz w:val="32"/>
          <w:szCs w:val="32"/>
        </w:rPr>
      </w:pPr>
      <w:r>
        <w:rPr>
          <w:rStyle w:val="19"/>
          <w:rFonts w:hint="eastAsia" w:ascii="黑体" w:hAnsi="黑体" w:eastAsia="黑体" w:cs="黑体"/>
          <w:b w:val="0"/>
          <w:spacing w:val="-4"/>
          <w:sz w:val="32"/>
          <w:szCs w:val="32"/>
        </w:rPr>
        <w:t>五、预算执行进度与绩效指标偏差</w:t>
      </w:r>
    </w:p>
    <w:p>
      <w:pPr>
        <w:spacing w:line="540" w:lineRule="exact"/>
        <w:ind w:firstLine="567"/>
        <w:rPr>
          <w:rFonts w:ascii="仿宋" w:hAnsi="仿宋" w:eastAsia="仿宋" w:cs="仿宋"/>
          <w:spacing w:val="-4"/>
          <w:sz w:val="32"/>
          <w:szCs w:val="32"/>
        </w:rPr>
      </w:pPr>
      <w:r>
        <w:rPr>
          <w:rStyle w:val="19"/>
          <w:rFonts w:hint="eastAsia" w:ascii="仿宋" w:hAnsi="仿宋" w:eastAsia="仿宋" w:cs="仿宋"/>
          <w:b w:val="0"/>
          <w:bCs w:val="0"/>
          <w:spacing w:val="-4"/>
          <w:sz w:val="32"/>
          <w:szCs w:val="32"/>
        </w:rPr>
        <w:t>2023年林草项目专项资金支付项目预算393.04万元，到位393.04万元，实际支出382.04万元，预算执行率为97.2%，项目绩效指标总体完成率为86.1%，偏差率为11.1%,偏出去原因继续实施，采取的措施申请资金通过就完成支付项目尾款。</w:t>
      </w:r>
    </w:p>
    <w:p>
      <w:pPr>
        <w:spacing w:line="570" w:lineRule="exact"/>
        <w:ind w:firstLine="624" w:firstLineChars="200"/>
        <w:rPr>
          <w:rStyle w:val="19"/>
          <w:rFonts w:hint="eastAsia" w:ascii="黑体" w:hAnsi="黑体" w:eastAsia="黑体" w:cs="黑体"/>
          <w:b w:val="0"/>
          <w:spacing w:val="-4"/>
          <w:sz w:val="32"/>
          <w:szCs w:val="32"/>
          <w:lang w:eastAsia="zh-CN"/>
        </w:rPr>
      </w:pPr>
      <w:r>
        <w:rPr>
          <w:rStyle w:val="19"/>
          <w:rFonts w:hint="eastAsia" w:ascii="黑体" w:hAnsi="黑体" w:eastAsia="黑体" w:cs="黑体"/>
          <w:b w:val="0"/>
          <w:spacing w:val="-4"/>
          <w:sz w:val="32"/>
          <w:szCs w:val="32"/>
        </w:rPr>
        <w:t>六、主要经验及做法、存在的问题及原因分析</w:t>
      </w:r>
      <w:r>
        <w:rPr>
          <w:rStyle w:val="19"/>
          <w:rFonts w:hint="eastAsia" w:ascii="黑体" w:hAnsi="黑体" w:eastAsia="黑体" w:cs="黑体"/>
          <w:b w:val="0"/>
          <w:spacing w:val="-4"/>
          <w:sz w:val="32"/>
          <w:szCs w:val="32"/>
          <w:lang w:eastAsia="zh-CN"/>
        </w:rPr>
        <w:t>、下一步改进措施</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（一）主要经验及做法</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一是本项目能够严格按照《项目实施方案》执行，项目执行情况较好。二是加强组织领导，本项目绩效评价工作，有主要领导亲自挂帅，分管领导具体负责，从项目到资金，均能够很好的执行。三是加强沟通协调，我单位及时向领导汇报项目建设进度，加强与施工单位的沟通，确保项目按期完工。</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（二）存在问题及原因分析</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一是对各项指标和指标值要进一步优化、完善，主要在细化、量化上改进，二是自评价工作还存在自我审定的局限性，会影响评价质量，容易造成问题的疏漏，在客观性和公正性上说服力不强，三是缺少带着问题去评价的意识，四是现场评价的工作量少，后续效益评价具体措施和方法较少。</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（三）下一步改进措施</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1.精准锚定项目目标与范围：于项目启动之始，务必促使项目目标达成清晰、精准且具象化之态，同时精准圈定项目范围。</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2.开展全方位深度评估：针对项目的可行性、潜藏风险、资源需求等维度，展开全方位、深层次的评估工作。确保决策过程依托充分详实的信息以及科学合理的分析。</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3.强化数据与信息支撑体系：积极广泛地收集并深入细致地分析相关数据，充分借助过往历史数据以及类似项目积累的宝贵经验，为决策提供坚实有力的支撑。</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4.构建规范决策流程与机制：精心制定清晰明确的决策流程，并合理分配相应责任，以此保障决策过程遵循规范、保持透明。同时，搭建起跨越部门与层级的高效沟通机制，全力推动信息的顺畅共享以及协同决策的顺利开展。</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5.切实落实风险管理举措：精准识别项目进程中潜藏的各类风险，并据此制定行之有效的应对策略。定期对风险状况进行重新评估，依据实际变化情况灵活调正风肃纪险管理策略，以确保项目始终处于可控状态。</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6.健全预算弹性调整机制：鉴于项目执行过程中难免遭遇各类不可预见因素，致使预算调整成为必要之举。为此，需构建一套完备且灵活的预算调整机制。明确预算调整的触发条件，如市场价格大幅波动、政策法规重大变更、项目范围显著拓展等；规范调整流程，涵盖申请提交、原因说明、评估审核、审批决策等环节；同时，设置严格的调整权限与审批层级，确保在必要时刻能够对预算进行科学合理的调整，保障项目顺利实施的同时，维护预算管理的严肃性与权威性。</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7.提升资金使用效能：在严守资金安全底线与合规红线的前提下，积极探索提升资金使用效率的有效途径。可通过流程优化、精简管理环节、降低运营成本等手段，削减不必要的开支，将更多资金精准投入到项目核心实施环节，提高资金产出效益。</w:t>
      </w:r>
    </w:p>
    <w:p>
      <w:pPr>
        <w:spacing w:line="570" w:lineRule="exact"/>
        <w:ind w:firstLine="624" w:firstLineChars="200"/>
        <w:rPr>
          <w:rStyle w:val="19"/>
          <w:rFonts w:ascii="黑体" w:hAnsi="黑体" w:eastAsia="黑体" w:cs="黑体"/>
          <w:b w:val="0"/>
          <w:spacing w:val="-4"/>
          <w:sz w:val="32"/>
          <w:szCs w:val="32"/>
        </w:rPr>
      </w:pPr>
      <w:r>
        <w:rPr>
          <w:rStyle w:val="19"/>
          <w:rFonts w:hint="eastAsia" w:ascii="黑体" w:hAnsi="黑体" w:eastAsia="黑体" w:cs="黑体"/>
          <w:b w:val="0"/>
          <w:spacing w:val="-4"/>
          <w:sz w:val="32"/>
          <w:szCs w:val="32"/>
        </w:rPr>
        <w:t>七、有关建议</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1.项目建设的程序进一步规范。项目前期做好可行性研究报告，更加细化实施方案，严格执行资金管理办法和财政资金管理制度，严格按照项目实施方案、招投标管理办法等稳步推进工作，各部门单位根据自己项目的特点进行总结。</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2.项目评价资料有待进一步完善。项目启动时同步做好档案的归纳与整理，及时整理、收集、汇总，健全档案资料。项目后续管理有待进一步加强和跟踪。</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3.通过绩效管理，发现实施中存在漏洞，以后加强管理，及时掌握与之相关的各类信息，减少成本，使资金效益最大化。</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4．评价工作应从项目实施方案源头抓起，评价工作和意识应贯穿项目整个过程。</w:t>
      </w:r>
    </w:p>
    <w:p>
      <w:pPr>
        <w:spacing w:line="570" w:lineRule="exact"/>
        <w:ind w:firstLine="624" w:firstLineChars="200"/>
        <w:rPr>
          <w:rStyle w:val="19"/>
          <w:rFonts w:ascii="黑体" w:hAnsi="黑体" w:eastAsia="黑体" w:cs="黑体"/>
          <w:b w:val="0"/>
          <w:spacing w:val="-4"/>
          <w:sz w:val="32"/>
          <w:szCs w:val="32"/>
        </w:rPr>
      </w:pPr>
      <w:r>
        <w:rPr>
          <w:rStyle w:val="19"/>
          <w:rFonts w:hint="eastAsia" w:ascii="黑体" w:hAnsi="黑体" w:eastAsia="黑体" w:cs="黑体"/>
          <w:b w:val="0"/>
          <w:spacing w:val="-4"/>
          <w:sz w:val="32"/>
          <w:szCs w:val="32"/>
        </w:rPr>
        <w:t>八、其他需要说明的问题</w:t>
      </w:r>
    </w:p>
    <w:p>
      <w:pPr>
        <w:spacing w:line="540" w:lineRule="exact"/>
        <w:ind w:firstLine="567"/>
        <w:rPr>
          <w:rStyle w:val="19"/>
          <w:rFonts w:ascii="仿宋" w:hAnsi="仿宋" w:eastAsia="仿宋"/>
          <w:b w:val="0"/>
          <w:spacing w:val="-4"/>
          <w:sz w:val="32"/>
          <w:szCs w:val="32"/>
        </w:rPr>
      </w:pPr>
      <w:r>
        <w:rPr>
          <w:rStyle w:val="19"/>
          <w:rFonts w:hint="eastAsia" w:ascii="仿宋" w:hAnsi="仿宋" w:eastAsia="仿宋" w:cs="仿宋"/>
          <w:b w:val="0"/>
          <w:bCs w:val="0"/>
          <w:spacing w:val="-4"/>
          <w:sz w:val="32"/>
          <w:szCs w:val="32"/>
        </w:rPr>
        <w:t>我单位对上述项目支出绩效评价报告内反映内容的真实性、完整性负责，接受上级部门及社会公众监督。</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华文中宋">
    <w:panose1 w:val="02010600040101010101"/>
    <w:charset w:val="86"/>
    <w:family w:val="auto"/>
    <w:pitch w:val="default"/>
    <w:sig w:usb0="00000287" w:usb1="080F0000" w:usb2="00000000" w:usb3="00000000" w:csb0="0004009F" w:csb1="DFD70000"/>
  </w:font>
  <w:font w:name="方正小标宋_GBK">
    <w:panose1 w:val="03000509000000000000"/>
    <w:charset w:val="86"/>
    <w:family w:val="script"/>
    <w:pitch w:val="default"/>
    <w:sig w:usb0="00000001" w:usb1="080E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panose1 w:val="03000509000000000000"/>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c0ZGFmZGVlMTU2YmFlODYzODJmYzUzZGI2NmMwNGEifQ=="/>
  </w:docVars>
  <w:rsids>
    <w:rsidRoot w:val="00000000"/>
    <w:rsid w:val="080A49ED"/>
  </w:rsids>
  <m:mathPr>
    <m:mathFont m:val="Cambria Math"/>
    <m:brkBin m:val="before"/>
    <m:brkBinSub m:val="--"/>
    <m:smallFrac m:val="0"/>
    <m:dispDef/>
    <m:lMargin m:val="0"/>
    <m:rMargin m:val="0"/>
    <m:defJc m:val="centerGroup"/>
    <m:wrapIndent m:val="1440"/>
    <m:intLim m:val="subSup"/>
    <m:naryLim m:val="undOvr"/>
    <m:interSp m:val="0"/>
    <m:intraSp m:val="0"/>
    <m:postSp m:val="0"/>
    <m:preSp m:val="0"/>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1"/>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2"/>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3"/>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4"/>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5"/>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6"/>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7"/>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8"/>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9"/>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8">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6"/>
    <w:semiHidden/>
    <w:unhideWhenUsed/>
    <w:qFormat/>
    <w:uiPriority w:val="99"/>
    <w:rPr>
      <w:sz w:val="18"/>
      <w:szCs w:val="18"/>
    </w:rPr>
  </w:style>
  <w:style w:type="paragraph" w:styleId="12">
    <w:name w:val="footer"/>
    <w:basedOn w:val="1"/>
    <w:link w:val="45"/>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4"/>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1"/>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30"/>
    <w:qFormat/>
    <w:uiPriority w:val="10"/>
    <w:pPr>
      <w:widowControl/>
      <w:spacing w:before="240" w:after="60"/>
      <w:jc w:val="center"/>
      <w:outlineLvl w:val="0"/>
    </w:pPr>
    <w:rPr>
      <w:rFonts w:asciiTheme="majorHAnsi" w:hAnsiTheme="majorHAnsi" w:eastAsiaTheme="majorEastAsia"/>
      <w:b/>
      <w:bCs/>
      <w:kern w:val="28"/>
      <w:sz w:val="32"/>
      <w:szCs w:val="32"/>
    </w:rPr>
  </w:style>
  <w:style w:type="table" w:styleId="17">
    <w:name w:val="Table Grid"/>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9">
    <w:name w:val="Strong"/>
    <w:basedOn w:val="18"/>
    <w:qFormat/>
    <w:uiPriority w:val="0"/>
    <w:rPr>
      <w:b/>
      <w:bCs/>
    </w:rPr>
  </w:style>
  <w:style w:type="character" w:styleId="20">
    <w:name w:val="Emphasis"/>
    <w:basedOn w:val="18"/>
    <w:qFormat/>
    <w:uiPriority w:val="20"/>
    <w:rPr>
      <w:rFonts w:asciiTheme="minorHAnsi" w:hAnsiTheme="minorHAnsi"/>
      <w:b/>
      <w:i/>
      <w:iCs/>
    </w:rPr>
  </w:style>
  <w:style w:type="character" w:customStyle="1" w:styleId="21">
    <w:name w:val="标题 1 字符"/>
    <w:basedOn w:val="18"/>
    <w:link w:val="2"/>
    <w:qFormat/>
    <w:uiPriority w:val="9"/>
    <w:rPr>
      <w:rFonts w:asciiTheme="majorHAnsi" w:hAnsiTheme="majorHAnsi" w:eastAsiaTheme="majorEastAsia"/>
      <w:b/>
      <w:bCs/>
      <w:kern w:val="32"/>
      <w:sz w:val="32"/>
      <w:szCs w:val="32"/>
    </w:rPr>
  </w:style>
  <w:style w:type="character" w:customStyle="1" w:styleId="22">
    <w:name w:val="标题 2 字符"/>
    <w:basedOn w:val="18"/>
    <w:link w:val="3"/>
    <w:semiHidden/>
    <w:qFormat/>
    <w:uiPriority w:val="9"/>
    <w:rPr>
      <w:rFonts w:asciiTheme="majorHAnsi" w:hAnsiTheme="majorHAnsi" w:eastAsiaTheme="majorEastAsia"/>
      <w:b/>
      <w:bCs/>
      <w:i/>
      <w:iCs/>
      <w:sz w:val="28"/>
      <w:szCs w:val="28"/>
    </w:rPr>
  </w:style>
  <w:style w:type="character" w:customStyle="1" w:styleId="23">
    <w:name w:val="标题 3 字符"/>
    <w:basedOn w:val="18"/>
    <w:link w:val="4"/>
    <w:semiHidden/>
    <w:qFormat/>
    <w:uiPriority w:val="9"/>
    <w:rPr>
      <w:rFonts w:asciiTheme="majorHAnsi" w:hAnsiTheme="majorHAnsi" w:eastAsiaTheme="majorEastAsia"/>
      <w:b/>
      <w:bCs/>
      <w:sz w:val="26"/>
      <w:szCs w:val="26"/>
    </w:rPr>
  </w:style>
  <w:style w:type="character" w:customStyle="1" w:styleId="24">
    <w:name w:val="标题 4 字符"/>
    <w:basedOn w:val="18"/>
    <w:link w:val="5"/>
    <w:qFormat/>
    <w:uiPriority w:val="9"/>
    <w:rPr>
      <w:b/>
      <w:bCs/>
      <w:sz w:val="28"/>
      <w:szCs w:val="28"/>
    </w:rPr>
  </w:style>
  <w:style w:type="character" w:customStyle="1" w:styleId="25">
    <w:name w:val="标题 5 字符"/>
    <w:basedOn w:val="18"/>
    <w:link w:val="6"/>
    <w:semiHidden/>
    <w:qFormat/>
    <w:uiPriority w:val="9"/>
    <w:rPr>
      <w:b/>
      <w:bCs/>
      <w:i/>
      <w:iCs/>
      <w:sz w:val="26"/>
      <w:szCs w:val="26"/>
    </w:rPr>
  </w:style>
  <w:style w:type="character" w:customStyle="1" w:styleId="26">
    <w:name w:val="标题 6 字符"/>
    <w:basedOn w:val="18"/>
    <w:link w:val="7"/>
    <w:semiHidden/>
    <w:qFormat/>
    <w:uiPriority w:val="9"/>
    <w:rPr>
      <w:b/>
      <w:bCs/>
    </w:rPr>
  </w:style>
  <w:style w:type="character" w:customStyle="1" w:styleId="27">
    <w:name w:val="标题 7 字符"/>
    <w:basedOn w:val="18"/>
    <w:link w:val="8"/>
    <w:semiHidden/>
    <w:qFormat/>
    <w:uiPriority w:val="9"/>
    <w:rPr>
      <w:sz w:val="24"/>
      <w:szCs w:val="24"/>
    </w:rPr>
  </w:style>
  <w:style w:type="character" w:customStyle="1" w:styleId="28">
    <w:name w:val="标题 8 字符"/>
    <w:basedOn w:val="18"/>
    <w:link w:val="9"/>
    <w:semiHidden/>
    <w:qFormat/>
    <w:uiPriority w:val="9"/>
    <w:rPr>
      <w:i/>
      <w:iCs/>
      <w:sz w:val="24"/>
      <w:szCs w:val="24"/>
    </w:rPr>
  </w:style>
  <w:style w:type="character" w:customStyle="1" w:styleId="29">
    <w:name w:val="标题 9 字符"/>
    <w:basedOn w:val="18"/>
    <w:link w:val="10"/>
    <w:semiHidden/>
    <w:qFormat/>
    <w:uiPriority w:val="9"/>
    <w:rPr>
      <w:rFonts w:asciiTheme="majorHAnsi" w:hAnsiTheme="majorHAnsi" w:eastAsiaTheme="majorEastAsia"/>
    </w:rPr>
  </w:style>
  <w:style w:type="character" w:customStyle="1" w:styleId="30">
    <w:name w:val="标题 字符"/>
    <w:basedOn w:val="18"/>
    <w:link w:val="15"/>
    <w:qFormat/>
    <w:uiPriority w:val="10"/>
    <w:rPr>
      <w:rFonts w:asciiTheme="majorHAnsi" w:hAnsiTheme="majorHAnsi" w:eastAsiaTheme="majorEastAsia"/>
      <w:b/>
      <w:bCs/>
      <w:kern w:val="28"/>
      <w:sz w:val="32"/>
      <w:szCs w:val="32"/>
    </w:rPr>
  </w:style>
  <w:style w:type="character" w:customStyle="1" w:styleId="31">
    <w:name w:val="副标题 字符"/>
    <w:basedOn w:val="18"/>
    <w:link w:val="14"/>
    <w:qFormat/>
    <w:uiPriority w:val="11"/>
    <w:rPr>
      <w:rFonts w:asciiTheme="majorHAnsi" w:hAnsiTheme="majorHAnsi" w:eastAsiaTheme="majorEastAsia"/>
      <w:sz w:val="24"/>
      <w:szCs w:val="24"/>
    </w:rPr>
  </w:style>
  <w:style w:type="paragraph" w:styleId="32">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3">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4">
    <w:name w:val="Quote"/>
    <w:basedOn w:val="1"/>
    <w:next w:val="1"/>
    <w:link w:val="35"/>
    <w:qFormat/>
    <w:uiPriority w:val="29"/>
    <w:pPr>
      <w:widowControl/>
      <w:jc w:val="left"/>
    </w:pPr>
    <w:rPr>
      <w:rFonts w:asciiTheme="minorHAnsi" w:hAnsiTheme="minorHAnsi" w:eastAsiaTheme="minorEastAsia"/>
      <w:i/>
      <w:kern w:val="0"/>
      <w:sz w:val="24"/>
    </w:rPr>
  </w:style>
  <w:style w:type="character" w:customStyle="1" w:styleId="35">
    <w:name w:val="引用 字符"/>
    <w:basedOn w:val="18"/>
    <w:link w:val="34"/>
    <w:qFormat/>
    <w:uiPriority w:val="29"/>
    <w:rPr>
      <w:i/>
      <w:sz w:val="24"/>
      <w:szCs w:val="24"/>
    </w:rPr>
  </w:style>
  <w:style w:type="paragraph" w:styleId="36">
    <w:name w:val="Intense Quote"/>
    <w:basedOn w:val="1"/>
    <w:next w:val="1"/>
    <w:link w:val="37"/>
    <w:qFormat/>
    <w:uiPriority w:val="30"/>
    <w:pPr>
      <w:widowControl/>
      <w:ind w:left="720" w:right="720"/>
      <w:jc w:val="left"/>
    </w:pPr>
    <w:rPr>
      <w:rFonts w:asciiTheme="minorHAnsi" w:hAnsiTheme="minorHAnsi" w:eastAsiaTheme="minorEastAsia"/>
      <w:b/>
      <w:i/>
      <w:kern w:val="0"/>
      <w:sz w:val="24"/>
      <w:szCs w:val="22"/>
    </w:rPr>
  </w:style>
  <w:style w:type="character" w:customStyle="1" w:styleId="37">
    <w:name w:val="明显引用 字符"/>
    <w:basedOn w:val="18"/>
    <w:link w:val="36"/>
    <w:qFormat/>
    <w:uiPriority w:val="30"/>
    <w:rPr>
      <w:b/>
      <w:i/>
      <w:sz w:val="24"/>
    </w:rPr>
  </w:style>
  <w:style w:type="character" w:customStyle="1" w:styleId="38">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9">
    <w:name w:val="明显强调1"/>
    <w:basedOn w:val="18"/>
    <w:qFormat/>
    <w:uiPriority w:val="21"/>
    <w:rPr>
      <w:b/>
      <w:i/>
      <w:sz w:val="24"/>
      <w:szCs w:val="24"/>
      <w:u w:val="single"/>
    </w:rPr>
  </w:style>
  <w:style w:type="character" w:customStyle="1" w:styleId="40">
    <w:name w:val="不明显参考1"/>
    <w:basedOn w:val="18"/>
    <w:qFormat/>
    <w:uiPriority w:val="31"/>
    <w:rPr>
      <w:sz w:val="24"/>
      <w:szCs w:val="24"/>
      <w:u w:val="single"/>
    </w:rPr>
  </w:style>
  <w:style w:type="character" w:customStyle="1" w:styleId="41">
    <w:name w:val="明显参考1"/>
    <w:basedOn w:val="18"/>
    <w:qFormat/>
    <w:uiPriority w:val="32"/>
    <w:rPr>
      <w:b/>
      <w:sz w:val="24"/>
      <w:u w:val="single"/>
    </w:rPr>
  </w:style>
  <w:style w:type="character" w:customStyle="1" w:styleId="42">
    <w:name w:val="书籍标题1"/>
    <w:basedOn w:val="18"/>
    <w:qFormat/>
    <w:uiPriority w:val="33"/>
    <w:rPr>
      <w:rFonts w:asciiTheme="majorHAnsi" w:hAnsiTheme="majorHAnsi" w:eastAsiaTheme="majorEastAsia"/>
      <w:b/>
      <w:i/>
      <w:sz w:val="24"/>
      <w:szCs w:val="24"/>
    </w:rPr>
  </w:style>
  <w:style w:type="paragraph" w:customStyle="1" w:styleId="43">
    <w:name w:val="TOC 标题1"/>
    <w:basedOn w:val="2"/>
    <w:next w:val="1"/>
    <w:semiHidden/>
    <w:unhideWhenUsed/>
    <w:qFormat/>
    <w:uiPriority w:val="39"/>
    <w:pPr>
      <w:outlineLvl w:val="9"/>
    </w:pPr>
    <w:rPr>
      <w:lang w:eastAsia="en-US" w:bidi="en-US"/>
    </w:rPr>
  </w:style>
  <w:style w:type="character" w:customStyle="1" w:styleId="44">
    <w:name w:val="页眉 字符"/>
    <w:basedOn w:val="18"/>
    <w:link w:val="13"/>
    <w:qFormat/>
    <w:uiPriority w:val="99"/>
    <w:rPr>
      <w:rFonts w:ascii="Calibri" w:hAnsi="Calibri" w:eastAsia="宋体"/>
      <w:kern w:val="2"/>
      <w:sz w:val="18"/>
      <w:szCs w:val="18"/>
    </w:rPr>
  </w:style>
  <w:style w:type="character" w:customStyle="1" w:styleId="45">
    <w:name w:val="页脚 字符"/>
    <w:basedOn w:val="18"/>
    <w:link w:val="12"/>
    <w:qFormat/>
    <w:uiPriority w:val="99"/>
    <w:rPr>
      <w:rFonts w:ascii="Calibri" w:hAnsi="Calibri" w:eastAsia="宋体"/>
      <w:kern w:val="2"/>
      <w:sz w:val="18"/>
      <w:szCs w:val="18"/>
    </w:rPr>
  </w:style>
  <w:style w:type="character" w:customStyle="1" w:styleId="46">
    <w:name w:val="批注框文本 字符"/>
    <w:basedOn w:val="18"/>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299A846E7742483FADE25949A45A48D3_12</vt:lpwstr>
  </property>
</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513232d-a13c-49f6-93ed-dc2ae379d9dd}">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341</Words>
  <Characters>646</Characters>
  <Lines>5</Lines>
  <Paragraphs>1</Paragraphs>
  <TotalTime>0</TotalTime>
  <ScaleCrop>false</ScaleCrop>
  <LinksUpToDate>false</LinksUpToDate>
  <CharactersWithSpaces>652</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2022-01-14T05:11:00Z</dcterms:created>
  <dc:creator>赵 恺_xFF08_预算处_xFF09_</dc:creator>
  <cp:lastModifiedBy>zhifuzhongxin</cp:lastModifiedBy>
  <cp:lastPrinted>2018-12-31T10:56:00Z</cp:lastPrinted>
  <dcterms:modified xsi:type="dcterms:W3CDTF">2026-08-28T05:16:46Z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ICV">
    <vt:lpwstr>299A846E7742483FADE25949A45A48D3_12</vt:lpwstr>
  </property>
</Properties>
</file>