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英吉沙县消防救援大队2024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4F30362">
      <w:r>
        <w:br w:type="page"/>
      </w:r>
    </w:p>
    <w:p w14:paraId="43E4AF4C">
      <w:pPr>
        <w:spacing w:line="640" w:lineRule="exact"/>
        <w:jc w:val="center"/>
        <w:outlineLvl w:val="1"/>
      </w:pPr>
      <w:r>
        <w:rPr>
          <w:rFonts w:ascii="黑体" w:hAnsi="黑体" w:eastAsia="黑体"/>
          <w:sz w:val="32"/>
        </w:rPr>
        <w:t>第一部分 单位概况</w:t>
      </w:r>
    </w:p>
    <w:p w14:paraId="2F3D52FC">
      <w:pPr>
        <w:spacing w:line="640" w:lineRule="exact"/>
        <w:ind w:firstLine="640"/>
        <w:jc w:val="both"/>
        <w:outlineLvl w:val="2"/>
      </w:pPr>
      <w:r>
        <w:rPr>
          <w:rFonts w:ascii="黑体" w:hAnsi="黑体" w:eastAsia="黑体"/>
          <w:sz w:val="32"/>
        </w:rPr>
        <w:t>一、主要职能</w:t>
      </w:r>
    </w:p>
    <w:p w14:paraId="213567D7">
      <w:pPr>
        <w:spacing w:line="580" w:lineRule="exact"/>
        <w:ind w:firstLine="640"/>
        <w:jc w:val="both"/>
      </w:pPr>
      <w:r>
        <w:rPr>
          <w:rFonts w:ascii="仿宋_GB2312" w:hAnsi="仿宋_GB2312" w:eastAsia="仿宋_GB2312"/>
          <w:sz w:val="32"/>
        </w:rPr>
        <w:t>（1）积极开展消防安全检查，督促整改火险隐患，承担责任区消防安全宣传教育培训，普及消防知识。</w:t>
      </w:r>
    </w:p>
    <w:p w14:paraId="07BFA706">
      <w:pPr>
        <w:spacing w:line="580" w:lineRule="exact"/>
        <w:ind w:firstLine="640"/>
        <w:jc w:val="both"/>
      </w:pPr>
      <w:r>
        <w:rPr>
          <w:rFonts w:ascii="仿宋_GB2312" w:hAnsi="仿宋_GB2312" w:eastAsia="仿宋_GB2312"/>
          <w:sz w:val="32"/>
        </w:rPr>
        <w:t>（2）建立防火检查档案，按照国家规定设置防火标志。</w:t>
      </w:r>
    </w:p>
    <w:p w14:paraId="668D030A">
      <w:pPr>
        <w:spacing w:line="580" w:lineRule="exact"/>
        <w:ind w:firstLine="640"/>
        <w:jc w:val="both"/>
      </w:pPr>
      <w:r>
        <w:rPr>
          <w:rFonts w:ascii="仿宋_GB2312" w:hAnsi="仿宋_GB2312" w:eastAsia="仿宋_GB2312"/>
          <w:sz w:val="32"/>
        </w:rPr>
        <w:t>（3）扑救火灾，保护火灾现场，协助有关部门调查火灾原因，处理火灾事故，及时汇报情况。</w:t>
      </w:r>
    </w:p>
    <w:p w14:paraId="10F45097">
      <w:pPr>
        <w:spacing w:line="580" w:lineRule="exact"/>
        <w:ind w:firstLine="640"/>
        <w:jc w:val="both"/>
      </w:pPr>
      <w:r>
        <w:rPr>
          <w:rFonts w:ascii="仿宋_GB2312" w:hAnsi="仿宋_GB2312" w:eastAsia="仿宋_GB2312"/>
          <w:sz w:val="32"/>
        </w:rPr>
        <w:t>（4）对于县里存在的抢险救援事故的处置。</w:t>
      </w:r>
    </w:p>
    <w:p w14:paraId="318A94E7">
      <w:pPr>
        <w:spacing w:line="580" w:lineRule="exact"/>
        <w:ind w:firstLine="640"/>
        <w:jc w:val="both"/>
      </w:pPr>
      <w:r>
        <w:rPr>
          <w:rFonts w:ascii="仿宋_GB2312" w:hAnsi="仿宋_GB2312" w:eastAsia="仿宋_GB2312"/>
          <w:sz w:val="32"/>
        </w:rPr>
        <w:t>（5）为维护人民生命财产安全不懈奋斗。</w:t>
      </w:r>
    </w:p>
    <w:p w14:paraId="03F51A6C">
      <w:pPr>
        <w:spacing w:line="580" w:lineRule="exact"/>
        <w:ind w:firstLine="640"/>
        <w:jc w:val="both"/>
      </w:pPr>
      <w:r>
        <w:rPr>
          <w:rFonts w:ascii="仿宋_GB2312" w:hAnsi="仿宋_GB2312" w:eastAsia="仿宋_GB2312"/>
          <w:sz w:val="32"/>
        </w:rPr>
        <w:t>（6）承担城乡综合性消防救援工作和承担火灾预防、消防监督执法以及火灾事故调查处理相关工作，负责消防安全宣传教育，完成</w:t>
      </w:r>
      <w:r>
        <w:rPr>
          <w:rFonts w:hint="eastAsia" w:ascii="仿宋_GB2312" w:hAnsi="仿宋_GB2312" w:eastAsia="仿宋_GB2312"/>
          <w:sz w:val="32"/>
          <w:lang w:eastAsia="zh-CN"/>
        </w:rPr>
        <w:t>党委、政府</w:t>
      </w:r>
      <w:r>
        <w:rPr>
          <w:rFonts w:ascii="仿宋_GB2312" w:hAnsi="仿宋_GB2312" w:eastAsia="仿宋_GB2312"/>
          <w:sz w:val="32"/>
        </w:rPr>
        <w:t>交办的相关任务。</w:t>
      </w:r>
    </w:p>
    <w:p w14:paraId="223AA8C9">
      <w:pPr>
        <w:spacing w:line="640" w:lineRule="exact"/>
        <w:ind w:firstLine="640"/>
        <w:jc w:val="both"/>
        <w:outlineLvl w:val="2"/>
      </w:pPr>
      <w:r>
        <w:rPr>
          <w:rFonts w:ascii="黑体" w:hAnsi="黑体" w:eastAsia="黑体"/>
          <w:sz w:val="32"/>
        </w:rPr>
        <w:t>二、机构设置及人员情况</w:t>
      </w:r>
    </w:p>
    <w:p w14:paraId="13A1460E">
      <w:pPr>
        <w:spacing w:line="580" w:lineRule="exact"/>
        <w:ind w:firstLine="640"/>
        <w:jc w:val="both"/>
      </w:pPr>
      <w:r>
        <w:rPr>
          <w:rFonts w:ascii="仿宋_GB2312" w:hAnsi="仿宋_GB2312" w:eastAsia="仿宋_GB2312"/>
          <w:sz w:val="32"/>
        </w:rPr>
        <w:t>英吉沙县消防救援大队2024年度，实有人数0人，其中：在职人员0人，增加0人；离休人员0人，增加0人；退休人员0人,增加0人。</w:t>
      </w:r>
    </w:p>
    <w:p w14:paraId="79EB50D0">
      <w:pPr>
        <w:spacing w:line="580" w:lineRule="exact"/>
        <w:ind w:firstLine="640"/>
        <w:jc w:val="both"/>
      </w:pPr>
      <w:r>
        <w:rPr>
          <w:rFonts w:ascii="仿宋_GB2312" w:hAnsi="仿宋_GB2312" w:eastAsia="仿宋_GB2312"/>
          <w:sz w:val="32"/>
        </w:rPr>
        <w:t>英吉沙县消防救援大队无下属预算单位，下设1个科室，分别是：消防室。</w:t>
      </w:r>
    </w:p>
    <w:p w14:paraId="37FC27C0">
      <w:r>
        <w:br w:type="page"/>
      </w:r>
    </w:p>
    <w:p w14:paraId="6B0432D1">
      <w:pPr>
        <w:spacing w:line="240" w:lineRule="auto"/>
        <w:jc w:val="center"/>
        <w:outlineLvl w:val="1"/>
      </w:pPr>
      <w:r>
        <w:rPr>
          <w:rFonts w:ascii="黑体" w:hAnsi="黑体" w:eastAsia="黑体"/>
          <w:sz w:val="32"/>
        </w:rPr>
        <w:t>第二部分 部门决算情况说明</w:t>
      </w:r>
    </w:p>
    <w:p w14:paraId="6BBAA934">
      <w:pPr>
        <w:spacing w:line="640" w:lineRule="exact"/>
        <w:ind w:firstLine="640"/>
        <w:jc w:val="both"/>
        <w:outlineLvl w:val="2"/>
      </w:pPr>
      <w:r>
        <w:rPr>
          <w:rFonts w:ascii="黑体" w:hAnsi="黑体" w:eastAsia="黑体"/>
          <w:sz w:val="32"/>
        </w:rPr>
        <w:t>一、收入支出决算总体情况说明</w:t>
      </w:r>
    </w:p>
    <w:p w14:paraId="02EF3463">
      <w:pPr>
        <w:spacing w:line="580" w:lineRule="exact"/>
        <w:ind w:firstLine="640"/>
        <w:jc w:val="both"/>
      </w:pPr>
      <w:r>
        <w:rPr>
          <w:rFonts w:ascii="仿宋_GB2312" w:hAnsi="仿宋_GB2312" w:eastAsia="仿宋_GB2312"/>
          <w:b/>
          <w:sz w:val="32"/>
        </w:rPr>
        <w:t>2024年度收入总计279.80万元，</w:t>
      </w:r>
      <w:r>
        <w:rPr>
          <w:rFonts w:ascii="仿宋_GB2312" w:hAnsi="仿宋_GB2312" w:eastAsia="仿宋_GB2312"/>
          <w:b w:val="0"/>
          <w:sz w:val="32"/>
        </w:rPr>
        <w:t>其中：本年收入合计279.80万元，使用非财政拨款结余（含专用结余）0.00万元，年初结转和结余0.00万元。</w:t>
      </w:r>
    </w:p>
    <w:p w14:paraId="34E4E830">
      <w:pPr>
        <w:spacing w:line="580" w:lineRule="exact"/>
        <w:ind w:firstLine="640"/>
        <w:jc w:val="both"/>
      </w:pPr>
      <w:r>
        <w:rPr>
          <w:rFonts w:ascii="仿宋_GB2312" w:hAnsi="仿宋_GB2312" w:eastAsia="仿宋_GB2312"/>
          <w:b/>
          <w:sz w:val="32"/>
        </w:rPr>
        <w:t>2024年度支出总计279.80万元，</w:t>
      </w:r>
      <w:r>
        <w:rPr>
          <w:rFonts w:ascii="仿宋_GB2312" w:hAnsi="仿宋_GB2312" w:eastAsia="仿宋_GB2312"/>
          <w:b w:val="0"/>
          <w:sz w:val="32"/>
        </w:rPr>
        <w:t>其中：本年支出合计279.80万元，结余分配0.00万元，年末结转和结余0.00万元。</w:t>
      </w:r>
    </w:p>
    <w:p w14:paraId="2568BFBF">
      <w:pPr>
        <w:spacing w:line="580" w:lineRule="exact"/>
        <w:ind w:firstLine="640"/>
        <w:jc w:val="both"/>
      </w:pPr>
      <w:r>
        <w:rPr>
          <w:rFonts w:ascii="仿宋_GB2312" w:hAnsi="仿宋_GB2312" w:eastAsia="仿宋_GB2312"/>
          <w:b w:val="0"/>
          <w:sz w:val="32"/>
        </w:rPr>
        <w:t>收入支出总体与上年相比，减少5.58万元，下降1.96%，主要原因是：本单位政府专职消防员总数减少，人员经费减少，导致经费较上年减少。</w:t>
      </w:r>
    </w:p>
    <w:p w14:paraId="4664826F">
      <w:pPr>
        <w:spacing w:line="640" w:lineRule="exact"/>
        <w:ind w:firstLine="640"/>
        <w:jc w:val="both"/>
        <w:outlineLvl w:val="2"/>
      </w:pPr>
      <w:r>
        <w:rPr>
          <w:rFonts w:ascii="黑体" w:hAnsi="黑体" w:eastAsia="黑体"/>
          <w:sz w:val="32"/>
        </w:rPr>
        <w:t>二、收入决算情况说明</w:t>
      </w:r>
    </w:p>
    <w:p w14:paraId="2D0322CE">
      <w:pPr>
        <w:spacing w:line="580" w:lineRule="exact"/>
        <w:ind w:firstLine="640"/>
        <w:jc w:val="both"/>
      </w:pPr>
      <w:r>
        <w:rPr>
          <w:rFonts w:ascii="仿宋_GB2312" w:hAnsi="仿宋_GB2312" w:eastAsia="仿宋_GB2312"/>
          <w:b/>
          <w:sz w:val="32"/>
        </w:rPr>
        <w:t>本年收入279.80万元，</w:t>
      </w:r>
      <w:r>
        <w:rPr>
          <w:rFonts w:ascii="仿宋_GB2312" w:hAnsi="仿宋_GB2312" w:eastAsia="仿宋_GB2312"/>
          <w:b w:val="0"/>
          <w:sz w:val="32"/>
        </w:rPr>
        <w:t>其中：财政拨款收入263.72万元，占94.25%；上级补助收入0.00万元，占0.00%；事业收入0.00万元，占0.00%；经营收入0.00万元，占0.00%；附属单位上缴收入0.00万元，占0.00%；其他收入16.08万元，占5.75%。</w:t>
      </w:r>
    </w:p>
    <w:p w14:paraId="2AB0CB0B">
      <w:pPr>
        <w:spacing w:line="640" w:lineRule="exact"/>
        <w:ind w:firstLine="640"/>
        <w:jc w:val="both"/>
        <w:outlineLvl w:val="2"/>
      </w:pPr>
      <w:r>
        <w:rPr>
          <w:rFonts w:ascii="黑体" w:hAnsi="黑体" w:eastAsia="黑体"/>
          <w:sz w:val="32"/>
        </w:rPr>
        <w:t>三、支出决算情况说明</w:t>
      </w:r>
    </w:p>
    <w:p w14:paraId="715DFA10">
      <w:pPr>
        <w:spacing w:line="580" w:lineRule="exact"/>
        <w:ind w:firstLine="640"/>
        <w:jc w:val="both"/>
      </w:pPr>
      <w:r>
        <w:rPr>
          <w:rFonts w:ascii="仿宋_GB2312" w:hAnsi="仿宋_GB2312" w:eastAsia="仿宋_GB2312"/>
          <w:b/>
          <w:sz w:val="32"/>
        </w:rPr>
        <w:t>本年支出279.80万元，</w:t>
      </w:r>
      <w:r>
        <w:rPr>
          <w:rFonts w:ascii="仿宋_GB2312" w:hAnsi="仿宋_GB2312" w:eastAsia="仿宋_GB2312"/>
          <w:b w:val="0"/>
          <w:sz w:val="32"/>
        </w:rPr>
        <w:t>其中：基本支出263.72万元，占94.25%；项目支出16.08万元，占5.75%；上缴上级支出0.00万元，占0.00%；经营支出0.00万元，占0.00%；对附属单位补助支出0.00万元，占0.00%。</w:t>
      </w:r>
    </w:p>
    <w:p w14:paraId="088E944E">
      <w:pPr>
        <w:spacing w:line="640" w:lineRule="exact"/>
        <w:ind w:firstLine="640"/>
        <w:jc w:val="both"/>
        <w:outlineLvl w:val="2"/>
      </w:pPr>
      <w:r>
        <w:rPr>
          <w:rFonts w:ascii="黑体" w:hAnsi="黑体" w:eastAsia="黑体"/>
          <w:sz w:val="32"/>
        </w:rPr>
        <w:t>四、财政拨款收入支出决算总体情况说明</w:t>
      </w:r>
    </w:p>
    <w:p w14:paraId="6E91B11A">
      <w:pPr>
        <w:spacing w:line="580" w:lineRule="exact"/>
        <w:ind w:firstLine="640"/>
        <w:jc w:val="both"/>
      </w:pPr>
      <w:r>
        <w:rPr>
          <w:rFonts w:ascii="仿宋_GB2312" w:hAnsi="仿宋_GB2312" w:eastAsia="仿宋_GB2312"/>
          <w:b/>
          <w:sz w:val="32"/>
        </w:rPr>
        <w:t>2024年度财政拨款收入总计263.72万元，</w:t>
      </w:r>
      <w:r>
        <w:rPr>
          <w:rFonts w:ascii="仿宋_GB2312" w:hAnsi="仿宋_GB2312" w:eastAsia="仿宋_GB2312"/>
          <w:b w:val="0"/>
          <w:sz w:val="32"/>
        </w:rPr>
        <w:t>其中：年初财政拨款结转和结余0.00万元，本年财政拨款收入263.72万元。</w:t>
      </w:r>
      <w:r>
        <w:rPr>
          <w:rFonts w:ascii="仿宋_GB2312" w:hAnsi="仿宋_GB2312" w:eastAsia="仿宋_GB2312"/>
          <w:b/>
          <w:sz w:val="32"/>
        </w:rPr>
        <w:t>财政拨款支出总计263.72万元，</w:t>
      </w:r>
      <w:r>
        <w:rPr>
          <w:rFonts w:ascii="仿宋_GB2312" w:hAnsi="仿宋_GB2312" w:eastAsia="仿宋_GB2312"/>
          <w:b w:val="0"/>
          <w:sz w:val="32"/>
        </w:rPr>
        <w:t>其中：年末财政拨款结转和结余0.00万元，本年财政拨款支出263.72万元。</w:t>
      </w:r>
    </w:p>
    <w:p w14:paraId="73337BB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减少13.65万元，下降4.92%，主要原因是：本单位政府专职消防员总数减少，人员经费减少，导致经费较上年减少。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年初预算数258.73万元，决算数263.72万元，预决算差异率1.93%，主要原因是：年中追加人员工资、社保、公积金基数调增部分资金以及办公费、印刷费等业务经费，导致预决算存在差异。</w:t>
      </w:r>
    </w:p>
    <w:p w14:paraId="608063E0">
      <w:pPr>
        <w:spacing w:line="640" w:lineRule="exact"/>
        <w:ind w:firstLine="640"/>
        <w:jc w:val="both"/>
        <w:outlineLvl w:val="2"/>
      </w:pPr>
      <w:r>
        <w:rPr>
          <w:rFonts w:ascii="黑体" w:hAnsi="黑体" w:eastAsia="黑体"/>
          <w:sz w:val="32"/>
        </w:rPr>
        <w:t>五、一般公共预算财政拨款支出决算情况说明</w:t>
      </w:r>
    </w:p>
    <w:p w14:paraId="301297D0">
      <w:pPr>
        <w:spacing w:line="640" w:lineRule="exact"/>
        <w:ind w:firstLine="640"/>
        <w:jc w:val="both"/>
        <w:outlineLvl w:val="3"/>
      </w:pPr>
      <w:r>
        <w:rPr>
          <w:rFonts w:ascii="楷体_GB2312" w:hAnsi="楷体_GB2312" w:eastAsia="楷体_GB2312"/>
          <w:b/>
          <w:sz w:val="32"/>
        </w:rPr>
        <w:t>（一）一般公共预算财政拨款支出决算总体情况</w:t>
      </w:r>
    </w:p>
    <w:p w14:paraId="7444AE83">
      <w:pPr>
        <w:spacing w:line="580" w:lineRule="exact"/>
        <w:ind w:firstLine="640"/>
        <w:jc w:val="both"/>
      </w:pPr>
      <w:r>
        <w:rPr>
          <w:rFonts w:ascii="仿宋_GB2312" w:hAnsi="仿宋_GB2312" w:eastAsia="仿宋_GB2312"/>
          <w:b/>
          <w:sz w:val="32"/>
        </w:rPr>
        <w:t>2024年度一般公共预算财政拨款支出263.72万元，</w:t>
      </w:r>
      <w:r>
        <w:rPr>
          <w:rFonts w:ascii="仿宋_GB2312" w:hAnsi="仿宋_GB2312" w:eastAsia="仿宋_GB2312"/>
          <w:b w:val="0"/>
          <w:sz w:val="32"/>
        </w:rPr>
        <w:t>占本年支出合计的94.25%。</w:t>
      </w:r>
      <w:r>
        <w:rPr>
          <w:rFonts w:ascii="仿宋_GB2312" w:hAnsi="仿宋_GB2312" w:eastAsia="仿宋_GB2312"/>
          <w:b/>
          <w:sz w:val="32"/>
        </w:rPr>
        <w:t>与上年相比，</w:t>
      </w:r>
      <w:r>
        <w:rPr>
          <w:rFonts w:ascii="仿宋_GB2312" w:hAnsi="仿宋_GB2312" w:eastAsia="仿宋_GB2312"/>
          <w:b w:val="0"/>
          <w:sz w:val="32"/>
        </w:rPr>
        <w:t>减少13.65万元，下降4.92%，主要原因是：本单位政府专职消防员总数减少，人员经费减少，导致经费较上年减少。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年初预算数258.73万元，决算数263.72万元，预决算差异率1.93%，主要原因是：年中追加人员工资、社保、公积金基数调增部分资金以及办公费、印刷费等业务经费，导致预决算存在差异。</w:t>
      </w:r>
    </w:p>
    <w:p w14:paraId="639AB558">
      <w:pPr>
        <w:spacing w:line="640" w:lineRule="exact"/>
        <w:ind w:firstLine="640"/>
        <w:jc w:val="both"/>
        <w:outlineLvl w:val="3"/>
      </w:pPr>
      <w:r>
        <w:rPr>
          <w:rFonts w:ascii="楷体_GB2312" w:hAnsi="楷体_GB2312" w:eastAsia="楷体_GB2312"/>
          <w:b/>
          <w:sz w:val="32"/>
        </w:rPr>
        <w:t>（二）一般公共预算财政拨款支出决算结构情况</w:t>
      </w:r>
    </w:p>
    <w:p w14:paraId="46809A23">
      <w:pPr>
        <w:spacing w:line="580" w:lineRule="exact"/>
        <w:ind w:firstLine="640"/>
        <w:jc w:val="both"/>
      </w:pPr>
      <w:r>
        <w:rPr>
          <w:rFonts w:ascii="仿宋_GB2312" w:hAnsi="仿宋_GB2312" w:eastAsia="仿宋_GB2312"/>
          <w:b w:val="0"/>
          <w:sz w:val="32"/>
        </w:rPr>
        <w:t>1.公共安全支出(类)31.00万元,占11.75%。</w:t>
      </w:r>
    </w:p>
    <w:p w14:paraId="002A31E1">
      <w:pPr>
        <w:spacing w:line="580" w:lineRule="exact"/>
        <w:ind w:firstLine="640"/>
        <w:jc w:val="both"/>
      </w:pPr>
      <w:r>
        <w:rPr>
          <w:rFonts w:ascii="仿宋_GB2312" w:hAnsi="仿宋_GB2312" w:eastAsia="仿宋_GB2312"/>
          <w:b w:val="0"/>
          <w:sz w:val="32"/>
        </w:rPr>
        <w:t>2.灾害防治及应急管理支出(类)232.72万元,占88.25%。</w:t>
      </w:r>
    </w:p>
    <w:p w14:paraId="2C6C4294">
      <w:pPr>
        <w:spacing w:line="640" w:lineRule="exact"/>
        <w:ind w:firstLine="640"/>
        <w:jc w:val="both"/>
        <w:outlineLvl w:val="3"/>
      </w:pPr>
      <w:r>
        <w:rPr>
          <w:rFonts w:ascii="楷体_GB2312" w:hAnsi="楷体_GB2312" w:eastAsia="楷体_GB2312"/>
          <w:b/>
          <w:sz w:val="32"/>
        </w:rPr>
        <w:t>（三）一般公共预算财政拨款支出决算具体情况</w:t>
      </w:r>
    </w:p>
    <w:p w14:paraId="1077E1CD">
      <w:pPr>
        <w:spacing w:line="580" w:lineRule="exact"/>
        <w:ind w:firstLine="640"/>
        <w:jc w:val="both"/>
      </w:pPr>
      <w:r>
        <w:rPr>
          <w:rFonts w:ascii="仿宋_GB2312" w:hAnsi="仿宋_GB2312" w:eastAsia="仿宋_GB2312"/>
          <w:b w:val="0"/>
          <w:sz w:val="32"/>
        </w:rPr>
        <w:t>1.公共安全支出(类)公安(款)行政运行(项):支出决算数为31.00万元，比上年决算增加22.96万元，增长285.57%,主要原因是：本年增加办公费、印刷费等业务经费。</w:t>
      </w:r>
    </w:p>
    <w:p w14:paraId="5929BA2B">
      <w:pPr>
        <w:spacing w:line="580" w:lineRule="exact"/>
        <w:ind w:firstLine="640"/>
        <w:jc w:val="both"/>
      </w:pPr>
      <w:r>
        <w:rPr>
          <w:rFonts w:ascii="仿宋_GB2312" w:hAnsi="仿宋_GB2312" w:eastAsia="仿宋_GB2312"/>
          <w:b w:val="0"/>
          <w:sz w:val="32"/>
        </w:rPr>
        <w:t>2.灾害防治及应急管理支出(类)应急管理事务(款)行政运行(项):支出决算数为0.00万元，比上年决算减少13.15万元，下降100.00%,主要原因是：本单位政府专职消防员总数减少，人员经费减少。</w:t>
      </w:r>
    </w:p>
    <w:p w14:paraId="28CFC0BD">
      <w:pPr>
        <w:spacing w:line="580" w:lineRule="exact"/>
        <w:ind w:firstLine="640"/>
        <w:jc w:val="both"/>
      </w:pPr>
      <w:r>
        <w:rPr>
          <w:rFonts w:ascii="仿宋_GB2312" w:hAnsi="仿宋_GB2312" w:eastAsia="仿宋_GB2312"/>
          <w:b w:val="0"/>
          <w:sz w:val="32"/>
        </w:rPr>
        <w:t>3.灾害防治及应急管理支出(类)消防救援事务(款)行政运行(项):支出决算数为232.72万元，比上年决算减少23.46万元，下降9.16%,主要原因是：本单位政府专职消防员总数减少，人员经费减少。</w:t>
      </w:r>
    </w:p>
    <w:p w14:paraId="11F78740">
      <w:pPr>
        <w:spacing w:line="640" w:lineRule="exact"/>
        <w:ind w:firstLine="640"/>
        <w:jc w:val="both"/>
        <w:outlineLvl w:val="2"/>
      </w:pPr>
      <w:r>
        <w:rPr>
          <w:rFonts w:ascii="黑体" w:hAnsi="黑体" w:eastAsia="黑体"/>
          <w:sz w:val="32"/>
        </w:rPr>
        <w:t>六、一般公共预算财政拨款基本支出决算情况说明</w:t>
      </w:r>
    </w:p>
    <w:p w14:paraId="2F6C3648">
      <w:pPr>
        <w:spacing w:line="580" w:lineRule="exact"/>
        <w:ind w:firstLine="640"/>
        <w:jc w:val="both"/>
      </w:pPr>
      <w:r>
        <w:rPr>
          <w:rFonts w:ascii="仿宋_GB2312" w:hAnsi="仿宋_GB2312" w:eastAsia="仿宋_GB2312"/>
          <w:b w:val="0"/>
          <w:sz w:val="32"/>
        </w:rPr>
        <w:t>2024年度一般公共预算财政拨款基本支出263.72万元，其中：</w:t>
      </w:r>
      <w:r>
        <w:rPr>
          <w:rFonts w:ascii="仿宋_GB2312" w:hAnsi="仿宋_GB2312" w:eastAsia="仿宋_GB2312"/>
          <w:b/>
          <w:sz w:val="32"/>
        </w:rPr>
        <w:t>人员经费222.76万元，</w:t>
      </w:r>
      <w:r>
        <w:rPr>
          <w:rFonts w:ascii="仿宋_GB2312" w:hAnsi="仿宋_GB2312" w:eastAsia="仿宋_GB2312"/>
          <w:b w:val="0"/>
          <w:sz w:val="32"/>
        </w:rPr>
        <w:t>包括：奖金、绩效工资、机关事业单位基本养老保险缴费、职工基本医疗保险缴费、住房公积金、其他工资福利支出。</w:t>
      </w:r>
    </w:p>
    <w:p w14:paraId="33DB2570">
      <w:pPr>
        <w:spacing w:line="580" w:lineRule="exact"/>
        <w:ind w:firstLine="640"/>
        <w:jc w:val="both"/>
      </w:pPr>
      <w:r>
        <w:rPr>
          <w:rFonts w:ascii="仿宋_GB2312" w:hAnsi="仿宋_GB2312" w:eastAsia="仿宋_GB2312"/>
          <w:b/>
          <w:sz w:val="32"/>
        </w:rPr>
        <w:t>公用经费40.96万元，</w:t>
      </w:r>
      <w:r>
        <w:rPr>
          <w:rFonts w:ascii="仿宋_GB2312" w:hAnsi="仿宋_GB2312" w:eastAsia="仿宋_GB2312"/>
          <w:b w:val="0"/>
          <w:sz w:val="32"/>
        </w:rPr>
        <w:t>包括：办公费、印刷费、电费、邮电费、取暖费、物业管理费、其他交通费用。</w:t>
      </w:r>
    </w:p>
    <w:p w14:paraId="3A15B722">
      <w:pPr>
        <w:spacing w:line="640" w:lineRule="exact"/>
        <w:ind w:firstLine="640"/>
        <w:jc w:val="both"/>
        <w:outlineLvl w:val="2"/>
      </w:pPr>
      <w:r>
        <w:rPr>
          <w:rFonts w:ascii="黑体" w:hAnsi="黑体" w:eastAsia="黑体"/>
          <w:sz w:val="32"/>
        </w:rPr>
        <w:t>七、政府性基金预算财政拨款收入支出决算情况说明</w:t>
      </w:r>
    </w:p>
    <w:p w14:paraId="1DD2A5E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268EF0B">
      <w:pPr>
        <w:spacing w:line="640" w:lineRule="exact"/>
        <w:ind w:firstLine="640"/>
        <w:jc w:val="both"/>
        <w:outlineLvl w:val="2"/>
      </w:pPr>
      <w:r>
        <w:rPr>
          <w:rFonts w:ascii="黑体" w:hAnsi="黑体" w:eastAsia="黑体"/>
          <w:sz w:val="32"/>
        </w:rPr>
        <w:t>八、国有资本经营预算财政拨款收入支出决算情况说明</w:t>
      </w:r>
    </w:p>
    <w:p w14:paraId="5458FC9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727C7DF">
      <w:pPr>
        <w:spacing w:line="640" w:lineRule="exact"/>
        <w:ind w:firstLine="640"/>
        <w:jc w:val="both"/>
        <w:outlineLvl w:val="2"/>
      </w:pPr>
      <w:r>
        <w:rPr>
          <w:rFonts w:ascii="黑体" w:hAnsi="黑体" w:eastAsia="黑体"/>
          <w:sz w:val="32"/>
        </w:rPr>
        <w:t>九、财政拨款“三公”经费支出决算情况说明</w:t>
      </w:r>
    </w:p>
    <w:p w14:paraId="4620E1B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F2A231A">
      <w:pPr>
        <w:spacing w:line="580" w:lineRule="exact"/>
        <w:ind w:firstLine="640"/>
        <w:jc w:val="both"/>
      </w:pPr>
      <w:r>
        <w:rPr>
          <w:rFonts w:ascii="仿宋_GB2312" w:hAnsi="仿宋_GB2312" w:eastAsia="仿宋_GB2312"/>
          <w:b/>
          <w:sz w:val="32"/>
        </w:rPr>
        <w:t>具体情况如下：</w:t>
      </w:r>
    </w:p>
    <w:p w14:paraId="21DB3A6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4E2183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5D95F4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EBFBFC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F50088F">
      <w:pPr>
        <w:spacing w:line="640" w:lineRule="exact"/>
        <w:ind w:firstLine="640"/>
        <w:jc w:val="both"/>
        <w:outlineLvl w:val="2"/>
      </w:pPr>
      <w:r>
        <w:rPr>
          <w:rFonts w:ascii="黑体" w:hAnsi="黑体" w:eastAsia="黑体"/>
          <w:sz w:val="32"/>
        </w:rPr>
        <w:t>十、其他重要事项的情况说明</w:t>
      </w:r>
    </w:p>
    <w:p w14:paraId="1D59800D">
      <w:pPr>
        <w:spacing w:line="640" w:lineRule="exact"/>
        <w:ind w:firstLine="640"/>
        <w:jc w:val="both"/>
        <w:outlineLvl w:val="3"/>
      </w:pPr>
      <w:r>
        <w:rPr>
          <w:rFonts w:ascii="楷体_GB2312" w:hAnsi="楷体_GB2312" w:eastAsia="楷体_GB2312"/>
          <w:b/>
          <w:sz w:val="32"/>
        </w:rPr>
        <w:t>（一）机关运行经费及公用经费支出情况</w:t>
      </w:r>
    </w:p>
    <w:p w14:paraId="65AAC994">
      <w:pPr>
        <w:spacing w:line="580" w:lineRule="exact"/>
        <w:ind w:firstLine="640"/>
        <w:jc w:val="both"/>
      </w:pPr>
      <w:r>
        <w:rPr>
          <w:rFonts w:ascii="仿宋_GB2312" w:hAnsi="仿宋_GB2312" w:eastAsia="仿宋_GB2312"/>
          <w:b w:val="0"/>
          <w:sz w:val="32"/>
        </w:rPr>
        <w:t>2024年度英吉沙县消防救援大队（行政单位和参照公务员法管理事业单位）机关运行经费支出40.96万元，比上年增加15.68万元，增长62.03%，主要原因是：本年增加办公费、印刷费，导致机关运行经费支出增加。</w:t>
      </w:r>
    </w:p>
    <w:p w14:paraId="37834699">
      <w:pPr>
        <w:spacing w:line="640" w:lineRule="exact"/>
        <w:ind w:firstLine="640"/>
        <w:jc w:val="both"/>
        <w:outlineLvl w:val="3"/>
      </w:pPr>
      <w:r>
        <w:rPr>
          <w:rFonts w:ascii="楷体_GB2312" w:hAnsi="楷体_GB2312" w:eastAsia="楷体_GB2312"/>
          <w:b/>
          <w:sz w:val="32"/>
        </w:rPr>
        <w:t>（二）政府采购情况</w:t>
      </w:r>
    </w:p>
    <w:p w14:paraId="38965A6D">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7E1AD65F">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2169C6C8">
      <w:pPr>
        <w:spacing w:line="640" w:lineRule="exact"/>
        <w:ind w:firstLine="640"/>
        <w:jc w:val="both"/>
        <w:outlineLvl w:val="3"/>
      </w:pPr>
      <w:r>
        <w:rPr>
          <w:rFonts w:ascii="楷体_GB2312" w:hAnsi="楷体_GB2312" w:eastAsia="楷体_GB2312"/>
          <w:b/>
          <w:sz w:val="32"/>
        </w:rPr>
        <w:t>（三）国有资产占用情况说明</w:t>
      </w:r>
    </w:p>
    <w:p w14:paraId="750CD996">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395A3AB">
      <w:pPr>
        <w:spacing w:line="640" w:lineRule="exact"/>
        <w:ind w:firstLine="640"/>
        <w:jc w:val="both"/>
        <w:outlineLvl w:val="2"/>
      </w:pPr>
      <w:r>
        <w:rPr>
          <w:rFonts w:ascii="黑体" w:hAnsi="黑体" w:eastAsia="黑体"/>
          <w:sz w:val="32"/>
        </w:rPr>
        <w:t>十一、预算绩效的情况说明</w:t>
      </w:r>
    </w:p>
    <w:p w14:paraId="7BC783C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根据预算绩效管理要求，本单位2024年度预算绩效管理形成整体支出绩效自评表1个，全年预算总额279.80万元，实际执行总额279.80万元；预算绩效评价项目</w:t>
      </w:r>
      <w:r>
        <w:rPr>
          <w:rFonts w:hint="eastAsia" w:ascii="仿宋_GB2312" w:hAnsi="仿宋_GB2312" w:eastAsia="仿宋_GB2312"/>
          <w:b w:val="0"/>
          <w:sz w:val="32"/>
          <w:lang w:val="en-US" w:eastAsia="zh-CN"/>
        </w:rPr>
        <w:t>3</w:t>
      </w:r>
      <w:r>
        <w:rPr>
          <w:rFonts w:ascii="仿宋_GB2312" w:hAnsi="仿宋_GB2312" w:eastAsia="仿宋_GB2312"/>
          <w:b w:val="0"/>
          <w:sz w:val="32"/>
        </w:rPr>
        <w:t>个，全年预算数</w:t>
      </w:r>
      <w:r>
        <w:rPr>
          <w:rFonts w:hint="eastAsia" w:ascii="仿宋_GB2312" w:hAnsi="仿宋_GB2312" w:eastAsia="仿宋_GB2312"/>
          <w:b w:val="0"/>
          <w:sz w:val="32"/>
        </w:rPr>
        <w:t>57.04</w:t>
      </w:r>
      <w:r>
        <w:rPr>
          <w:rFonts w:ascii="仿宋_GB2312" w:hAnsi="仿宋_GB2312" w:eastAsia="仿宋_GB2312"/>
          <w:b w:val="0"/>
          <w:sz w:val="32"/>
        </w:rPr>
        <w:t>万元，全年执行数</w:t>
      </w:r>
      <w:r>
        <w:rPr>
          <w:rFonts w:hint="eastAsia" w:ascii="仿宋_GB2312" w:hAnsi="仿宋_GB2312" w:eastAsia="仿宋_GB2312"/>
          <w:b w:val="0"/>
          <w:sz w:val="32"/>
        </w:rPr>
        <w:t>57.04</w:t>
      </w:r>
      <w:r>
        <w:rPr>
          <w:rFonts w:ascii="仿宋_GB2312" w:hAnsi="仿宋_GB2312" w:eastAsia="仿宋_GB2312"/>
          <w:b w:val="0"/>
          <w:sz w:val="32"/>
        </w:rPr>
        <w:t>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项目细化管理工作不足。各项资金的使用没有做到细致的预算，造成项目遇到各种不确定因素，财政资金无法发挥最大使用效益。下一步改进措施：一是加强学习，进一步明确如何参照考核体系，科学合理设定绩效目标，充分发挥预算绩效管理工作效用。二是财务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开展提供帮助。三是从源头</w:t>
      </w:r>
      <w:bookmarkStart w:id="0" w:name="_GoBack"/>
      <w:bookmarkEnd w:id="0"/>
      <w:r>
        <w:rPr>
          <w:rFonts w:ascii="仿宋_GB2312" w:hAnsi="仿宋_GB2312" w:eastAsia="仿宋_GB2312"/>
          <w:b w:val="0"/>
          <w:sz w:val="32"/>
        </w:rPr>
        <w:t>上强化对专项资金预算管理，实行专项资金预算管理，结合单位实际,按轻重缓急统筹安排编制预算,提高预算编制科学性和合理性，优化资金结构。具体附整体支出绩效自评表，项目支出绩效自评表和评价报告。</w:t>
      </w:r>
    </w:p>
    <w:p w14:paraId="7F337C8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EAE814D">
        <w:tblPrEx>
          <w:tblCellMar>
            <w:top w:w="0" w:type="dxa"/>
            <w:left w:w="108" w:type="dxa"/>
            <w:bottom w:w="0" w:type="dxa"/>
            <w:right w:w="108" w:type="dxa"/>
          </w:tblCellMar>
        </w:tblPrEx>
        <w:tc>
          <w:tcPr>
            <w:tcW w:w="8847" w:type="dxa"/>
            <w:gridSpan w:val="9"/>
            <w:vAlign w:val="center"/>
          </w:tcPr>
          <w:p w14:paraId="6011F607">
            <w:pPr>
              <w:jc w:val="center"/>
            </w:pPr>
            <w:r>
              <w:rPr>
                <w:rFonts w:ascii="宋体" w:hAnsi="宋体" w:eastAsia="宋体"/>
                <w:sz w:val="24"/>
              </w:rPr>
              <w:t>单位整体支出绩效自评表</w:t>
            </w:r>
          </w:p>
        </w:tc>
      </w:tr>
      <w:tr w14:paraId="498B300C">
        <w:tblPrEx>
          <w:tblCellMar>
            <w:top w:w="0" w:type="dxa"/>
            <w:left w:w="108" w:type="dxa"/>
            <w:bottom w:w="0" w:type="dxa"/>
            <w:right w:w="108" w:type="dxa"/>
          </w:tblCellMar>
        </w:tblPrEx>
        <w:tc>
          <w:tcPr>
            <w:tcW w:w="8847" w:type="dxa"/>
            <w:gridSpan w:val="9"/>
            <w:vAlign w:val="center"/>
          </w:tcPr>
          <w:p w14:paraId="74039EE2">
            <w:pPr>
              <w:jc w:val="center"/>
            </w:pPr>
            <w:r>
              <w:rPr>
                <w:rFonts w:ascii="宋体" w:hAnsi="宋体" w:eastAsia="宋体"/>
                <w:sz w:val="24"/>
              </w:rPr>
              <w:t>（2024年度）</w:t>
            </w:r>
          </w:p>
        </w:tc>
      </w:tr>
      <w:tr w14:paraId="06D28ED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6C81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FCA610A">
            <w:pPr>
              <w:jc w:val="center"/>
            </w:pPr>
            <w:r>
              <w:rPr>
                <w:rFonts w:ascii="宋体" w:hAnsi="宋体" w:eastAsia="宋体"/>
                <w:sz w:val="16"/>
              </w:rPr>
              <w:t>英吉沙县消防救援大队</w:t>
            </w:r>
          </w:p>
        </w:tc>
      </w:tr>
      <w:tr w14:paraId="1133FB4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A7CE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C7957">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6B94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BA631">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F324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15FE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3A201">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C5E53">
            <w:pPr>
              <w:jc w:val="center"/>
            </w:pPr>
            <w:r>
              <w:rPr>
                <w:rFonts w:ascii="宋体" w:hAnsi="宋体" w:eastAsia="宋体"/>
                <w:sz w:val="16"/>
              </w:rPr>
              <w:t>得分</w:t>
            </w:r>
          </w:p>
        </w:tc>
      </w:tr>
      <w:tr w14:paraId="1B0274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F71F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7536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1AFE6">
            <w:pPr>
              <w:jc w:val="center"/>
            </w:pPr>
            <w:r>
              <w:rPr>
                <w:rFonts w:ascii="宋体" w:hAnsi="宋体" w:eastAsia="宋体"/>
                <w:sz w:val="16"/>
              </w:rPr>
              <w:t>258.74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D6C0C">
            <w:pPr>
              <w:jc w:val="center"/>
            </w:pPr>
            <w:r>
              <w:rPr>
                <w:rFonts w:ascii="宋体" w:hAnsi="宋体" w:eastAsia="宋体"/>
                <w:sz w:val="16"/>
              </w:rPr>
              <w:t>279.80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7B4CB">
            <w:pPr>
              <w:jc w:val="center"/>
            </w:pPr>
            <w:r>
              <w:rPr>
                <w:rFonts w:ascii="宋体" w:hAnsi="宋体" w:eastAsia="宋体"/>
                <w:sz w:val="16"/>
              </w:rPr>
              <w:t>279.80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7461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D9817">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F44BB">
            <w:pPr>
              <w:jc w:val="center"/>
            </w:pPr>
            <w:r>
              <w:rPr>
                <w:rFonts w:ascii="宋体" w:hAnsi="宋体" w:eastAsia="宋体"/>
                <w:sz w:val="16"/>
              </w:rPr>
              <w:t>10</w:t>
            </w:r>
          </w:p>
        </w:tc>
      </w:tr>
      <w:tr w14:paraId="6850CC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D0A0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B3E7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E531D">
            <w:pPr>
              <w:jc w:val="center"/>
            </w:pPr>
            <w:r>
              <w:rPr>
                <w:rFonts w:ascii="宋体" w:hAnsi="宋体" w:eastAsia="宋体"/>
                <w:sz w:val="16"/>
              </w:rPr>
              <w:t>30.00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CC22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B544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42B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9483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D1F5A">
            <w:pPr>
              <w:jc w:val="center"/>
            </w:pPr>
            <w:r>
              <w:rPr>
                <w:rFonts w:ascii="宋体" w:hAnsi="宋体" w:eastAsia="宋体"/>
                <w:sz w:val="16"/>
              </w:rPr>
              <w:t>—</w:t>
            </w:r>
          </w:p>
        </w:tc>
      </w:tr>
      <w:tr w14:paraId="353DC8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82CF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9A2D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EBA67">
            <w:pPr>
              <w:jc w:val="center"/>
            </w:pPr>
            <w:r>
              <w:rPr>
                <w:rFonts w:ascii="宋体" w:hAnsi="宋体" w:eastAsia="宋体"/>
                <w:sz w:val="16"/>
              </w:rPr>
              <w:t>228.74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C699E">
            <w:pPr>
              <w:jc w:val="center"/>
            </w:pPr>
            <w:r>
              <w:rPr>
                <w:rFonts w:ascii="宋体" w:hAnsi="宋体" w:eastAsia="宋体"/>
                <w:sz w:val="16"/>
              </w:rPr>
              <w:t>279.80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537D0">
            <w:pPr>
              <w:jc w:val="center"/>
            </w:pPr>
            <w:r>
              <w:rPr>
                <w:rFonts w:ascii="宋体" w:hAnsi="宋体" w:eastAsia="宋体"/>
                <w:sz w:val="16"/>
              </w:rPr>
              <w:t>279.80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A7C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2375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97137">
            <w:pPr>
              <w:jc w:val="center"/>
            </w:pPr>
            <w:r>
              <w:rPr>
                <w:rFonts w:ascii="宋体" w:hAnsi="宋体" w:eastAsia="宋体"/>
                <w:sz w:val="16"/>
              </w:rPr>
              <w:t>—</w:t>
            </w:r>
          </w:p>
        </w:tc>
      </w:tr>
      <w:tr w14:paraId="2CACF3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3B0A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47E5B">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735C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E89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22F3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85E3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0EE6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E650F">
            <w:pPr>
              <w:jc w:val="center"/>
            </w:pPr>
            <w:r>
              <w:rPr>
                <w:rFonts w:ascii="宋体" w:hAnsi="宋体" w:eastAsia="宋体"/>
                <w:sz w:val="16"/>
              </w:rPr>
              <w:t>—</w:t>
            </w:r>
          </w:p>
        </w:tc>
      </w:tr>
      <w:tr w14:paraId="5A2DBDF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3F19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9D3FE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C42846">
            <w:pPr>
              <w:jc w:val="center"/>
            </w:pPr>
            <w:r>
              <w:rPr>
                <w:rFonts w:ascii="宋体" w:hAnsi="宋体" w:eastAsia="宋体"/>
                <w:sz w:val="16"/>
              </w:rPr>
              <w:t>实际完成情况</w:t>
            </w:r>
          </w:p>
        </w:tc>
      </w:tr>
      <w:tr w14:paraId="0D334D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192CD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48AF82">
            <w:pPr>
              <w:jc w:val="both"/>
            </w:pPr>
            <w:r>
              <w:rPr>
                <w:rFonts w:ascii="宋体" w:hAnsi="宋体" w:eastAsia="宋体"/>
                <w:sz w:val="16"/>
              </w:rPr>
              <w:t>2024年，英吉沙大队党委将坚持问题导向，带领全体指战员继续滚石上山、筑牢基础，继续建强班子、带好队伍，重点在干部能力培养、队伍风气建设、特种车辆装备提升、经费保障和火灾防控等难点问题上持续用力，大队党委一班人将加压奋进、破解难题、补齐短板，勇担职责使命，勇破发展困境，筑牢队伍发展基础，努力实现英吉沙消防队伍的“换羽新生”和“提质增效”。2024大队共接警出动不少于200起、巡检不少于250个市政消火栓、大队共监督检查单位不少于1500家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C74963">
            <w:pPr>
              <w:jc w:val="both"/>
            </w:pPr>
            <w:r>
              <w:rPr>
                <w:rFonts w:hint="eastAsia" w:ascii="宋体" w:hAnsi="宋体"/>
                <w:sz w:val="16"/>
                <w:lang w:eastAsia="zh-CN"/>
              </w:rPr>
              <w:t>截至</w:t>
            </w:r>
            <w:r>
              <w:rPr>
                <w:rFonts w:ascii="宋体" w:hAnsi="宋体" w:eastAsia="宋体"/>
                <w:sz w:val="16"/>
              </w:rPr>
              <w:t>2024年12月，已完成在支队党委的统一领导下，大队党委立足岗位职责，发挥职能作用，严格按照要求开展灭火救援、政治教育、后勤管理和社会面火灾防控等工作。消防维持基本运行业务经费项目支出，能够更好地开展消防监督、火灾扑救、抢险救援、执勤训练、消防宣传教育培训等方面的工作，完成大队共接警出动200起，其中火灾扑救74起，社会救助10起，抢险救援23起，公务执勤85起，其他出动8起，出动车辆309辆次，出动警力1215人次，抢救被困人员7人，疏散群众32人，抢救财产价值70.35余万元，保护财产169.09余万元，圆满完成各类重大节日活动前置执勤和消防任务。共检查单位1500家次，发现及整改火灾隐患3649处，下发《责令改正通知书》969份，下发《行政处罚决定书》83份，责令“三停”7家，临时查封7家，罚款27.1万元，确立重大火灾隐患1家，巡检市政消火栓250个，有效消除了一大批消防隐患痼疾，确保了全县火灾形势总体平稳。全年共开展社会面宣传教育和开放红门参观学习70余场，迎接2000名群众进“红门”体验消防生活，以“安全生产月”“开学第一课”“11·9消防宣传月”等专项宣传活动为契机，扎实推动宣传工作开展，累计宣传教育培训群众3万余人次，圆满完成各类重大节日活动前置执勤和消防任务。</w:t>
            </w:r>
          </w:p>
        </w:tc>
      </w:tr>
      <w:tr w14:paraId="51EF11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49BC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3DAC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0784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35523">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75DEB">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6485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4ED8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210C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FC91F">
            <w:pPr>
              <w:jc w:val="center"/>
            </w:pPr>
            <w:r>
              <w:rPr>
                <w:rFonts w:ascii="宋体" w:hAnsi="宋体" w:eastAsia="宋体"/>
                <w:sz w:val="16"/>
              </w:rPr>
              <w:t>得分</w:t>
            </w:r>
          </w:p>
        </w:tc>
      </w:tr>
      <w:tr w14:paraId="0CDAADA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BCF93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FCDD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A1946">
            <w:pPr>
              <w:jc w:val="center"/>
            </w:pPr>
            <w:r>
              <w:rPr>
                <w:rFonts w:ascii="宋体" w:hAnsi="宋体" w:eastAsia="宋体"/>
                <w:sz w:val="16"/>
              </w:rPr>
              <w:t>接警出动起数量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5FED8">
            <w:pPr>
              <w:jc w:val="center"/>
            </w:pPr>
            <w:r>
              <w:rPr>
                <w:rFonts w:ascii="宋体" w:hAnsi="宋体" w:eastAsia="宋体"/>
                <w:sz w:val="16"/>
              </w:rPr>
              <w:t>&gt;=200起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F7AB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092A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164F0">
            <w:pPr>
              <w:jc w:val="center"/>
            </w:pPr>
            <w:r>
              <w:rPr>
                <w:rFonts w:ascii="宋体" w:hAnsi="宋体" w:eastAsia="宋体"/>
                <w:sz w:val="16"/>
              </w:rPr>
              <w:t>=200起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220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71707">
            <w:pPr>
              <w:jc w:val="center"/>
            </w:pPr>
            <w:r>
              <w:rPr>
                <w:rFonts w:ascii="宋体" w:hAnsi="宋体" w:eastAsia="宋体"/>
                <w:sz w:val="16"/>
              </w:rPr>
              <w:t>30</w:t>
            </w:r>
          </w:p>
        </w:tc>
      </w:tr>
      <w:tr w14:paraId="3F0AFA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2088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E359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E784B">
            <w:pPr>
              <w:jc w:val="center"/>
            </w:pPr>
            <w:r>
              <w:rPr>
                <w:rFonts w:ascii="宋体" w:hAnsi="宋体" w:eastAsia="宋体"/>
                <w:sz w:val="16"/>
              </w:rPr>
              <w:t>巡检市政消火栓个数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4517D">
            <w:pPr>
              <w:jc w:val="center"/>
            </w:pPr>
            <w:r>
              <w:rPr>
                <w:rFonts w:ascii="宋体" w:hAnsi="宋体" w:eastAsia="宋体"/>
                <w:sz w:val="16"/>
              </w:rPr>
              <w:t>&gt;=250个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AA52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9F6A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F4EFE">
            <w:pPr>
              <w:jc w:val="center"/>
            </w:pPr>
            <w:r>
              <w:rPr>
                <w:rFonts w:ascii="宋体" w:hAnsi="宋体" w:eastAsia="宋体"/>
                <w:sz w:val="16"/>
              </w:rPr>
              <w:t>=250个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FE5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E1945">
            <w:pPr>
              <w:jc w:val="center"/>
            </w:pPr>
            <w:r>
              <w:rPr>
                <w:rFonts w:ascii="宋体" w:hAnsi="宋体" w:eastAsia="宋体"/>
                <w:sz w:val="16"/>
              </w:rPr>
              <w:t>30</w:t>
            </w:r>
          </w:p>
        </w:tc>
      </w:tr>
      <w:tr w14:paraId="0C22F9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7C33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6FA4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CF5B1">
            <w:pPr>
              <w:jc w:val="center"/>
            </w:pPr>
            <w:r>
              <w:rPr>
                <w:rFonts w:ascii="宋体" w:hAnsi="宋体" w:eastAsia="宋体"/>
                <w:sz w:val="16"/>
              </w:rPr>
              <w:t>监督检查单位个数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767ED">
            <w:pPr>
              <w:jc w:val="center"/>
            </w:pPr>
            <w:r>
              <w:rPr>
                <w:rFonts w:ascii="宋体" w:hAnsi="宋体" w:eastAsia="宋体"/>
                <w:sz w:val="16"/>
              </w:rPr>
              <w:t>&gt;=1500家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2C88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8CCD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44470">
            <w:pPr>
              <w:jc w:val="center"/>
            </w:pPr>
            <w:r>
              <w:rPr>
                <w:rFonts w:ascii="宋体" w:hAnsi="宋体" w:eastAsia="宋体"/>
                <w:sz w:val="16"/>
              </w:rPr>
              <w:t>=1500家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032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8AC7C">
            <w:pPr>
              <w:jc w:val="center"/>
            </w:pPr>
            <w:r>
              <w:rPr>
                <w:rFonts w:ascii="宋体" w:hAnsi="宋体" w:eastAsia="宋体"/>
                <w:sz w:val="16"/>
              </w:rPr>
              <w:t>30</w:t>
            </w:r>
          </w:p>
        </w:tc>
      </w:tr>
    </w:tbl>
    <w:p w14:paraId="2D46B81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459"/>
        <w:gridCol w:w="805"/>
        <w:gridCol w:w="632"/>
      </w:tblGrid>
      <w:tr w14:paraId="6AA422CF">
        <w:tblPrEx>
          <w:tblCellMar>
            <w:top w:w="0" w:type="dxa"/>
            <w:left w:w="108" w:type="dxa"/>
            <w:bottom w:w="0" w:type="dxa"/>
            <w:right w:w="108" w:type="dxa"/>
          </w:tblCellMar>
        </w:tblPrEx>
        <w:tc>
          <w:tcPr>
            <w:tcW w:w="8848" w:type="dxa"/>
            <w:gridSpan w:val="14"/>
            <w:vAlign w:val="center"/>
          </w:tcPr>
          <w:p w14:paraId="43E7CF23">
            <w:pPr>
              <w:jc w:val="center"/>
            </w:pPr>
            <w:r>
              <w:rPr>
                <w:rFonts w:ascii="宋体" w:hAnsi="宋体" w:eastAsia="宋体"/>
                <w:sz w:val="24"/>
              </w:rPr>
              <w:t>项目支出绩效自评表</w:t>
            </w:r>
          </w:p>
        </w:tc>
      </w:tr>
      <w:tr w14:paraId="65FBF10E">
        <w:tblPrEx>
          <w:tblCellMar>
            <w:top w:w="0" w:type="dxa"/>
            <w:left w:w="108" w:type="dxa"/>
            <w:bottom w:w="0" w:type="dxa"/>
            <w:right w:w="108" w:type="dxa"/>
          </w:tblCellMar>
        </w:tblPrEx>
        <w:tc>
          <w:tcPr>
            <w:tcW w:w="8848" w:type="dxa"/>
            <w:gridSpan w:val="14"/>
            <w:vAlign w:val="center"/>
          </w:tcPr>
          <w:p w14:paraId="0824D8A6">
            <w:pPr>
              <w:jc w:val="center"/>
            </w:pPr>
            <w:r>
              <w:rPr>
                <w:rFonts w:ascii="宋体" w:hAnsi="宋体" w:eastAsia="宋体"/>
                <w:sz w:val="24"/>
              </w:rPr>
              <w:t>(2024年度)</w:t>
            </w:r>
          </w:p>
        </w:tc>
      </w:tr>
      <w:tr w14:paraId="2619A2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79FA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2CD73A">
            <w:pPr>
              <w:jc w:val="center"/>
            </w:pPr>
            <w:r>
              <w:rPr>
                <w:rFonts w:ascii="宋体" w:hAnsi="宋体" w:eastAsia="宋体"/>
                <w:sz w:val="16"/>
              </w:rPr>
              <w:t>2024年消防业务经费项目</w:t>
            </w:r>
          </w:p>
        </w:tc>
      </w:tr>
      <w:tr w14:paraId="533760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0FA2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0D9948">
            <w:pPr>
              <w:jc w:val="center"/>
            </w:pPr>
            <w:r>
              <w:rPr>
                <w:rFonts w:ascii="宋体" w:hAnsi="宋体" w:eastAsia="宋体"/>
                <w:sz w:val="16"/>
              </w:rPr>
              <w:t>英吉沙县消防救援大队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5F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18A1DE">
            <w:pPr>
              <w:jc w:val="center"/>
            </w:pPr>
            <w:r>
              <w:rPr>
                <w:rFonts w:ascii="宋体" w:hAnsi="宋体" w:eastAsia="宋体"/>
                <w:sz w:val="16"/>
              </w:rPr>
              <w:t>英吉沙县消防救援大队</w:t>
            </w:r>
          </w:p>
        </w:tc>
      </w:tr>
      <w:tr w14:paraId="184FBC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1794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B930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AC5E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9FB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0B4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5445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F2A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BCC25">
            <w:pPr>
              <w:jc w:val="center"/>
            </w:pPr>
            <w:r>
              <w:rPr>
                <w:rFonts w:ascii="宋体" w:hAnsi="宋体" w:eastAsia="宋体"/>
                <w:sz w:val="16"/>
              </w:rPr>
              <w:t>得分</w:t>
            </w:r>
          </w:p>
        </w:tc>
      </w:tr>
      <w:tr w14:paraId="40A1EB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10C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EB30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F95E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D0DA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AD11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1AF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1E57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ED2B9">
            <w:pPr>
              <w:jc w:val="center"/>
            </w:pPr>
            <w:r>
              <w:rPr>
                <w:rFonts w:ascii="宋体" w:hAnsi="宋体" w:eastAsia="宋体"/>
                <w:sz w:val="16"/>
              </w:rPr>
              <w:t>10.00分</w:t>
            </w:r>
          </w:p>
        </w:tc>
      </w:tr>
      <w:tr w14:paraId="39585F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FE8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87E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A9DF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D99D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A703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A8A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8AF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BAC17">
            <w:pPr>
              <w:jc w:val="center"/>
            </w:pPr>
            <w:r>
              <w:rPr>
                <w:rFonts w:ascii="宋体" w:hAnsi="宋体" w:eastAsia="宋体"/>
                <w:sz w:val="16"/>
              </w:rPr>
              <w:t>—</w:t>
            </w:r>
          </w:p>
        </w:tc>
      </w:tr>
      <w:tr w14:paraId="0740F7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B7E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52C4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213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BDC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D88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A98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5A9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4BEF9">
            <w:pPr>
              <w:jc w:val="center"/>
            </w:pPr>
            <w:r>
              <w:rPr>
                <w:rFonts w:ascii="宋体" w:hAnsi="宋体" w:eastAsia="宋体"/>
                <w:sz w:val="16"/>
              </w:rPr>
              <w:t>—</w:t>
            </w:r>
          </w:p>
        </w:tc>
      </w:tr>
      <w:tr w14:paraId="13F83E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2089C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1E988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6BE5C2">
            <w:pPr>
              <w:jc w:val="center"/>
            </w:pPr>
            <w:r>
              <w:rPr>
                <w:rFonts w:ascii="宋体" w:hAnsi="宋体" w:eastAsia="宋体"/>
                <w:sz w:val="16"/>
              </w:rPr>
              <w:t>实际完成情况</w:t>
            </w:r>
          </w:p>
        </w:tc>
      </w:tr>
      <w:tr w14:paraId="06DC5D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BCC5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65E563">
            <w:pPr>
              <w:jc w:val="both"/>
            </w:pPr>
            <w:r>
              <w:rPr>
                <w:rFonts w:ascii="宋体" w:hAnsi="宋体" w:eastAsia="宋体"/>
                <w:sz w:val="16"/>
              </w:rPr>
              <w:t>该项目计划投入资金30万元，用于保障英吉沙县消防救援大队公用经费。该项目的实施确保英吉沙县消防救援大队在维持基本运行的同时，能够更好地开展消防监督、火灾扑救、抢险救援、执勤训练、消防宣传教育培训等方面的工作。预期受益工作人员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319AD7">
            <w:pPr>
              <w:jc w:val="both"/>
            </w:pPr>
            <w:r>
              <w:rPr>
                <w:rFonts w:hint="eastAsia" w:ascii="宋体" w:hAnsi="宋体"/>
                <w:sz w:val="16"/>
                <w:lang w:eastAsia="zh-CN"/>
              </w:rPr>
              <w:t>截至2024</w:t>
            </w:r>
            <w:r>
              <w:rPr>
                <w:rFonts w:ascii="宋体" w:hAnsi="宋体" w:eastAsia="宋体"/>
                <w:sz w:val="16"/>
              </w:rPr>
              <w:t>年12月31日，该项目执行资金30万元，项目资金执行率为100%，主要用于保障英吉沙县消防救援大队公用经费，通过该项目的实施确保了英吉沙县消防救援大队在维持基本运行的同时，更好</w:t>
            </w:r>
            <w:r>
              <w:rPr>
                <w:rFonts w:hint="eastAsia" w:ascii="宋体" w:hAnsi="宋体"/>
                <w:sz w:val="16"/>
                <w:lang w:eastAsia="zh-CN"/>
              </w:rPr>
              <w:t>地</w:t>
            </w:r>
            <w:r>
              <w:rPr>
                <w:rFonts w:ascii="宋体" w:hAnsi="宋体" w:eastAsia="宋体"/>
                <w:sz w:val="16"/>
              </w:rPr>
              <w:t>开展了消防监督、火灾扑救、抢险救援、执勤训练、消防宣传教育培训等方面的工作。</w:t>
            </w:r>
          </w:p>
        </w:tc>
      </w:tr>
      <w:tr w14:paraId="41D3E5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9DE7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4B7F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E4B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A505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9F62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3ACA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F875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9F28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2EA9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8A32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36C22">
            <w:pPr>
              <w:jc w:val="center"/>
            </w:pPr>
            <w:r>
              <w:rPr>
                <w:rFonts w:ascii="宋体" w:hAnsi="宋体" w:eastAsia="宋体"/>
                <w:sz w:val="16"/>
              </w:rPr>
              <w:t>实际完成值</w:t>
            </w:r>
          </w:p>
        </w:tc>
        <w:tc>
          <w:tcPr>
            <w:tcW w:w="459" w:type="dxa"/>
            <w:tcBorders>
              <w:top w:val="single" w:color="auto" w:sz="10" w:space="0"/>
              <w:left w:val="single" w:color="auto" w:sz="10" w:space="0"/>
              <w:bottom w:val="single" w:color="auto" w:sz="10" w:space="0"/>
              <w:right w:val="single" w:color="auto" w:sz="10" w:space="0"/>
              <w:insideV w:val="single" w:sz="10" w:space="0"/>
            </w:tcBorders>
            <w:vAlign w:val="center"/>
          </w:tcPr>
          <w:p w14:paraId="03FBFD14">
            <w:pPr>
              <w:jc w:val="center"/>
            </w:pPr>
            <w:r>
              <w:rPr>
                <w:rFonts w:ascii="宋体" w:hAnsi="宋体" w:eastAsia="宋体"/>
                <w:sz w:val="16"/>
              </w:rPr>
              <w:t>得分</w:t>
            </w:r>
          </w:p>
        </w:tc>
        <w:tc>
          <w:tcPr>
            <w:tcW w:w="14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F9164">
            <w:pPr>
              <w:jc w:val="center"/>
            </w:pPr>
            <w:r>
              <w:rPr>
                <w:rFonts w:ascii="宋体" w:hAnsi="宋体" w:eastAsia="宋体"/>
                <w:sz w:val="16"/>
              </w:rPr>
              <w:t>偏差原因分析及改进措施</w:t>
            </w:r>
          </w:p>
        </w:tc>
      </w:tr>
      <w:tr w14:paraId="075AD1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1B2C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A052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7AE3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5FAA">
            <w:pPr>
              <w:jc w:val="center"/>
            </w:pPr>
            <w:r>
              <w:rPr>
                <w:rFonts w:ascii="宋体" w:hAnsi="宋体" w:eastAsia="宋体"/>
                <w:sz w:val="16"/>
              </w:rPr>
              <w:t>保障公用经费部门数量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0EE5E">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F4A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F39D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A4B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E1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555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509A5">
            <w:pPr>
              <w:jc w:val="center"/>
            </w:pPr>
            <w:r>
              <w:rPr>
                <w:rFonts w:ascii="宋体" w:hAnsi="宋体" w:eastAsia="宋体"/>
                <w:sz w:val="16"/>
              </w:rPr>
              <w:t>=1个</w:t>
            </w:r>
          </w:p>
        </w:tc>
        <w:tc>
          <w:tcPr>
            <w:tcW w:w="459" w:type="dxa"/>
            <w:tcBorders>
              <w:top w:val="single" w:color="auto" w:sz="10" w:space="0"/>
              <w:left w:val="single" w:color="auto" w:sz="10" w:space="0"/>
              <w:bottom w:val="single" w:color="auto" w:sz="10" w:space="0"/>
              <w:right w:val="single" w:color="auto" w:sz="10" w:space="0"/>
              <w:insideV w:val="single" w:sz="10" w:space="0"/>
            </w:tcBorders>
            <w:vAlign w:val="center"/>
          </w:tcPr>
          <w:p w14:paraId="79E14BD6">
            <w:pPr>
              <w:jc w:val="center"/>
            </w:pPr>
            <w:r>
              <w:rPr>
                <w:rFonts w:ascii="宋体" w:hAnsi="宋体" w:eastAsia="宋体"/>
                <w:sz w:val="16"/>
              </w:rPr>
              <w:t>10</w:t>
            </w:r>
          </w:p>
        </w:tc>
        <w:tc>
          <w:tcPr>
            <w:tcW w:w="14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24D07">
            <w:pPr>
              <w:jc w:val="center"/>
            </w:pPr>
          </w:p>
        </w:tc>
      </w:tr>
      <w:tr w14:paraId="374292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EC6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6AF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3B58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4EE27">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BEE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67A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C5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AC9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C82E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20A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3FC7A">
            <w:pPr>
              <w:jc w:val="center"/>
            </w:pPr>
            <w:r>
              <w:rPr>
                <w:rFonts w:ascii="宋体" w:hAnsi="宋体" w:eastAsia="宋体"/>
                <w:sz w:val="16"/>
              </w:rPr>
              <w:t>=100%</w:t>
            </w:r>
          </w:p>
        </w:tc>
        <w:tc>
          <w:tcPr>
            <w:tcW w:w="459" w:type="dxa"/>
            <w:tcBorders>
              <w:top w:val="single" w:color="auto" w:sz="10" w:space="0"/>
              <w:left w:val="single" w:color="auto" w:sz="10" w:space="0"/>
              <w:bottom w:val="single" w:color="auto" w:sz="10" w:space="0"/>
              <w:right w:val="single" w:color="auto" w:sz="10" w:space="0"/>
              <w:insideV w:val="single" w:sz="10" w:space="0"/>
            </w:tcBorders>
            <w:vAlign w:val="center"/>
          </w:tcPr>
          <w:p w14:paraId="1B026CCA">
            <w:pPr>
              <w:jc w:val="center"/>
            </w:pPr>
            <w:r>
              <w:rPr>
                <w:rFonts w:ascii="宋体" w:hAnsi="宋体" w:eastAsia="宋体"/>
                <w:sz w:val="16"/>
              </w:rPr>
              <w:t>10</w:t>
            </w:r>
          </w:p>
        </w:tc>
        <w:tc>
          <w:tcPr>
            <w:tcW w:w="14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2F593">
            <w:pPr>
              <w:jc w:val="center"/>
            </w:pPr>
          </w:p>
        </w:tc>
      </w:tr>
      <w:tr w14:paraId="4B6E9A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7BB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0BC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B20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22AD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8C8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B2B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6AC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5D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673D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02C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1B916">
            <w:pPr>
              <w:jc w:val="center"/>
            </w:pPr>
            <w:r>
              <w:rPr>
                <w:rFonts w:ascii="宋体" w:hAnsi="宋体" w:eastAsia="宋体"/>
                <w:sz w:val="16"/>
              </w:rPr>
              <w:t>=100%</w:t>
            </w:r>
          </w:p>
        </w:tc>
        <w:tc>
          <w:tcPr>
            <w:tcW w:w="459" w:type="dxa"/>
            <w:tcBorders>
              <w:top w:val="single" w:color="auto" w:sz="10" w:space="0"/>
              <w:left w:val="single" w:color="auto" w:sz="10" w:space="0"/>
              <w:bottom w:val="single" w:color="auto" w:sz="10" w:space="0"/>
              <w:right w:val="single" w:color="auto" w:sz="10" w:space="0"/>
              <w:insideV w:val="single" w:sz="10" w:space="0"/>
            </w:tcBorders>
            <w:vAlign w:val="center"/>
          </w:tcPr>
          <w:p w14:paraId="527D93B3">
            <w:pPr>
              <w:jc w:val="center"/>
            </w:pPr>
            <w:r>
              <w:rPr>
                <w:rFonts w:ascii="宋体" w:hAnsi="宋体" w:eastAsia="宋体"/>
                <w:sz w:val="16"/>
              </w:rPr>
              <w:t>10</w:t>
            </w:r>
          </w:p>
        </w:tc>
        <w:tc>
          <w:tcPr>
            <w:tcW w:w="14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F2A16">
            <w:pPr>
              <w:jc w:val="center"/>
            </w:pPr>
          </w:p>
        </w:tc>
      </w:tr>
      <w:tr w14:paraId="6AE193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1A4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06F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84D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12AB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0E8F5">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12C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E0815">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7A9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A75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241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2933B">
            <w:pPr>
              <w:jc w:val="center"/>
            </w:pPr>
            <w:r>
              <w:rPr>
                <w:rFonts w:ascii="宋体" w:hAnsi="宋体" w:eastAsia="宋体"/>
                <w:sz w:val="16"/>
              </w:rPr>
              <w:t>=2024年12月24日</w:t>
            </w:r>
          </w:p>
        </w:tc>
        <w:tc>
          <w:tcPr>
            <w:tcW w:w="459" w:type="dxa"/>
            <w:tcBorders>
              <w:top w:val="single" w:color="auto" w:sz="10" w:space="0"/>
              <w:left w:val="single" w:color="auto" w:sz="10" w:space="0"/>
              <w:bottom w:val="single" w:color="auto" w:sz="10" w:space="0"/>
              <w:right w:val="single" w:color="auto" w:sz="10" w:space="0"/>
              <w:insideV w:val="single" w:sz="10" w:space="0"/>
            </w:tcBorders>
            <w:vAlign w:val="center"/>
          </w:tcPr>
          <w:p w14:paraId="70304133">
            <w:pPr>
              <w:jc w:val="center"/>
            </w:pPr>
            <w:r>
              <w:rPr>
                <w:rFonts w:ascii="宋体" w:hAnsi="宋体" w:eastAsia="宋体"/>
                <w:sz w:val="16"/>
              </w:rPr>
              <w:t>10</w:t>
            </w:r>
          </w:p>
        </w:tc>
        <w:tc>
          <w:tcPr>
            <w:tcW w:w="14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E401B">
            <w:pPr>
              <w:jc w:val="center"/>
            </w:pPr>
          </w:p>
        </w:tc>
      </w:tr>
      <w:tr w14:paraId="246FCA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3FA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425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2A0B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9ABC7">
            <w:pPr>
              <w:jc w:val="center"/>
            </w:pPr>
            <w:r>
              <w:rPr>
                <w:rFonts w:ascii="宋体" w:hAnsi="宋体" w:eastAsia="宋体"/>
                <w:sz w:val="16"/>
              </w:rPr>
              <w:t>公用经费支出成本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D6D45">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F8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5586E">
            <w:pPr>
              <w:jc w:val="center"/>
            </w:pPr>
            <w:r>
              <w:rPr>
                <w:rFonts w:ascii="宋体" w:hAnsi="宋体" w:eastAsia="宋体"/>
                <w:sz w:val="16"/>
              </w:rPr>
              <w:t>23.15万元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049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80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6A2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70A6E">
            <w:pPr>
              <w:jc w:val="center"/>
            </w:pPr>
            <w:r>
              <w:rPr>
                <w:rFonts w:ascii="宋体" w:hAnsi="宋体" w:eastAsia="宋体"/>
                <w:sz w:val="16"/>
              </w:rPr>
              <w:t>=30万元</w:t>
            </w:r>
          </w:p>
        </w:tc>
        <w:tc>
          <w:tcPr>
            <w:tcW w:w="459" w:type="dxa"/>
            <w:tcBorders>
              <w:top w:val="single" w:color="auto" w:sz="10" w:space="0"/>
              <w:left w:val="single" w:color="auto" w:sz="10" w:space="0"/>
              <w:bottom w:val="single" w:color="auto" w:sz="10" w:space="0"/>
              <w:right w:val="single" w:color="auto" w:sz="10" w:space="0"/>
              <w:insideV w:val="single" w:sz="10" w:space="0"/>
            </w:tcBorders>
            <w:vAlign w:val="center"/>
          </w:tcPr>
          <w:p w14:paraId="615AE12D">
            <w:pPr>
              <w:jc w:val="center"/>
            </w:pPr>
            <w:r>
              <w:rPr>
                <w:rFonts w:ascii="宋体" w:hAnsi="宋体" w:eastAsia="宋体"/>
                <w:sz w:val="16"/>
              </w:rPr>
              <w:t>20</w:t>
            </w:r>
          </w:p>
        </w:tc>
        <w:tc>
          <w:tcPr>
            <w:tcW w:w="14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BA83F">
            <w:pPr>
              <w:jc w:val="center"/>
            </w:pPr>
          </w:p>
        </w:tc>
      </w:tr>
      <w:tr w14:paraId="7AA68E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F3A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F8F8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E4B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2ED4">
            <w:pPr>
              <w:jc w:val="center"/>
            </w:pPr>
            <w:r>
              <w:rPr>
                <w:rFonts w:ascii="宋体" w:hAnsi="宋体" w:eastAsia="宋体"/>
                <w:sz w:val="16"/>
              </w:rPr>
              <w:t>保障消防大队正常运行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085F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0FC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C069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A0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961B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38F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1B344">
            <w:pPr>
              <w:jc w:val="center"/>
            </w:pPr>
            <w:r>
              <w:rPr>
                <w:rFonts w:ascii="宋体" w:hAnsi="宋体" w:eastAsia="宋体"/>
                <w:sz w:val="16"/>
              </w:rPr>
              <w:t>有效保障</w:t>
            </w:r>
          </w:p>
        </w:tc>
        <w:tc>
          <w:tcPr>
            <w:tcW w:w="459" w:type="dxa"/>
            <w:tcBorders>
              <w:top w:val="single" w:color="auto" w:sz="10" w:space="0"/>
              <w:left w:val="single" w:color="auto" w:sz="10" w:space="0"/>
              <w:bottom w:val="single" w:color="auto" w:sz="10" w:space="0"/>
              <w:right w:val="single" w:color="auto" w:sz="10" w:space="0"/>
              <w:insideV w:val="single" w:sz="10" w:space="0"/>
            </w:tcBorders>
            <w:vAlign w:val="center"/>
          </w:tcPr>
          <w:p w14:paraId="3722C641">
            <w:pPr>
              <w:jc w:val="center"/>
            </w:pPr>
            <w:r>
              <w:rPr>
                <w:rFonts w:ascii="宋体" w:hAnsi="宋体" w:eastAsia="宋体"/>
                <w:sz w:val="16"/>
              </w:rPr>
              <w:t>20</w:t>
            </w:r>
          </w:p>
        </w:tc>
        <w:tc>
          <w:tcPr>
            <w:tcW w:w="14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27CC5">
            <w:pPr>
              <w:jc w:val="center"/>
            </w:pPr>
          </w:p>
        </w:tc>
      </w:tr>
      <w:tr w14:paraId="427B6A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5DF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C54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6B4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8B07B">
            <w:pPr>
              <w:jc w:val="center"/>
            </w:pPr>
            <w:r>
              <w:rPr>
                <w:rFonts w:ascii="宋体" w:hAnsi="宋体" w:eastAsia="宋体"/>
                <w:sz w:val="16"/>
              </w:rPr>
              <w:t>受益工作人员满意度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6FB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F6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BBD3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B48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0505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17C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64A75">
            <w:pPr>
              <w:jc w:val="center"/>
            </w:pPr>
            <w:r>
              <w:rPr>
                <w:rFonts w:ascii="宋体" w:hAnsi="宋体" w:eastAsia="宋体"/>
                <w:sz w:val="16"/>
              </w:rPr>
              <w:t>=100%</w:t>
            </w:r>
          </w:p>
        </w:tc>
        <w:tc>
          <w:tcPr>
            <w:tcW w:w="459" w:type="dxa"/>
            <w:tcBorders>
              <w:top w:val="single" w:color="auto" w:sz="10" w:space="0"/>
              <w:left w:val="single" w:color="auto" w:sz="10" w:space="0"/>
              <w:bottom w:val="single" w:color="auto" w:sz="10" w:space="0"/>
              <w:right w:val="single" w:color="auto" w:sz="10" w:space="0"/>
              <w:insideV w:val="single" w:sz="10" w:space="0"/>
            </w:tcBorders>
            <w:vAlign w:val="center"/>
          </w:tcPr>
          <w:p w14:paraId="4E2198E2">
            <w:pPr>
              <w:jc w:val="center"/>
            </w:pPr>
            <w:r>
              <w:rPr>
                <w:rFonts w:ascii="宋体" w:hAnsi="宋体" w:eastAsia="宋体"/>
                <w:sz w:val="16"/>
              </w:rPr>
              <w:t>10</w:t>
            </w:r>
          </w:p>
        </w:tc>
        <w:tc>
          <w:tcPr>
            <w:tcW w:w="14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D8663">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一方面：建立常态化满意度调查机制，定期收集群众意见建议；根据反馈及时改进服务，提升服务质量和水平。另外一方面：对偏差进行深入分析，充分了解受益对象的需求变化，明确造成实际完成值高于预期的具体原因，以便在未来的项目中更好地把握和预测。</w:t>
            </w:r>
          </w:p>
        </w:tc>
      </w:tr>
      <w:tr w14:paraId="0CDB5DA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427D6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843A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E2A357"/>
        </w:tc>
        <w:tc>
          <w:tcPr>
            <w:tcW w:w="459" w:type="dxa"/>
            <w:tcBorders>
              <w:top w:val="single" w:color="auto" w:sz="10" w:space="0"/>
              <w:left w:val="single" w:color="auto" w:sz="10" w:space="0"/>
              <w:bottom w:val="single" w:color="auto" w:sz="10" w:space="0"/>
              <w:right w:val="single" w:color="auto" w:sz="10" w:space="0"/>
              <w:insideV w:val="single" w:sz="10" w:space="0"/>
            </w:tcBorders>
            <w:vAlign w:val="center"/>
          </w:tcPr>
          <w:p w14:paraId="041DA82B">
            <w:pPr>
              <w:jc w:val="center"/>
            </w:pPr>
            <w:r>
              <w:rPr>
                <w:rFonts w:ascii="宋体" w:hAnsi="宋体" w:eastAsia="宋体"/>
                <w:sz w:val="16"/>
              </w:rPr>
              <w:t>100分</w:t>
            </w:r>
          </w:p>
        </w:tc>
        <w:tc>
          <w:tcPr>
            <w:tcW w:w="1437" w:type="dxa"/>
            <w:gridSpan w:val="2"/>
            <w:tcBorders>
              <w:top w:val="single" w:color="auto" w:sz="10" w:space="0"/>
              <w:left w:val="single" w:color="auto" w:sz="10" w:space="0"/>
              <w:bottom w:val="single" w:color="auto" w:sz="10" w:space="0"/>
              <w:right w:val="single" w:color="auto" w:sz="10" w:space="0"/>
              <w:insideV w:val="single" w:sz="10" w:space="0"/>
            </w:tcBorders>
          </w:tcPr>
          <w:p w14:paraId="404385EF"/>
        </w:tc>
      </w:tr>
    </w:tbl>
    <w:p w14:paraId="52B98BA5">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6"/>
        <w:gridCol w:w="696"/>
        <w:gridCol w:w="628"/>
        <w:gridCol w:w="626"/>
        <w:gridCol w:w="626"/>
        <w:gridCol w:w="696"/>
        <w:gridCol w:w="632"/>
        <w:gridCol w:w="618"/>
        <w:gridCol w:w="632"/>
      </w:tblGrid>
      <w:tr w14:paraId="2E917EA8">
        <w:tblPrEx>
          <w:tblCellMar>
            <w:top w:w="0" w:type="dxa"/>
            <w:left w:w="108" w:type="dxa"/>
            <w:bottom w:w="0" w:type="dxa"/>
            <w:right w:w="108" w:type="dxa"/>
          </w:tblCellMar>
        </w:tblPrEx>
        <w:tc>
          <w:tcPr>
            <w:tcW w:w="8848" w:type="dxa"/>
            <w:gridSpan w:val="14"/>
            <w:vAlign w:val="center"/>
          </w:tcPr>
          <w:p w14:paraId="6D351B6B">
            <w:pPr>
              <w:jc w:val="center"/>
            </w:pPr>
            <w:r>
              <w:rPr>
                <w:rFonts w:ascii="宋体" w:hAnsi="宋体" w:eastAsia="宋体"/>
                <w:sz w:val="24"/>
              </w:rPr>
              <w:t>项目支出绩效自评表</w:t>
            </w:r>
          </w:p>
        </w:tc>
      </w:tr>
      <w:tr w14:paraId="58DD76EC">
        <w:tblPrEx>
          <w:tblCellMar>
            <w:top w:w="0" w:type="dxa"/>
            <w:left w:w="108" w:type="dxa"/>
            <w:bottom w:w="0" w:type="dxa"/>
            <w:right w:w="108" w:type="dxa"/>
          </w:tblCellMar>
        </w:tblPrEx>
        <w:tc>
          <w:tcPr>
            <w:tcW w:w="8848" w:type="dxa"/>
            <w:gridSpan w:val="14"/>
            <w:vAlign w:val="center"/>
          </w:tcPr>
          <w:p w14:paraId="431172EB">
            <w:pPr>
              <w:jc w:val="center"/>
            </w:pPr>
            <w:r>
              <w:rPr>
                <w:rFonts w:ascii="宋体" w:hAnsi="宋体" w:eastAsia="宋体"/>
                <w:sz w:val="24"/>
              </w:rPr>
              <w:t>(2024年度)</w:t>
            </w:r>
          </w:p>
        </w:tc>
      </w:tr>
      <w:tr w14:paraId="2E55CB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B29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E981AC">
            <w:pPr>
              <w:jc w:val="center"/>
            </w:pPr>
            <w:r>
              <w:rPr>
                <w:rFonts w:ascii="宋体" w:hAnsi="宋体" w:eastAsia="宋体"/>
                <w:sz w:val="16"/>
              </w:rPr>
              <w:t>2024年消防大队业务经费项目</w:t>
            </w:r>
          </w:p>
        </w:tc>
      </w:tr>
      <w:tr w14:paraId="4BDCA1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3686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9E132D">
            <w:pPr>
              <w:jc w:val="center"/>
            </w:pPr>
            <w:r>
              <w:rPr>
                <w:rFonts w:ascii="宋体" w:hAnsi="宋体" w:eastAsia="宋体"/>
                <w:sz w:val="16"/>
              </w:rPr>
              <w:t>英吉沙消防救援大队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CBA6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FCE051">
            <w:pPr>
              <w:jc w:val="center"/>
            </w:pPr>
            <w:r>
              <w:rPr>
                <w:rFonts w:ascii="宋体" w:hAnsi="宋体" w:eastAsia="宋体"/>
                <w:sz w:val="16"/>
              </w:rPr>
              <w:t>英吉沙县消防救援大队</w:t>
            </w:r>
          </w:p>
        </w:tc>
      </w:tr>
      <w:tr w14:paraId="4A23F9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7CA5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314D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99B7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7A01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B0EA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9521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937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20C0E">
            <w:pPr>
              <w:jc w:val="center"/>
            </w:pPr>
            <w:r>
              <w:rPr>
                <w:rFonts w:ascii="宋体" w:hAnsi="宋体" w:eastAsia="宋体"/>
                <w:sz w:val="16"/>
              </w:rPr>
              <w:t>得分</w:t>
            </w:r>
          </w:p>
        </w:tc>
      </w:tr>
      <w:tr w14:paraId="67D172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B11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7DD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710D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BEA7A">
            <w:pPr>
              <w:jc w:val="center"/>
            </w:pPr>
            <w:r>
              <w:rPr>
                <w:rFonts w:ascii="宋体" w:hAnsi="宋体" w:eastAsia="宋体"/>
                <w:sz w:val="16"/>
              </w:rPr>
              <w:t>10.96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B13C3">
            <w:pPr>
              <w:jc w:val="center"/>
            </w:pPr>
            <w:r>
              <w:rPr>
                <w:rFonts w:ascii="宋体" w:hAnsi="宋体" w:eastAsia="宋体"/>
                <w:sz w:val="16"/>
              </w:rPr>
              <w:t>10.96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461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F2CE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8A516">
            <w:pPr>
              <w:jc w:val="center"/>
            </w:pPr>
            <w:r>
              <w:rPr>
                <w:rFonts w:ascii="宋体" w:hAnsi="宋体" w:eastAsia="宋体"/>
                <w:sz w:val="16"/>
              </w:rPr>
              <w:t>10.00分</w:t>
            </w:r>
          </w:p>
        </w:tc>
      </w:tr>
      <w:tr w14:paraId="4A8D7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F34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0A0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950D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1049A">
            <w:pPr>
              <w:jc w:val="center"/>
            </w:pPr>
            <w:r>
              <w:rPr>
                <w:rFonts w:ascii="宋体" w:hAnsi="宋体" w:eastAsia="宋体"/>
                <w:sz w:val="16"/>
              </w:rPr>
              <w:t>10.96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27970">
            <w:pPr>
              <w:jc w:val="center"/>
            </w:pPr>
            <w:r>
              <w:rPr>
                <w:rFonts w:ascii="宋体" w:hAnsi="宋体" w:eastAsia="宋体"/>
                <w:sz w:val="16"/>
              </w:rPr>
              <w:t>10.96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E19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9B0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D4101">
            <w:pPr>
              <w:jc w:val="center"/>
            </w:pPr>
            <w:r>
              <w:rPr>
                <w:rFonts w:ascii="宋体" w:hAnsi="宋体" w:eastAsia="宋体"/>
                <w:sz w:val="16"/>
              </w:rPr>
              <w:t>—</w:t>
            </w:r>
          </w:p>
        </w:tc>
      </w:tr>
      <w:tr w14:paraId="2FA8C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4CA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991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FCA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994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6BC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52A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316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3B4E">
            <w:pPr>
              <w:jc w:val="center"/>
            </w:pPr>
            <w:r>
              <w:rPr>
                <w:rFonts w:ascii="宋体" w:hAnsi="宋体" w:eastAsia="宋体"/>
                <w:sz w:val="16"/>
              </w:rPr>
              <w:t>—</w:t>
            </w:r>
          </w:p>
        </w:tc>
      </w:tr>
      <w:tr w14:paraId="360CA0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4A295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F7C8E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5D1EA6">
            <w:pPr>
              <w:jc w:val="center"/>
            </w:pPr>
            <w:r>
              <w:rPr>
                <w:rFonts w:ascii="宋体" w:hAnsi="宋体" w:eastAsia="宋体"/>
                <w:sz w:val="16"/>
              </w:rPr>
              <w:t>实际完成情况</w:t>
            </w:r>
          </w:p>
        </w:tc>
      </w:tr>
      <w:tr w14:paraId="430C61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9F98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33BDD2">
            <w:pPr>
              <w:jc w:val="both"/>
            </w:pPr>
            <w:r>
              <w:rPr>
                <w:rFonts w:ascii="宋体" w:hAnsi="宋体" w:eastAsia="宋体"/>
                <w:sz w:val="16"/>
              </w:rPr>
              <w:t>该项目计划投入资金10.96万元，用于英吉沙县消防救援大队业务经费，其中6万元用于购买35211立方米燃气，4.96万元用于缴纳7个月电费。该项目的实施确保英吉沙县消防救援大队在维持基本运行的同时，能够更好地开展消防监督、火灾扑救、抢险救援、执勤训练、消防宣传教育培训以及常态化工作，有效保障消防大队正常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566F49">
            <w:pPr>
              <w:jc w:val="both"/>
            </w:pPr>
            <w:r>
              <w:rPr>
                <w:rFonts w:hint="eastAsia" w:ascii="宋体" w:hAnsi="宋体"/>
                <w:sz w:val="16"/>
                <w:lang w:eastAsia="zh-CN"/>
              </w:rPr>
              <w:t>截至2024</w:t>
            </w:r>
            <w:r>
              <w:rPr>
                <w:rFonts w:ascii="宋体" w:hAnsi="宋体" w:eastAsia="宋体"/>
                <w:sz w:val="16"/>
              </w:rPr>
              <w:t>年12月31日，该项目执行资金10.96万元，主要用于英吉沙县消防救援大队业务经费，其中6万元用于购买35211立方米燃气，4.96万元用于缴纳7个月电费。该项目的实施确保英吉沙县消防救援大队在维持基本运行的同时，能够更好地开展消防监督、火灾扑救、抢险救援、执勤训练、消防宣传教育培训以及常态化工作。</w:t>
            </w:r>
          </w:p>
        </w:tc>
      </w:tr>
      <w:tr w14:paraId="63E669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E0AA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63A4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D89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EC9D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7A26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E8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BF7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E306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846D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285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4C97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314C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8149B">
            <w:pPr>
              <w:jc w:val="center"/>
            </w:pPr>
            <w:r>
              <w:rPr>
                <w:rFonts w:ascii="宋体" w:hAnsi="宋体" w:eastAsia="宋体"/>
                <w:sz w:val="16"/>
              </w:rPr>
              <w:t>偏差原因分析及改进措施</w:t>
            </w:r>
          </w:p>
        </w:tc>
      </w:tr>
      <w:tr w14:paraId="3A243C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7D6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451B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B6FE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FE7DE">
            <w:pPr>
              <w:jc w:val="center"/>
            </w:pPr>
            <w:r>
              <w:rPr>
                <w:rFonts w:ascii="宋体" w:hAnsi="宋体" w:eastAsia="宋体"/>
                <w:sz w:val="16"/>
              </w:rPr>
              <w:t>购买燃气数量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19964">
            <w:pPr>
              <w:jc w:val="center"/>
            </w:pPr>
            <w:r>
              <w:rPr>
                <w:rFonts w:ascii="宋体" w:hAnsi="宋体" w:eastAsia="宋体"/>
                <w:sz w:val="16"/>
              </w:rPr>
              <w:t>&gt;=35211立方米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F68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C9D59">
            <w:pPr>
              <w:jc w:val="center"/>
            </w:pPr>
            <w:r>
              <w:rPr>
                <w:rFonts w:ascii="宋体" w:hAnsi="宋体" w:eastAsia="宋体"/>
                <w:sz w:val="16"/>
              </w:rPr>
              <w:t>=40000立方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CAC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3A3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BB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95B2A">
            <w:pPr>
              <w:jc w:val="center"/>
            </w:pPr>
            <w:r>
              <w:rPr>
                <w:rFonts w:ascii="宋体" w:hAnsi="宋体" w:eastAsia="宋体"/>
                <w:sz w:val="16"/>
              </w:rPr>
              <w:t>=35211立方米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A914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A82C0">
            <w:pPr>
              <w:jc w:val="center"/>
            </w:pPr>
          </w:p>
        </w:tc>
      </w:tr>
      <w:tr w14:paraId="44B523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223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70F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52E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225DB">
            <w:pPr>
              <w:jc w:val="center"/>
            </w:pPr>
            <w:r>
              <w:rPr>
                <w:rFonts w:ascii="宋体" w:hAnsi="宋体" w:eastAsia="宋体"/>
                <w:sz w:val="16"/>
              </w:rPr>
              <w:t>缴纳电费月数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0FEC">
            <w:pPr>
              <w:jc w:val="center"/>
            </w:pPr>
            <w:r>
              <w:rPr>
                <w:rFonts w:ascii="宋体" w:hAnsi="宋体" w:eastAsia="宋体"/>
                <w:sz w:val="16"/>
              </w:rPr>
              <w:t>&gt;=7月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98D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735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4C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6BF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40D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261C">
            <w:pPr>
              <w:jc w:val="center"/>
            </w:pPr>
            <w:r>
              <w:rPr>
                <w:rFonts w:ascii="宋体" w:hAnsi="宋体" w:eastAsia="宋体"/>
                <w:sz w:val="16"/>
              </w:rPr>
              <w:t>=7月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F26C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0FAC5">
            <w:pPr>
              <w:jc w:val="center"/>
            </w:pPr>
          </w:p>
        </w:tc>
      </w:tr>
      <w:tr w14:paraId="1E6F42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341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0B3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3289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AFC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EA9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D2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35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B42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14F4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CDD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76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82B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D1757">
            <w:pPr>
              <w:jc w:val="center"/>
            </w:pPr>
          </w:p>
        </w:tc>
      </w:tr>
      <w:tr w14:paraId="6BBAC8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47B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95E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40E88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53DA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4AF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70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73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7D3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D1BF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90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0B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AF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C2A65">
            <w:pPr>
              <w:jc w:val="center"/>
            </w:pPr>
          </w:p>
        </w:tc>
      </w:tr>
      <w:tr w14:paraId="598D3F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90C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D13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4B8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3CD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2BD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93D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0E1A2">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C43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85F8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DFF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A647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139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0F6D0">
            <w:pPr>
              <w:jc w:val="center"/>
            </w:pPr>
          </w:p>
        </w:tc>
      </w:tr>
      <w:tr w14:paraId="74380E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A85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7417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E4F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FBC53">
            <w:pPr>
              <w:jc w:val="center"/>
            </w:pPr>
            <w:r>
              <w:rPr>
                <w:rFonts w:ascii="宋体" w:hAnsi="宋体" w:eastAsia="宋体"/>
                <w:sz w:val="16"/>
              </w:rPr>
              <w:t>电费支出成本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CE7F2">
            <w:pPr>
              <w:jc w:val="center"/>
            </w:pPr>
            <w:r>
              <w:rPr>
                <w:rFonts w:ascii="宋体" w:hAnsi="宋体" w:eastAsia="宋体"/>
                <w:sz w:val="16"/>
              </w:rPr>
              <w:t>&lt;=4.96万元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DD5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EB8A">
            <w:pPr>
              <w:jc w:val="center"/>
            </w:pPr>
            <w:r>
              <w:rPr>
                <w:rFonts w:ascii="宋体" w:hAnsi="宋体" w:eastAsia="宋体"/>
                <w:sz w:val="16"/>
              </w:rPr>
              <w:t>=5.6万元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671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B2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13F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2799E">
            <w:pPr>
              <w:jc w:val="center"/>
            </w:pPr>
            <w:r>
              <w:rPr>
                <w:rFonts w:ascii="宋体" w:hAnsi="宋体" w:eastAsia="宋体"/>
                <w:sz w:val="16"/>
              </w:rPr>
              <w:t>=4.96万元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81D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CDA15">
            <w:pPr>
              <w:jc w:val="center"/>
            </w:pPr>
          </w:p>
        </w:tc>
      </w:tr>
      <w:tr w14:paraId="2214E2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47E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042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394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84EA7">
            <w:pPr>
              <w:jc w:val="center"/>
            </w:pPr>
            <w:r>
              <w:rPr>
                <w:rFonts w:ascii="宋体" w:hAnsi="宋体" w:eastAsia="宋体"/>
                <w:sz w:val="16"/>
              </w:rPr>
              <w:t>采暖燃气费支出成本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BD720">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3E9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9C7B1">
            <w:pPr>
              <w:jc w:val="center"/>
            </w:pPr>
            <w:r>
              <w:rPr>
                <w:rFonts w:ascii="宋体" w:hAnsi="宋体" w:eastAsia="宋体"/>
                <w:sz w:val="16"/>
              </w:rPr>
              <w:t>=5.8万元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4B4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87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8CC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D127D">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757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308B0">
            <w:pPr>
              <w:jc w:val="center"/>
            </w:pPr>
          </w:p>
        </w:tc>
      </w:tr>
      <w:tr w14:paraId="77E20C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359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22F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21A7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2B91A">
            <w:pPr>
              <w:jc w:val="center"/>
            </w:pPr>
            <w:r>
              <w:rPr>
                <w:rFonts w:ascii="宋体" w:hAnsi="宋体" w:eastAsia="宋体"/>
                <w:sz w:val="16"/>
              </w:rPr>
              <w:t>保障消防大队正常运行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D52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28B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7D9C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23E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1B8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8FE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B978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21E3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4688C">
            <w:pPr>
              <w:jc w:val="center"/>
            </w:pPr>
          </w:p>
        </w:tc>
      </w:tr>
      <w:tr w14:paraId="79EB6B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5AC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44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F1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96680">
            <w:pPr>
              <w:jc w:val="center"/>
            </w:pPr>
            <w:r>
              <w:rPr>
                <w:rFonts w:ascii="宋体" w:hAnsi="宋体" w:eastAsia="宋体"/>
                <w:sz w:val="16"/>
              </w:rPr>
              <w:t>受益工作人员满意度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45A9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B1D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EFE2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8C0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7D3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664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48D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566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113CF">
            <w:pPr>
              <w:jc w:val="center"/>
            </w:pPr>
            <w:r>
              <w:rPr>
                <w:rFonts w:ascii="宋体" w:hAnsi="宋体" w:eastAsia="宋体"/>
                <w:sz w:val="16"/>
              </w:rPr>
              <w:t>满意度指标年初目标值设置偏低，导致指标实际完成值高于预期指标值。</w:t>
            </w:r>
          </w:p>
        </w:tc>
      </w:tr>
      <w:tr w14:paraId="5BC457C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02E20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658C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C1804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84B5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A31440B"/>
        </w:tc>
      </w:tr>
    </w:tbl>
    <w:p w14:paraId="243B3350">
      <w:r>
        <w:br w:type="page"/>
      </w:r>
    </w:p>
    <w:p w14:paraId="3F8EFBEE">
      <w:pPr>
        <w:spacing w:line="640" w:lineRule="exact"/>
        <w:ind w:firstLine="640"/>
        <w:jc w:val="both"/>
        <w:outlineLvl w:val="2"/>
      </w:pPr>
      <w:r>
        <w:rPr>
          <w:rFonts w:ascii="黑体" w:hAnsi="黑体" w:eastAsia="黑体"/>
          <w:sz w:val="32"/>
        </w:rPr>
        <w:t>十二、其他需说明的事项</w:t>
      </w:r>
    </w:p>
    <w:p w14:paraId="5F438EDA">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0641C22C">
      <w:pPr>
        <w:spacing w:line="580" w:lineRule="exact"/>
        <w:ind w:firstLine="640"/>
        <w:jc w:val="both"/>
      </w:pPr>
      <w:r>
        <w:rPr>
          <w:rFonts w:ascii="仿宋_GB2312" w:hAnsi="仿宋_GB2312" w:eastAsia="仿宋_GB2312"/>
          <w:b w:val="0"/>
          <w:sz w:val="32"/>
        </w:rPr>
        <w:t>本年本单位SM项目1个，全年预算数16.08万元，全年执行数16.08万元。</w:t>
      </w:r>
    </w:p>
    <w:p w14:paraId="1834ECE1">
      <w:r>
        <w:br w:type="page"/>
      </w:r>
    </w:p>
    <w:p w14:paraId="0E10F728">
      <w:pPr>
        <w:spacing w:line="240" w:lineRule="auto"/>
        <w:jc w:val="center"/>
        <w:outlineLvl w:val="1"/>
      </w:pPr>
      <w:r>
        <w:rPr>
          <w:rFonts w:ascii="黑体" w:hAnsi="黑体" w:eastAsia="黑体"/>
          <w:sz w:val="32"/>
        </w:rPr>
        <w:t>第三部分 专业名词解释</w:t>
      </w:r>
    </w:p>
    <w:p w14:paraId="5AEAB37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D832DD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767C60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71523D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7160EA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45755A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708337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A8A859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B3C31F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8718EB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A10CFB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571DCB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6500D0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B7A38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9D86838">
      <w:r>
        <w:br w:type="page"/>
      </w:r>
    </w:p>
    <w:p w14:paraId="6165A12E">
      <w:pPr>
        <w:spacing w:line="240" w:lineRule="auto"/>
        <w:jc w:val="center"/>
        <w:outlineLvl w:val="1"/>
      </w:pPr>
      <w:r>
        <w:rPr>
          <w:rFonts w:ascii="黑体" w:hAnsi="黑体" w:eastAsia="黑体"/>
          <w:sz w:val="32"/>
        </w:rPr>
        <w:t>第四部分 部门决算报表（见附表）</w:t>
      </w:r>
    </w:p>
    <w:p w14:paraId="39978B7E">
      <w:pPr>
        <w:spacing w:line="240" w:lineRule="auto"/>
        <w:ind w:firstLine="640"/>
        <w:jc w:val="both"/>
      </w:pPr>
      <w:r>
        <w:rPr>
          <w:rFonts w:ascii="仿宋_GB2312" w:hAnsi="仿宋_GB2312" w:eastAsia="仿宋_GB2312"/>
          <w:b w:val="0"/>
          <w:sz w:val="32"/>
        </w:rPr>
        <w:t>一、《收入支出决算总表》</w:t>
      </w:r>
    </w:p>
    <w:p w14:paraId="6F368643">
      <w:pPr>
        <w:spacing w:line="240" w:lineRule="auto"/>
        <w:ind w:firstLine="640"/>
        <w:jc w:val="both"/>
      </w:pPr>
      <w:r>
        <w:rPr>
          <w:rFonts w:ascii="仿宋_GB2312" w:hAnsi="仿宋_GB2312" w:eastAsia="仿宋_GB2312"/>
          <w:b w:val="0"/>
          <w:sz w:val="32"/>
        </w:rPr>
        <w:t>二、《收入决算表》</w:t>
      </w:r>
    </w:p>
    <w:p w14:paraId="6DD469FC">
      <w:pPr>
        <w:spacing w:line="240" w:lineRule="auto"/>
        <w:ind w:firstLine="640"/>
        <w:jc w:val="both"/>
      </w:pPr>
      <w:r>
        <w:rPr>
          <w:rFonts w:ascii="仿宋_GB2312" w:hAnsi="仿宋_GB2312" w:eastAsia="仿宋_GB2312"/>
          <w:b w:val="0"/>
          <w:sz w:val="32"/>
        </w:rPr>
        <w:t>三、《支出决算表》</w:t>
      </w:r>
    </w:p>
    <w:p w14:paraId="62AEB201">
      <w:pPr>
        <w:spacing w:line="240" w:lineRule="auto"/>
        <w:ind w:firstLine="640"/>
        <w:jc w:val="both"/>
      </w:pPr>
      <w:r>
        <w:rPr>
          <w:rFonts w:ascii="仿宋_GB2312" w:hAnsi="仿宋_GB2312" w:eastAsia="仿宋_GB2312"/>
          <w:b w:val="0"/>
          <w:sz w:val="32"/>
        </w:rPr>
        <w:t>四、《财政拨款收入支出决算总表》</w:t>
      </w:r>
    </w:p>
    <w:p w14:paraId="3E77C10A">
      <w:pPr>
        <w:spacing w:line="240" w:lineRule="auto"/>
        <w:ind w:firstLine="640"/>
        <w:jc w:val="both"/>
      </w:pPr>
      <w:r>
        <w:rPr>
          <w:rFonts w:ascii="仿宋_GB2312" w:hAnsi="仿宋_GB2312" w:eastAsia="仿宋_GB2312"/>
          <w:b w:val="0"/>
          <w:sz w:val="32"/>
        </w:rPr>
        <w:t>五、《一般公共预算财政拨款支出决算表》</w:t>
      </w:r>
    </w:p>
    <w:p w14:paraId="23116F4A">
      <w:pPr>
        <w:spacing w:line="240" w:lineRule="auto"/>
        <w:ind w:firstLine="640"/>
        <w:jc w:val="both"/>
      </w:pPr>
      <w:r>
        <w:rPr>
          <w:rFonts w:ascii="仿宋_GB2312" w:hAnsi="仿宋_GB2312" w:eastAsia="仿宋_GB2312"/>
          <w:b w:val="0"/>
          <w:sz w:val="32"/>
        </w:rPr>
        <w:t>六、《一般公共预算财政拨款基本支出决算表》</w:t>
      </w:r>
    </w:p>
    <w:p w14:paraId="6C2E2D6E">
      <w:pPr>
        <w:spacing w:line="240" w:lineRule="auto"/>
        <w:ind w:firstLine="640"/>
        <w:jc w:val="both"/>
      </w:pPr>
      <w:r>
        <w:rPr>
          <w:rFonts w:ascii="仿宋_GB2312" w:hAnsi="仿宋_GB2312" w:eastAsia="仿宋_GB2312"/>
          <w:b w:val="0"/>
          <w:sz w:val="32"/>
        </w:rPr>
        <w:t>七、《政府性基金预算财政拨款收入支出决算表》</w:t>
      </w:r>
    </w:p>
    <w:p w14:paraId="001044D8">
      <w:pPr>
        <w:spacing w:line="240" w:lineRule="auto"/>
        <w:ind w:firstLine="640"/>
        <w:jc w:val="both"/>
      </w:pPr>
      <w:r>
        <w:rPr>
          <w:rFonts w:ascii="仿宋_GB2312" w:hAnsi="仿宋_GB2312" w:eastAsia="仿宋_GB2312"/>
          <w:b w:val="0"/>
          <w:sz w:val="32"/>
        </w:rPr>
        <w:t>八、《国有资本经营预算财政拨款收入支出决算表》</w:t>
      </w:r>
    </w:p>
    <w:p w14:paraId="1CA31924">
      <w:pPr>
        <w:spacing w:line="240" w:lineRule="auto"/>
        <w:ind w:firstLine="640"/>
        <w:jc w:val="both"/>
      </w:pPr>
      <w:r>
        <w:rPr>
          <w:rFonts w:ascii="仿宋_GB2312" w:hAnsi="仿宋_GB2312" w:eastAsia="仿宋_GB2312"/>
          <w:b w:val="0"/>
          <w:sz w:val="32"/>
        </w:rPr>
        <w:t>九、《财政拨款“三公”经费支出决算表》</w:t>
      </w:r>
    </w:p>
    <w:p w14:paraId="0481AC72">
      <w:pPr>
        <w:spacing w:line="240" w:lineRule="auto"/>
        <w:ind w:firstLine="640"/>
        <w:jc w:val="both"/>
      </w:pPr>
    </w:p>
    <w:p w14:paraId="5F05950C">
      <w:pPr>
        <w:spacing w:line="240" w:lineRule="auto"/>
        <w:ind w:firstLine="640"/>
        <w:jc w:val="both"/>
      </w:pPr>
    </w:p>
    <w:p w14:paraId="224C6ABD">
      <w:pPr>
        <w:spacing w:line="240" w:lineRule="auto"/>
        <w:ind w:firstLine="640"/>
        <w:jc w:val="both"/>
      </w:pPr>
    </w:p>
    <w:p w14:paraId="02419091">
      <w:pPr>
        <w:spacing w:line="240" w:lineRule="auto"/>
        <w:ind w:firstLine="640"/>
        <w:jc w:val="both"/>
      </w:pPr>
    </w:p>
    <w:p w14:paraId="4E90CC1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A13BE3"/>
    <w:rsid w:val="52F92565"/>
    <w:rsid w:val="543D17CB"/>
    <w:rsid w:val="55DA564E"/>
    <w:rsid w:val="56E07045"/>
    <w:rsid w:val="583059FA"/>
    <w:rsid w:val="587E6212"/>
    <w:rsid w:val="595028D0"/>
    <w:rsid w:val="5AFC6609"/>
    <w:rsid w:val="5E547944"/>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4927</Words>
  <Characters>5639</Characters>
  <Lines>0</Lines>
  <Paragraphs>0</Paragraphs>
  <TotalTime>4</TotalTime>
  <ScaleCrop>false</ScaleCrop>
  <LinksUpToDate>false</LinksUpToDate>
  <CharactersWithSpaces>5647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2025-09-17T05:38:01Z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