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英吉沙工业园区管理委员会2024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8670370">
      <w:r>
        <w:br w:type="page"/>
      </w:r>
    </w:p>
    <w:p w14:paraId="6B66DF0F">
      <w:pPr>
        <w:spacing w:line="640" w:lineRule="exact"/>
        <w:jc w:val="center"/>
        <w:outlineLvl w:val="1"/>
      </w:pPr>
      <w:r>
        <w:rPr>
          <w:rFonts w:ascii="黑体" w:hAnsi="黑体" w:eastAsia="黑体"/>
          <w:sz w:val="32"/>
        </w:rPr>
        <w:t>第一部分 单位概况</w:t>
      </w:r>
    </w:p>
    <w:p w14:paraId="6E714430">
      <w:pPr>
        <w:spacing w:line="640" w:lineRule="exact"/>
        <w:ind w:firstLine="640"/>
        <w:jc w:val="both"/>
        <w:outlineLvl w:val="2"/>
      </w:pPr>
      <w:r>
        <w:rPr>
          <w:rFonts w:ascii="黑体" w:hAnsi="黑体" w:eastAsia="黑体"/>
          <w:sz w:val="32"/>
        </w:rPr>
        <w:t>一、主要职能</w:t>
      </w:r>
    </w:p>
    <w:p w14:paraId="32AE00BC">
      <w:pPr>
        <w:spacing w:line="580" w:lineRule="exact"/>
        <w:ind w:firstLine="640"/>
        <w:jc w:val="both"/>
      </w:pPr>
      <w:r>
        <w:rPr>
          <w:rFonts w:ascii="仿宋_GB2312" w:hAnsi="仿宋_GB2312" w:eastAsia="仿宋_GB2312"/>
          <w:sz w:val="32"/>
        </w:rPr>
        <w:t>（1）负责宣传和贯彻执行党的路线、方针、政策和法律法规；负责园区内党建和党员、干部队伍建设及管理工作。</w:t>
      </w:r>
    </w:p>
    <w:p w14:paraId="27BE2395">
      <w:pPr>
        <w:spacing w:line="580" w:lineRule="exact"/>
        <w:ind w:firstLine="640"/>
        <w:jc w:val="both"/>
      </w:pPr>
      <w:r>
        <w:rPr>
          <w:rFonts w:ascii="仿宋_GB2312" w:hAnsi="仿宋_GB2312" w:eastAsia="仿宋_GB2312"/>
          <w:sz w:val="32"/>
        </w:rPr>
        <w:t>（2）行使县级赋予英吉沙工业园区管理</w:t>
      </w:r>
      <w:r>
        <w:rPr>
          <w:rFonts w:hint="eastAsia" w:ascii="仿宋_GB2312" w:hAnsi="仿宋_GB2312" w:eastAsia="仿宋_GB2312"/>
          <w:sz w:val="32"/>
          <w:lang w:eastAsia="zh-CN"/>
        </w:rPr>
        <w:t>委员会</w:t>
      </w:r>
      <w:r>
        <w:rPr>
          <w:rFonts w:ascii="仿宋_GB2312" w:hAnsi="仿宋_GB2312" w:eastAsia="仿宋_GB2312"/>
          <w:sz w:val="32"/>
        </w:rPr>
        <w:t>的审批权限。负责制定园区国民经济和改革开放、社会发展规划、产业政策、发展计划；负责园区对外宣传、</w:t>
      </w:r>
      <w:r>
        <w:rPr>
          <w:rFonts w:hint="eastAsia" w:ascii="仿宋_GB2312" w:hAnsi="仿宋_GB2312" w:eastAsia="仿宋_GB2312"/>
          <w:sz w:val="32"/>
          <w:lang w:eastAsia="zh-CN"/>
        </w:rPr>
        <w:t>招</w:t>
      </w:r>
      <w:r>
        <w:rPr>
          <w:rFonts w:ascii="仿宋_GB2312" w:hAnsi="仿宋_GB2312" w:eastAsia="仿宋_GB2312"/>
          <w:sz w:val="32"/>
        </w:rPr>
        <w:t>商引资，研究拟订园区</w:t>
      </w:r>
      <w:r>
        <w:rPr>
          <w:rFonts w:hint="eastAsia" w:ascii="仿宋_GB2312" w:hAnsi="仿宋_GB2312" w:eastAsia="仿宋_GB2312"/>
          <w:sz w:val="32"/>
          <w:lang w:eastAsia="zh-CN"/>
        </w:rPr>
        <w:t>招</w:t>
      </w:r>
      <w:r>
        <w:rPr>
          <w:rFonts w:ascii="仿宋_GB2312" w:hAnsi="仿宋_GB2312" w:eastAsia="仿宋_GB2312"/>
          <w:sz w:val="32"/>
        </w:rPr>
        <w:t>商引资优惠政策、</w:t>
      </w:r>
      <w:r>
        <w:rPr>
          <w:rFonts w:hint="eastAsia" w:ascii="仿宋_GB2312" w:hAnsi="仿宋_GB2312" w:eastAsia="仿宋_GB2312"/>
          <w:sz w:val="32"/>
          <w:lang w:eastAsia="zh-CN"/>
        </w:rPr>
        <w:t>招</w:t>
      </w:r>
      <w:r>
        <w:rPr>
          <w:rFonts w:ascii="仿宋_GB2312" w:hAnsi="仿宋_GB2312" w:eastAsia="仿宋_GB2312"/>
          <w:sz w:val="32"/>
        </w:rPr>
        <w:t>商引资项目的跟踪服务、促进就业工作。</w:t>
      </w:r>
    </w:p>
    <w:p w14:paraId="0D675F58">
      <w:pPr>
        <w:spacing w:line="580" w:lineRule="exact"/>
        <w:ind w:firstLine="640"/>
        <w:jc w:val="both"/>
      </w:pPr>
      <w:r>
        <w:rPr>
          <w:rFonts w:ascii="仿宋_GB2312" w:hAnsi="仿宋_GB2312" w:eastAsia="仿宋_GB2312"/>
          <w:sz w:val="32"/>
        </w:rPr>
        <w:t>（3）负责园区工程建设及基础设施建设，组织</w:t>
      </w:r>
      <w:r>
        <w:rPr>
          <w:rFonts w:hint="eastAsia" w:ascii="仿宋_GB2312" w:hAnsi="仿宋_GB2312" w:eastAsia="仿宋_GB2312"/>
          <w:sz w:val="32"/>
          <w:lang w:eastAsia="zh-CN"/>
        </w:rPr>
        <w:t>编制</w:t>
      </w:r>
      <w:r>
        <w:rPr>
          <w:rFonts w:ascii="仿宋_GB2312" w:hAnsi="仿宋_GB2312" w:eastAsia="仿宋_GB2312"/>
          <w:sz w:val="32"/>
        </w:rPr>
        <w:t>实施园区总体规划。</w:t>
      </w:r>
    </w:p>
    <w:p w14:paraId="6C1AABCC">
      <w:pPr>
        <w:spacing w:line="580" w:lineRule="exact"/>
        <w:ind w:firstLine="640"/>
        <w:jc w:val="both"/>
      </w:pPr>
      <w:r>
        <w:rPr>
          <w:rFonts w:ascii="仿宋_GB2312" w:hAnsi="仿宋_GB2312" w:eastAsia="仿宋_GB2312"/>
          <w:sz w:val="32"/>
        </w:rPr>
        <w:t>（4）负责园区公共事务管理、社会综合执法监督。</w:t>
      </w:r>
    </w:p>
    <w:p w14:paraId="77B639A0">
      <w:pPr>
        <w:spacing w:line="580" w:lineRule="exact"/>
        <w:ind w:firstLine="640"/>
        <w:jc w:val="both"/>
      </w:pPr>
      <w:r>
        <w:rPr>
          <w:rFonts w:ascii="仿宋_GB2312" w:hAnsi="仿宋_GB2312" w:eastAsia="仿宋_GB2312"/>
          <w:sz w:val="32"/>
        </w:rPr>
        <w:t>（5）负责对园区的安全生产监督管理，制定园区安全生产工作规划和</w:t>
      </w:r>
      <w:r>
        <w:rPr>
          <w:rFonts w:hint="eastAsia" w:ascii="仿宋_GB2312" w:hAnsi="仿宋_GB2312" w:eastAsia="仿宋_GB2312"/>
          <w:sz w:val="32"/>
          <w:lang w:val="en-US" w:eastAsia="zh-CN"/>
        </w:rPr>
        <w:t>年</w:t>
      </w:r>
      <w:r>
        <w:rPr>
          <w:rFonts w:ascii="仿宋_GB2312" w:hAnsi="仿宋_GB2312" w:eastAsia="仿宋_GB2312"/>
          <w:sz w:val="32"/>
        </w:rPr>
        <w:t>度工作计划并组织实施。</w:t>
      </w:r>
    </w:p>
    <w:p w14:paraId="606C855D">
      <w:pPr>
        <w:spacing w:line="580" w:lineRule="exact"/>
        <w:ind w:firstLine="640"/>
        <w:jc w:val="both"/>
      </w:pPr>
      <w:r>
        <w:rPr>
          <w:rFonts w:ascii="仿宋_GB2312" w:hAnsi="仿宋_GB2312" w:eastAsia="仿宋_GB2312"/>
          <w:sz w:val="32"/>
        </w:rPr>
        <w:t>（6）负责协调相关部门和单位</w:t>
      </w:r>
      <w:r>
        <w:rPr>
          <w:rFonts w:hint="eastAsia" w:ascii="仿宋_GB2312" w:hAnsi="仿宋_GB2312" w:eastAsia="仿宋_GB2312"/>
          <w:sz w:val="32"/>
          <w:lang w:val="en-US" w:eastAsia="zh-CN"/>
        </w:rPr>
        <w:t>涉及</w:t>
      </w:r>
      <w:bookmarkStart w:id="0" w:name="_GoBack"/>
      <w:bookmarkEnd w:id="0"/>
      <w:r>
        <w:rPr>
          <w:rFonts w:ascii="仿宋_GB2312" w:hAnsi="仿宋_GB2312" w:eastAsia="仿宋_GB2312"/>
          <w:sz w:val="32"/>
        </w:rPr>
        <w:t>工业园区的有关工作。</w:t>
      </w:r>
    </w:p>
    <w:p w14:paraId="0DB87FC2">
      <w:pPr>
        <w:spacing w:line="580" w:lineRule="exact"/>
        <w:ind w:firstLine="640"/>
        <w:jc w:val="both"/>
      </w:pPr>
      <w:r>
        <w:rPr>
          <w:rFonts w:ascii="仿宋_GB2312" w:hAnsi="仿宋_GB2312" w:eastAsia="仿宋_GB2312"/>
          <w:sz w:val="32"/>
        </w:rPr>
        <w:t>（7）承办县委、县政府交办的其他事项。</w:t>
      </w:r>
    </w:p>
    <w:p w14:paraId="59F30285">
      <w:pPr>
        <w:spacing w:line="640" w:lineRule="exact"/>
        <w:ind w:firstLine="640"/>
        <w:jc w:val="both"/>
        <w:outlineLvl w:val="2"/>
      </w:pPr>
      <w:r>
        <w:rPr>
          <w:rFonts w:ascii="黑体" w:hAnsi="黑体" w:eastAsia="黑体"/>
          <w:sz w:val="32"/>
        </w:rPr>
        <w:t>二、机构设置及人员情况</w:t>
      </w:r>
    </w:p>
    <w:p w14:paraId="3B61897E">
      <w:pPr>
        <w:spacing w:line="580" w:lineRule="exact"/>
        <w:ind w:firstLine="640"/>
        <w:jc w:val="both"/>
      </w:pPr>
      <w:r>
        <w:rPr>
          <w:rFonts w:ascii="仿宋_GB2312" w:hAnsi="仿宋_GB2312" w:eastAsia="仿宋_GB2312"/>
          <w:sz w:val="32"/>
        </w:rPr>
        <w:t>英吉沙工业园区管理委员会2024年度，实有人数14人，其中：在职人员14人，增加5人；离休人员0人，增加0人；退休人员0人,增加0人。</w:t>
      </w:r>
    </w:p>
    <w:p w14:paraId="6F97BF1D">
      <w:pPr>
        <w:spacing w:line="580" w:lineRule="exact"/>
        <w:ind w:firstLine="640"/>
        <w:jc w:val="both"/>
      </w:pPr>
      <w:r>
        <w:rPr>
          <w:rFonts w:ascii="仿宋_GB2312" w:hAnsi="仿宋_GB2312" w:eastAsia="仿宋_GB2312"/>
          <w:sz w:val="32"/>
        </w:rPr>
        <w:t>英吉沙工业园区管理委员会无下属预算单位，下设5个科室，分别是：综合（党建）办公室、财务中心、就业服务中心、招商服务中心、政务服务中心。</w:t>
      </w:r>
    </w:p>
    <w:p w14:paraId="40DBE0F7">
      <w:r>
        <w:br w:type="page"/>
      </w:r>
    </w:p>
    <w:p w14:paraId="3FCFECCE">
      <w:pPr>
        <w:spacing w:line="240" w:lineRule="auto"/>
        <w:jc w:val="center"/>
        <w:outlineLvl w:val="1"/>
      </w:pPr>
      <w:r>
        <w:rPr>
          <w:rFonts w:ascii="黑体" w:hAnsi="黑体" w:eastAsia="黑体"/>
          <w:sz w:val="32"/>
        </w:rPr>
        <w:t>第二部分 部门决算情况说明</w:t>
      </w:r>
    </w:p>
    <w:p w14:paraId="0431702F">
      <w:pPr>
        <w:spacing w:line="640" w:lineRule="exact"/>
        <w:ind w:firstLine="640"/>
        <w:jc w:val="both"/>
        <w:outlineLvl w:val="2"/>
      </w:pPr>
      <w:r>
        <w:rPr>
          <w:rFonts w:ascii="黑体" w:hAnsi="黑体" w:eastAsia="黑体"/>
          <w:sz w:val="32"/>
        </w:rPr>
        <w:t>一、收入支出决算总体情况说明</w:t>
      </w:r>
    </w:p>
    <w:p w14:paraId="7B457053">
      <w:pPr>
        <w:spacing w:line="580" w:lineRule="exact"/>
        <w:ind w:firstLine="640"/>
        <w:jc w:val="both"/>
      </w:pPr>
      <w:r>
        <w:rPr>
          <w:rFonts w:ascii="仿宋_GB2312" w:hAnsi="仿宋_GB2312" w:eastAsia="仿宋_GB2312"/>
          <w:b/>
          <w:sz w:val="32"/>
        </w:rPr>
        <w:t>2024年度收入总计1,365.00万元，</w:t>
      </w:r>
      <w:r>
        <w:rPr>
          <w:rFonts w:ascii="仿宋_GB2312" w:hAnsi="仿宋_GB2312" w:eastAsia="仿宋_GB2312"/>
          <w:b w:val="0"/>
          <w:sz w:val="32"/>
        </w:rPr>
        <w:t>其中：本年收入合计1,365.00万元，使用非财政拨款结余（含专用结余）0.00万元，年初结转和结余0.00万元。</w:t>
      </w:r>
    </w:p>
    <w:p w14:paraId="4D3A146B">
      <w:pPr>
        <w:spacing w:line="580" w:lineRule="exact"/>
        <w:ind w:firstLine="640"/>
        <w:jc w:val="both"/>
      </w:pPr>
      <w:r>
        <w:rPr>
          <w:rFonts w:ascii="仿宋_GB2312" w:hAnsi="仿宋_GB2312" w:eastAsia="仿宋_GB2312"/>
          <w:b/>
          <w:sz w:val="32"/>
        </w:rPr>
        <w:t>2024年度支出总计1,365.00万元，</w:t>
      </w:r>
      <w:r>
        <w:rPr>
          <w:rFonts w:ascii="仿宋_GB2312" w:hAnsi="仿宋_GB2312" w:eastAsia="仿宋_GB2312"/>
          <w:b w:val="0"/>
          <w:sz w:val="32"/>
        </w:rPr>
        <w:t>其中：本年支出合计1,365.00万元，结余分配0.00万元，年末结转和结余0.00万元。</w:t>
      </w:r>
    </w:p>
    <w:p w14:paraId="3DD3F3A8">
      <w:pPr>
        <w:spacing w:line="580" w:lineRule="exact"/>
        <w:ind w:firstLine="640"/>
        <w:jc w:val="both"/>
      </w:pPr>
      <w:r>
        <w:rPr>
          <w:rFonts w:ascii="仿宋_GB2312" w:hAnsi="仿宋_GB2312" w:eastAsia="仿宋_GB2312"/>
          <w:b w:val="0"/>
          <w:sz w:val="32"/>
        </w:rPr>
        <w:t>收入支出总体与上年相比，增加480.58万元，增长54.34%，主要原因是：本年在职人员增加，社保、公积金基数调增，人员经费增加。本年增加2024年英吉沙县工业园区基础设施改造项目、英吉沙县产业园区规划与发展项目、英吉沙工业园区新城产业园综合治理项目等资金。</w:t>
      </w:r>
    </w:p>
    <w:p w14:paraId="75C6E66D">
      <w:pPr>
        <w:spacing w:line="640" w:lineRule="exact"/>
        <w:ind w:firstLine="640"/>
        <w:jc w:val="both"/>
        <w:outlineLvl w:val="2"/>
      </w:pPr>
      <w:r>
        <w:rPr>
          <w:rFonts w:ascii="黑体" w:hAnsi="黑体" w:eastAsia="黑体"/>
          <w:sz w:val="32"/>
        </w:rPr>
        <w:t>二、收入决算情况说明</w:t>
      </w:r>
    </w:p>
    <w:p w14:paraId="46214B88">
      <w:pPr>
        <w:spacing w:line="580" w:lineRule="exact"/>
        <w:ind w:firstLine="640"/>
        <w:jc w:val="both"/>
      </w:pPr>
      <w:r>
        <w:rPr>
          <w:rFonts w:ascii="仿宋_GB2312" w:hAnsi="仿宋_GB2312" w:eastAsia="仿宋_GB2312"/>
          <w:b/>
          <w:sz w:val="32"/>
        </w:rPr>
        <w:t>本年收入1,365.00万元，</w:t>
      </w:r>
      <w:r>
        <w:rPr>
          <w:rFonts w:ascii="仿宋_GB2312" w:hAnsi="仿宋_GB2312" w:eastAsia="仿宋_GB2312"/>
          <w:b w:val="0"/>
          <w:sz w:val="32"/>
        </w:rPr>
        <w:t>其中：财政拨款收入235.92万元，占17.28%；上级补助收入0.00万元，占0.00%；事业收入0.00万元，占0.00%；经营收入0.00万元，占0.00%；附属单位上缴收入0.00万元，占0.00%；其他收入1,129.08万元，占82.72%。</w:t>
      </w:r>
    </w:p>
    <w:p w14:paraId="79F573A1">
      <w:pPr>
        <w:spacing w:line="640" w:lineRule="exact"/>
        <w:ind w:firstLine="640"/>
        <w:jc w:val="both"/>
        <w:outlineLvl w:val="2"/>
      </w:pPr>
      <w:r>
        <w:rPr>
          <w:rFonts w:ascii="黑体" w:hAnsi="黑体" w:eastAsia="黑体"/>
          <w:sz w:val="32"/>
        </w:rPr>
        <w:t>三、支出决算情况说明</w:t>
      </w:r>
    </w:p>
    <w:p w14:paraId="78C7DB5F">
      <w:pPr>
        <w:spacing w:line="580" w:lineRule="exact"/>
        <w:ind w:firstLine="640"/>
        <w:jc w:val="both"/>
      </w:pPr>
      <w:r>
        <w:rPr>
          <w:rFonts w:ascii="仿宋_GB2312" w:hAnsi="仿宋_GB2312" w:eastAsia="仿宋_GB2312"/>
          <w:b/>
          <w:sz w:val="32"/>
        </w:rPr>
        <w:t>本年支出1,365.00万元，</w:t>
      </w:r>
      <w:r>
        <w:rPr>
          <w:rFonts w:ascii="仿宋_GB2312" w:hAnsi="仿宋_GB2312" w:eastAsia="仿宋_GB2312"/>
          <w:b w:val="0"/>
          <w:sz w:val="32"/>
        </w:rPr>
        <w:t>其中：基本支出216.11万元，占15.83%；项目支出1,148.89万元，占84.17%；上缴上级支出0.00万元，占0.00%；经营支出0.00万元，占0.00%；对附属单位补助支出0.00万元，占0.00%。</w:t>
      </w:r>
    </w:p>
    <w:p w14:paraId="6BC85228">
      <w:pPr>
        <w:spacing w:line="640" w:lineRule="exact"/>
        <w:ind w:firstLine="640"/>
        <w:jc w:val="both"/>
        <w:outlineLvl w:val="2"/>
      </w:pPr>
      <w:r>
        <w:rPr>
          <w:rFonts w:ascii="黑体" w:hAnsi="黑体" w:eastAsia="黑体"/>
          <w:sz w:val="32"/>
        </w:rPr>
        <w:t>四、财政拨款收入支出决算总体情况说明</w:t>
      </w:r>
    </w:p>
    <w:p w14:paraId="4BCD2107">
      <w:pPr>
        <w:spacing w:line="580" w:lineRule="exact"/>
        <w:ind w:firstLine="640"/>
        <w:jc w:val="both"/>
      </w:pPr>
      <w:r>
        <w:rPr>
          <w:rFonts w:ascii="仿宋_GB2312" w:hAnsi="仿宋_GB2312" w:eastAsia="仿宋_GB2312"/>
          <w:b/>
          <w:sz w:val="32"/>
        </w:rPr>
        <w:t>2024年度财政拨款收入总计235.92万元，</w:t>
      </w:r>
      <w:r>
        <w:rPr>
          <w:rFonts w:ascii="仿宋_GB2312" w:hAnsi="仿宋_GB2312" w:eastAsia="仿宋_GB2312"/>
          <w:b w:val="0"/>
          <w:sz w:val="32"/>
        </w:rPr>
        <w:t>其中：年初财政拨款结转和结余0.00万元，本年财政拨款收入235.92万元。</w:t>
      </w:r>
      <w:r>
        <w:rPr>
          <w:rFonts w:ascii="仿宋_GB2312" w:hAnsi="仿宋_GB2312" w:eastAsia="仿宋_GB2312"/>
          <w:b/>
          <w:sz w:val="32"/>
        </w:rPr>
        <w:t>财政拨款支出总计235.92万元，</w:t>
      </w:r>
      <w:r>
        <w:rPr>
          <w:rFonts w:ascii="仿宋_GB2312" w:hAnsi="仿宋_GB2312" w:eastAsia="仿宋_GB2312"/>
          <w:b w:val="0"/>
          <w:sz w:val="32"/>
        </w:rPr>
        <w:t>其中：年末财政拨款结转和结余0.00万元，本年财政拨款支出235.92万元。</w:t>
      </w:r>
    </w:p>
    <w:p w14:paraId="37D2C65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减少150.96万元，下降39.02%，主要原因是：本年减少英吉沙县工业园区固废填埋场建设、喀什地区英吉沙县工业园区纺织服装产业园标准厂房建设专项债券付息项目。</w:t>
      </w:r>
      <w:r>
        <w:rPr>
          <w:rFonts w:ascii="仿宋_GB2312" w:hAnsi="仿宋_GB2312" w:eastAsia="仿宋_GB2312"/>
          <w:b/>
          <w:sz w:val="32"/>
        </w:rPr>
        <w:t>与年初预算相比，</w:t>
      </w:r>
      <w:r>
        <w:rPr>
          <w:rFonts w:ascii="仿宋_GB2312" w:hAnsi="仿宋_GB2312" w:eastAsia="仿宋_GB2312"/>
          <w:b w:val="0"/>
          <w:sz w:val="32"/>
        </w:rPr>
        <w:t>年初预算数188.92万元，决算数235.92万元，预决算差异率24.88%，主要原因是：本年在职人员增加，年中追加人员经费及人员工资、社保、公积金基数调增部分资金，导致预决算差异。</w:t>
      </w:r>
    </w:p>
    <w:p w14:paraId="68153CBE">
      <w:pPr>
        <w:spacing w:line="640" w:lineRule="exact"/>
        <w:ind w:firstLine="640"/>
        <w:jc w:val="both"/>
        <w:outlineLvl w:val="2"/>
      </w:pPr>
      <w:r>
        <w:rPr>
          <w:rFonts w:ascii="黑体" w:hAnsi="黑体" w:eastAsia="黑体"/>
          <w:sz w:val="32"/>
        </w:rPr>
        <w:t>五、一般公共预算财政拨款支出决算情况说明</w:t>
      </w:r>
    </w:p>
    <w:p w14:paraId="55B73E7D">
      <w:pPr>
        <w:spacing w:line="640" w:lineRule="exact"/>
        <w:ind w:firstLine="640"/>
        <w:jc w:val="both"/>
        <w:outlineLvl w:val="3"/>
      </w:pPr>
      <w:r>
        <w:rPr>
          <w:rFonts w:ascii="楷体_GB2312" w:hAnsi="楷体_GB2312" w:eastAsia="楷体_GB2312"/>
          <w:b/>
          <w:sz w:val="32"/>
        </w:rPr>
        <w:t>（一）一般公共预算财政拨款支出决算总体情况</w:t>
      </w:r>
    </w:p>
    <w:p w14:paraId="623BBF53">
      <w:pPr>
        <w:spacing w:line="580" w:lineRule="exact"/>
        <w:ind w:firstLine="640"/>
        <w:jc w:val="both"/>
      </w:pPr>
      <w:r>
        <w:rPr>
          <w:rFonts w:ascii="仿宋_GB2312" w:hAnsi="仿宋_GB2312" w:eastAsia="仿宋_GB2312"/>
          <w:b/>
          <w:sz w:val="32"/>
        </w:rPr>
        <w:t>2024年度一般公共预算财政拨款支出235.92万元，</w:t>
      </w:r>
      <w:r>
        <w:rPr>
          <w:rFonts w:ascii="仿宋_GB2312" w:hAnsi="仿宋_GB2312" w:eastAsia="仿宋_GB2312"/>
          <w:b w:val="0"/>
          <w:sz w:val="32"/>
        </w:rPr>
        <w:t>占本年支出合计的17.28%。</w:t>
      </w:r>
      <w:r>
        <w:rPr>
          <w:rFonts w:ascii="仿宋_GB2312" w:hAnsi="仿宋_GB2312" w:eastAsia="仿宋_GB2312"/>
          <w:b/>
          <w:sz w:val="32"/>
        </w:rPr>
        <w:t>与上年相比，</w:t>
      </w:r>
      <w:r>
        <w:rPr>
          <w:rFonts w:ascii="仿宋_GB2312" w:hAnsi="仿宋_GB2312" w:eastAsia="仿宋_GB2312"/>
          <w:b w:val="0"/>
          <w:sz w:val="32"/>
        </w:rPr>
        <w:t>减少17.15万元，下降6.78%，主要原因是：本年度减少英吉沙工业园区两个建设项目水土保持补偿费项目、偿还英吉沙县国泰工业园网络设备采购款等项目。</w:t>
      </w:r>
      <w:r>
        <w:rPr>
          <w:rFonts w:ascii="仿宋_GB2312" w:hAnsi="仿宋_GB2312" w:eastAsia="仿宋_GB2312"/>
          <w:b/>
          <w:sz w:val="32"/>
        </w:rPr>
        <w:t>与年初预算相比,</w:t>
      </w:r>
      <w:r>
        <w:rPr>
          <w:rFonts w:ascii="仿宋_GB2312" w:hAnsi="仿宋_GB2312" w:eastAsia="仿宋_GB2312"/>
          <w:b w:val="0"/>
          <w:sz w:val="32"/>
        </w:rPr>
        <w:t>年初预算数188.92万元，决算数235.92万元，预决算差异率24.88%，主要原因是：本年在职人员增加，年中追加人员经费及人员工资、社保、公积金基数调增部分资金，导致预决算差异。</w:t>
      </w:r>
    </w:p>
    <w:p w14:paraId="44B7FF4A">
      <w:pPr>
        <w:spacing w:line="640" w:lineRule="exact"/>
        <w:ind w:firstLine="640"/>
        <w:jc w:val="both"/>
        <w:outlineLvl w:val="3"/>
      </w:pPr>
      <w:r>
        <w:rPr>
          <w:rFonts w:ascii="楷体_GB2312" w:hAnsi="楷体_GB2312" w:eastAsia="楷体_GB2312"/>
          <w:b/>
          <w:sz w:val="32"/>
        </w:rPr>
        <w:t>（二）一般公共预算财政拨款支出决算结构情况</w:t>
      </w:r>
    </w:p>
    <w:p w14:paraId="11DAE6FA">
      <w:pPr>
        <w:spacing w:line="580" w:lineRule="exact"/>
        <w:ind w:firstLine="640"/>
        <w:jc w:val="both"/>
      </w:pPr>
      <w:r>
        <w:rPr>
          <w:rFonts w:ascii="仿宋_GB2312" w:hAnsi="仿宋_GB2312" w:eastAsia="仿宋_GB2312"/>
          <w:b w:val="0"/>
          <w:sz w:val="32"/>
        </w:rPr>
        <w:t>1.一般公共服务支出(类)192.66万元,占81.66%。</w:t>
      </w:r>
    </w:p>
    <w:p w14:paraId="13DFE640">
      <w:pPr>
        <w:spacing w:line="580" w:lineRule="exact"/>
        <w:ind w:firstLine="640"/>
        <w:jc w:val="both"/>
      </w:pPr>
      <w:r>
        <w:rPr>
          <w:rFonts w:ascii="仿宋_GB2312" w:hAnsi="仿宋_GB2312" w:eastAsia="仿宋_GB2312"/>
          <w:b w:val="0"/>
          <w:sz w:val="32"/>
        </w:rPr>
        <w:t>2.社会保障和就业支出(类)19.28万元,占8.17%。</w:t>
      </w:r>
    </w:p>
    <w:p w14:paraId="403A9F92">
      <w:pPr>
        <w:spacing w:line="580" w:lineRule="exact"/>
        <w:ind w:firstLine="640"/>
        <w:jc w:val="both"/>
      </w:pPr>
      <w:r>
        <w:rPr>
          <w:rFonts w:ascii="仿宋_GB2312" w:hAnsi="仿宋_GB2312" w:eastAsia="仿宋_GB2312"/>
          <w:b w:val="0"/>
          <w:sz w:val="32"/>
        </w:rPr>
        <w:t>3.卫生健康支出(类)8.19万元,占3.47%。</w:t>
      </w:r>
    </w:p>
    <w:p w14:paraId="1392409C">
      <w:pPr>
        <w:spacing w:line="580" w:lineRule="exact"/>
        <w:ind w:firstLine="640"/>
        <w:jc w:val="both"/>
      </w:pPr>
      <w:r>
        <w:rPr>
          <w:rFonts w:ascii="仿宋_GB2312" w:hAnsi="仿宋_GB2312" w:eastAsia="仿宋_GB2312"/>
          <w:b w:val="0"/>
          <w:sz w:val="32"/>
        </w:rPr>
        <w:t>4.住房保障支出(类)15.78万元,占6.69%。</w:t>
      </w:r>
    </w:p>
    <w:p w14:paraId="5CA01C5D">
      <w:pPr>
        <w:spacing w:line="640" w:lineRule="exact"/>
        <w:ind w:firstLine="640"/>
        <w:jc w:val="both"/>
        <w:outlineLvl w:val="3"/>
      </w:pPr>
      <w:r>
        <w:rPr>
          <w:rFonts w:ascii="楷体_GB2312" w:hAnsi="楷体_GB2312" w:eastAsia="楷体_GB2312"/>
          <w:b/>
          <w:sz w:val="32"/>
        </w:rPr>
        <w:t>（三）一般公共预算财政拨款支出决算具体情况</w:t>
      </w:r>
    </w:p>
    <w:p w14:paraId="3A7F0F09">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8.47万元，比上年决算增加8.47万元，增长100.00%,主要原因是：本年年中在职人员逐渐增加，新增此科目，增加工资等人员经费支出。</w:t>
      </w:r>
    </w:p>
    <w:p w14:paraId="4D47BEE8">
      <w:pPr>
        <w:spacing w:line="580" w:lineRule="exact"/>
        <w:ind w:firstLine="640"/>
        <w:jc w:val="both"/>
      </w:pPr>
      <w:r>
        <w:rPr>
          <w:rFonts w:ascii="仿宋_GB2312" w:hAnsi="仿宋_GB2312" w:eastAsia="仿宋_GB2312"/>
          <w:b w:val="0"/>
          <w:sz w:val="32"/>
        </w:rPr>
        <w:t>2.一般公共服务支出(类)商贸事务(款)招商引资(项):支出决算数为20.00万元，比上年决算减少60.07万元，下降75.02%,主要原因是：本年度减少英吉沙工业园区两个建设项目水土保持补偿费项目、偿还英吉沙县国泰工业园网络设备采购款等项目。</w:t>
      </w:r>
    </w:p>
    <w:p w14:paraId="366D6D82">
      <w:pPr>
        <w:spacing w:line="580" w:lineRule="exact"/>
        <w:ind w:firstLine="640"/>
        <w:jc w:val="both"/>
      </w:pPr>
      <w:r>
        <w:rPr>
          <w:rFonts w:ascii="仿宋_GB2312" w:hAnsi="仿宋_GB2312" w:eastAsia="仿宋_GB2312"/>
          <w:b w:val="0"/>
          <w:sz w:val="32"/>
        </w:rPr>
        <w:t>3.一般公共服务支出(类)商贸事务(款)事业运行(项):支出决算数为164.19万元，比上年决算增加27.95万元，增长20.52%,主要原因是：本年在职人员工资调增，新增在职人员，导致事业运行较上年有所增加。</w:t>
      </w:r>
    </w:p>
    <w:p w14:paraId="5AEED4D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19.28万元，比上年决算增加2.47万元，增长14.69%,主要原因是：本年在职人员工资基数调增，在职人员增加，养老保险缴费较上年增加。</w:t>
      </w:r>
    </w:p>
    <w:p w14:paraId="4EF31321">
      <w:pPr>
        <w:spacing w:line="580" w:lineRule="exact"/>
        <w:ind w:firstLine="640"/>
        <w:jc w:val="both"/>
      </w:pPr>
      <w:r>
        <w:rPr>
          <w:rFonts w:ascii="仿宋_GB2312" w:hAnsi="仿宋_GB2312" w:eastAsia="仿宋_GB2312"/>
          <w:b w:val="0"/>
          <w:sz w:val="32"/>
        </w:rPr>
        <w:t>5.卫生健康支出(类)行政事业单位医疗(款)事业单位医疗(项):支出决算数为8.19万元，比上年决算增加1.31万元，增长19.04%,主要原因是：本年在职人员工资基数调增，在职人员增加，事业单位医疗支出较上年增加。</w:t>
      </w:r>
    </w:p>
    <w:p w14:paraId="0E74CBAE">
      <w:pPr>
        <w:spacing w:line="580" w:lineRule="exact"/>
        <w:ind w:firstLine="640"/>
        <w:jc w:val="both"/>
      </w:pPr>
      <w:r>
        <w:rPr>
          <w:rFonts w:ascii="仿宋_GB2312" w:hAnsi="仿宋_GB2312" w:eastAsia="仿宋_GB2312"/>
          <w:b w:val="0"/>
          <w:sz w:val="32"/>
        </w:rPr>
        <w:t>6.住房保障支出(类)住房改革支出(款)住房公积金(项):支出决算数为15.78万元，比上年决算增加2.70万元，增长20.64%,主要原因是：本年在职人员工资基数调增，在职人员增加，住房公积金支出较上年增加。</w:t>
      </w:r>
    </w:p>
    <w:p w14:paraId="0EEB3BC3">
      <w:pPr>
        <w:spacing w:line="640" w:lineRule="exact"/>
        <w:ind w:firstLine="640"/>
        <w:jc w:val="both"/>
        <w:outlineLvl w:val="2"/>
      </w:pPr>
      <w:r>
        <w:rPr>
          <w:rFonts w:ascii="黑体" w:hAnsi="黑体" w:eastAsia="黑体"/>
          <w:sz w:val="32"/>
        </w:rPr>
        <w:t>六、一般公共预算财政拨款基本支出决算情况说明</w:t>
      </w:r>
    </w:p>
    <w:p w14:paraId="223803DE">
      <w:pPr>
        <w:spacing w:line="580" w:lineRule="exact"/>
        <w:ind w:firstLine="640"/>
        <w:jc w:val="both"/>
      </w:pPr>
      <w:r>
        <w:rPr>
          <w:rFonts w:ascii="仿宋_GB2312" w:hAnsi="仿宋_GB2312" w:eastAsia="仿宋_GB2312"/>
          <w:b w:val="0"/>
          <w:sz w:val="32"/>
        </w:rPr>
        <w:t>2024年度一般公共预算财政拨款基本支出215.92万元，其中：</w:t>
      </w:r>
      <w:r>
        <w:rPr>
          <w:rFonts w:ascii="仿宋_GB2312" w:hAnsi="仿宋_GB2312" w:eastAsia="仿宋_GB2312"/>
          <w:b/>
          <w:sz w:val="32"/>
        </w:rPr>
        <w:t>人员经费206.25万元，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7D28FD1A">
      <w:pPr>
        <w:spacing w:line="580" w:lineRule="exact"/>
        <w:ind w:firstLine="640"/>
        <w:jc w:val="both"/>
      </w:pPr>
      <w:r>
        <w:rPr>
          <w:rFonts w:ascii="仿宋_GB2312" w:hAnsi="仿宋_GB2312" w:eastAsia="仿宋_GB2312"/>
          <w:b/>
          <w:sz w:val="32"/>
        </w:rPr>
        <w:t>公用经费9.67万元，</w:t>
      </w:r>
      <w:r>
        <w:rPr>
          <w:rFonts w:ascii="仿宋_GB2312" w:hAnsi="仿宋_GB2312" w:eastAsia="仿宋_GB2312"/>
          <w:b w:val="0"/>
          <w:sz w:val="32"/>
        </w:rPr>
        <w:t>包括：办公费、电费、邮电费、取暖费、差旅费、公务用车运行维护费。</w:t>
      </w:r>
    </w:p>
    <w:p w14:paraId="2058B3EB">
      <w:pPr>
        <w:spacing w:line="640" w:lineRule="exact"/>
        <w:ind w:firstLine="640"/>
        <w:jc w:val="both"/>
        <w:outlineLvl w:val="2"/>
      </w:pPr>
      <w:r>
        <w:rPr>
          <w:rFonts w:ascii="黑体" w:hAnsi="黑体" w:eastAsia="黑体"/>
          <w:sz w:val="32"/>
        </w:rPr>
        <w:t>七、政府性基金预算财政拨款收入支出决算情况说明</w:t>
      </w:r>
    </w:p>
    <w:p w14:paraId="3A9DA6BA">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6F4709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减少133.81万元，下降100.00%，主要原因是：本年减少英吉沙县工业园区固废填埋场建设、喀什地区英吉沙县工业园区纺织服装产业园标准厂房建设专项债券付息项目。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w:t>
      </w:r>
    </w:p>
    <w:p w14:paraId="21F96CB5">
      <w:pPr>
        <w:spacing w:line="580" w:lineRule="exact"/>
        <w:ind w:firstLine="640"/>
        <w:jc w:val="both"/>
      </w:pPr>
      <w:r>
        <w:rPr>
          <w:rFonts w:ascii="仿宋_GB2312" w:hAnsi="仿宋_GB2312" w:eastAsia="仿宋_GB2312"/>
          <w:b w:val="0"/>
          <w:sz w:val="32"/>
        </w:rPr>
        <w:t>政府性基金预算财政拨款支出0.00万元。</w:t>
      </w:r>
    </w:p>
    <w:p w14:paraId="1AED2397">
      <w:pPr>
        <w:spacing w:line="580" w:lineRule="exact"/>
        <w:ind w:firstLine="640"/>
        <w:jc w:val="both"/>
      </w:pPr>
      <w:r>
        <w:rPr>
          <w:rFonts w:ascii="仿宋_GB2312" w:hAnsi="仿宋_GB2312" w:eastAsia="仿宋_GB2312"/>
          <w:b w:val="0"/>
          <w:sz w:val="32"/>
        </w:rPr>
        <w:t>1.债务付息支出(类)地方政府专项债务付息支出(款)其他地方自行试点项目收益专项债券付息支出(项):支出决算数为0.00万元，比上年决算减少133.81万元，下降100.00%,主要原因是：本年减少英吉沙县工业园区固废填埋场建设、喀什地区英吉沙县工业园区纺织服装产业园标准厂房建设专项债券付息项目。</w:t>
      </w:r>
    </w:p>
    <w:p w14:paraId="14F61108">
      <w:pPr>
        <w:spacing w:line="640" w:lineRule="exact"/>
        <w:ind w:firstLine="640"/>
        <w:jc w:val="both"/>
        <w:outlineLvl w:val="2"/>
      </w:pPr>
      <w:r>
        <w:rPr>
          <w:rFonts w:ascii="黑体" w:hAnsi="黑体" w:eastAsia="黑体"/>
          <w:sz w:val="32"/>
        </w:rPr>
        <w:t>八、国有资本经营预算财政拨款收入支出决算情况说明</w:t>
      </w:r>
    </w:p>
    <w:p w14:paraId="0F90FE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9F1DB2">
      <w:pPr>
        <w:spacing w:line="640" w:lineRule="exact"/>
        <w:ind w:firstLine="640"/>
        <w:jc w:val="both"/>
        <w:outlineLvl w:val="2"/>
      </w:pPr>
      <w:r>
        <w:rPr>
          <w:rFonts w:ascii="黑体" w:hAnsi="黑体" w:eastAsia="黑体"/>
          <w:sz w:val="32"/>
        </w:rPr>
        <w:t>九、财政拨款“三公”经费支出决算情况说明</w:t>
      </w:r>
    </w:p>
    <w:p w14:paraId="762E381E">
      <w:pPr>
        <w:spacing w:line="580" w:lineRule="exact"/>
        <w:ind w:firstLine="640"/>
        <w:jc w:val="both"/>
      </w:pPr>
      <w:r>
        <w:rPr>
          <w:rFonts w:ascii="仿宋_GB2312" w:hAnsi="仿宋_GB2312" w:eastAsia="仿宋_GB2312"/>
          <w:b/>
          <w:sz w:val="32"/>
        </w:rPr>
        <w:t>2024年度财政拨款“三公”经费支出0.20万元，</w:t>
      </w:r>
      <w:r>
        <w:rPr>
          <w:rFonts w:ascii="仿宋_GB2312" w:hAnsi="仿宋_GB2312" w:eastAsia="仿宋_GB2312"/>
          <w:b w:val="0"/>
          <w:sz w:val="32"/>
        </w:rPr>
        <w:t>比上年减少0.15万元，下降42.86%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0.20万元，占100.00%，比上年减少0.15万元，下降42.86%，主要原因是：严格落实中央八项规定精神，厉行节约，减少公务用车运行维护费。公务接待费支出0.00万元，占0.00%，比上年增加0.00万元，增长0.00%，主要原因是：2023年与2024年均未安排公务接待费支出。</w:t>
      </w:r>
    </w:p>
    <w:p w14:paraId="32416B2F">
      <w:pPr>
        <w:spacing w:line="580" w:lineRule="exact"/>
        <w:ind w:firstLine="640"/>
        <w:jc w:val="both"/>
      </w:pPr>
      <w:r>
        <w:rPr>
          <w:rFonts w:ascii="仿宋_GB2312" w:hAnsi="仿宋_GB2312" w:eastAsia="仿宋_GB2312"/>
          <w:b/>
          <w:sz w:val="32"/>
        </w:rPr>
        <w:t>具体情况如下：</w:t>
      </w:r>
    </w:p>
    <w:p w14:paraId="6DA7A2A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0AC3A5">
      <w:pPr>
        <w:spacing w:line="580" w:lineRule="exact"/>
        <w:ind w:firstLine="640"/>
        <w:jc w:val="both"/>
      </w:pPr>
      <w:r>
        <w:rPr>
          <w:rFonts w:ascii="仿宋_GB2312" w:hAnsi="仿宋_GB2312" w:eastAsia="仿宋_GB2312"/>
          <w:b w:val="0"/>
          <w:sz w:val="32"/>
        </w:rPr>
        <w:t>公务用车购置及运行维护费0.20万元，其中：公务用车购置费0.00万元，公务用车运行维护费0.20万元。公务用车运行维护费开支内容包括车辆加油费、保险费。公务用车购置数0辆，公务用车保有量1辆。国有资产占用情况中固定资产车辆1辆，与公务用车保有量差异原因是：本单位固定资产车辆与公务用车保有量一致无差异。</w:t>
      </w:r>
    </w:p>
    <w:p w14:paraId="027312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DCFEF1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0.20万元，决算数0.20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0.20万元，决算数0.20万元，预决算差异率0.00%，主要原因是：严格按照预算执行，预决算无差异。公务接待费全年预算数0.00万元，决算数0.00万元，预决算差异率0.00%，主要原因是：本单位无公务接待费。</w:t>
      </w:r>
    </w:p>
    <w:p w14:paraId="39C8AA94">
      <w:pPr>
        <w:spacing w:line="640" w:lineRule="exact"/>
        <w:ind w:firstLine="640"/>
        <w:jc w:val="both"/>
        <w:outlineLvl w:val="2"/>
      </w:pPr>
      <w:r>
        <w:rPr>
          <w:rFonts w:ascii="黑体" w:hAnsi="黑体" w:eastAsia="黑体"/>
          <w:sz w:val="32"/>
        </w:rPr>
        <w:t>十、其他重要事项的情况说明</w:t>
      </w:r>
    </w:p>
    <w:p w14:paraId="62F96D24">
      <w:pPr>
        <w:spacing w:line="640" w:lineRule="exact"/>
        <w:ind w:firstLine="640"/>
        <w:jc w:val="both"/>
        <w:outlineLvl w:val="3"/>
      </w:pPr>
      <w:r>
        <w:rPr>
          <w:rFonts w:ascii="楷体_GB2312" w:hAnsi="楷体_GB2312" w:eastAsia="楷体_GB2312"/>
          <w:b/>
          <w:sz w:val="32"/>
        </w:rPr>
        <w:t>（一）机关运行经费及公用经费支出情况</w:t>
      </w:r>
    </w:p>
    <w:p w14:paraId="2170ABA3">
      <w:pPr>
        <w:spacing w:line="580" w:lineRule="exact"/>
        <w:ind w:firstLine="640"/>
        <w:jc w:val="both"/>
      </w:pPr>
      <w:r>
        <w:rPr>
          <w:rFonts w:ascii="仿宋_GB2312" w:hAnsi="仿宋_GB2312" w:eastAsia="仿宋_GB2312"/>
          <w:b w:val="0"/>
          <w:sz w:val="32"/>
        </w:rPr>
        <w:t>2024年度英吉沙工业园区管理委员会（事业单位）公用经费支出9.67万元，比上年增加0.13万元，增长1.36%，主要原因是：本年度增加办公费，导致公用经费支出增加。</w:t>
      </w:r>
    </w:p>
    <w:p w14:paraId="46A68C12">
      <w:pPr>
        <w:spacing w:line="640" w:lineRule="exact"/>
        <w:ind w:firstLine="640"/>
        <w:jc w:val="both"/>
        <w:outlineLvl w:val="3"/>
      </w:pPr>
      <w:r>
        <w:rPr>
          <w:rFonts w:ascii="楷体_GB2312" w:hAnsi="楷体_GB2312" w:eastAsia="楷体_GB2312"/>
          <w:b/>
          <w:sz w:val="32"/>
        </w:rPr>
        <w:t>（二）政府采购情况</w:t>
      </w:r>
    </w:p>
    <w:p w14:paraId="23DD42B1">
      <w:pPr>
        <w:spacing w:line="580" w:lineRule="exact"/>
        <w:ind w:firstLine="640"/>
        <w:jc w:val="both"/>
      </w:pPr>
      <w:r>
        <w:rPr>
          <w:rFonts w:ascii="仿宋_GB2312" w:hAnsi="仿宋_GB2312" w:eastAsia="仿宋_GB2312"/>
          <w:b w:val="0"/>
          <w:sz w:val="32"/>
        </w:rPr>
        <w:t>2024年度政府采购支出总额76.53万元，其中：政府采购货物支出8.84万元、政府采购工程支出0.00万元、政府采购服务支出67.69万元。</w:t>
      </w:r>
    </w:p>
    <w:p w14:paraId="1C67672C">
      <w:pPr>
        <w:spacing w:line="580" w:lineRule="exact"/>
        <w:ind w:firstLine="640"/>
        <w:jc w:val="both"/>
      </w:pPr>
      <w:r>
        <w:rPr>
          <w:rFonts w:ascii="仿宋_GB2312" w:hAnsi="仿宋_GB2312" w:eastAsia="仿宋_GB2312"/>
          <w:b w:val="0"/>
          <w:sz w:val="32"/>
        </w:rPr>
        <w:t>授予中小企业合同金额71.76万元，占政府采购支出总额的93.77%，其中：授予小微企业合同金额67.86万元，占政府采购支出总额的88.67%。</w:t>
      </w:r>
    </w:p>
    <w:p w14:paraId="268635B2">
      <w:pPr>
        <w:spacing w:line="640" w:lineRule="exact"/>
        <w:ind w:firstLine="640"/>
        <w:jc w:val="both"/>
        <w:outlineLvl w:val="3"/>
      </w:pPr>
      <w:r>
        <w:rPr>
          <w:rFonts w:ascii="楷体_GB2312" w:hAnsi="楷体_GB2312" w:eastAsia="楷体_GB2312"/>
          <w:b/>
          <w:sz w:val="32"/>
        </w:rPr>
        <w:t>（三）国有资产占用情况说明</w:t>
      </w:r>
    </w:p>
    <w:p w14:paraId="4088B7C1">
      <w:pPr>
        <w:spacing w:line="580" w:lineRule="exact"/>
        <w:ind w:firstLine="640"/>
        <w:jc w:val="both"/>
      </w:pPr>
      <w:r>
        <w:rPr>
          <w:rFonts w:ascii="仿宋_GB2312" w:hAnsi="仿宋_GB2312" w:eastAsia="仿宋_GB2312"/>
          <w:b w:val="0"/>
          <w:sz w:val="32"/>
        </w:rPr>
        <w:t>截至2024年12月31日，房屋53,296.13平方米，价值10,587.80万元。车辆1辆，价值1.64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DE14AE8">
      <w:pPr>
        <w:spacing w:line="640" w:lineRule="exact"/>
        <w:ind w:firstLine="640"/>
        <w:jc w:val="both"/>
        <w:outlineLvl w:val="2"/>
      </w:pPr>
      <w:r>
        <w:rPr>
          <w:rFonts w:ascii="黑体" w:hAnsi="黑体" w:eastAsia="黑体"/>
          <w:sz w:val="32"/>
        </w:rPr>
        <w:t>十一、预算绩效的情况说明</w:t>
      </w:r>
    </w:p>
    <w:p w14:paraId="3A00653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1,431.90万元，实际执行总额1,431.90万元；预算绩效评价项目3个，全年预算数653.81万元，全年执行数653.81万元。预算绩效管理取得的成效：一是强化了单位职能为核心；二是全面提升了</w:t>
      </w:r>
      <w:r>
        <w:rPr>
          <w:rFonts w:hint="eastAsia" w:ascii="仿宋_GB2312" w:hAnsi="仿宋_GB2312" w:eastAsia="仿宋_GB2312"/>
          <w:b w:val="0"/>
          <w:sz w:val="32"/>
          <w:lang w:eastAsia="zh-CN"/>
        </w:rPr>
        <w:t>本单位</w:t>
      </w:r>
      <w:r>
        <w:rPr>
          <w:rFonts w:ascii="仿宋_GB2312" w:hAnsi="仿宋_GB2312" w:eastAsia="仿宋_GB2312"/>
          <w:b w:val="0"/>
          <w:sz w:val="32"/>
        </w:rPr>
        <w:t>公共服务水平。发现的问题及原因：一是绩效评价体系还不够完善。对预算绩效管理的重要性认识不足</w:t>
      </w:r>
      <w:r>
        <w:rPr>
          <w:rFonts w:hint="eastAsia" w:ascii="仿宋_GB2312" w:hAnsi="仿宋_GB2312" w:eastAsia="仿宋_GB2312"/>
          <w:b w:val="0"/>
          <w:sz w:val="32"/>
          <w:lang w:eastAsia="zh-CN"/>
        </w:rPr>
        <w:t>，</w:t>
      </w:r>
      <w:r>
        <w:rPr>
          <w:rFonts w:ascii="仿宋_GB2312" w:hAnsi="仿宋_GB2312" w:eastAsia="仿宋_GB2312"/>
          <w:b w:val="0"/>
          <w:sz w:val="32"/>
        </w:rPr>
        <w:t>对预算绩效管理认识和了解不够深入，预算绩效管理体制没有完善</w:t>
      </w:r>
      <w:r>
        <w:rPr>
          <w:rFonts w:hint="eastAsia" w:ascii="仿宋_GB2312" w:hAnsi="仿宋_GB2312" w:eastAsia="仿宋_GB2312"/>
          <w:b w:val="0"/>
          <w:sz w:val="32"/>
          <w:lang w:eastAsia="zh-CN"/>
        </w:rPr>
        <w:t>地</w:t>
      </w:r>
      <w:r>
        <w:rPr>
          <w:rFonts w:ascii="仿宋_GB2312" w:hAnsi="仿宋_GB2312" w:eastAsia="仿宋_GB2312"/>
          <w:b w:val="0"/>
          <w:sz w:val="32"/>
        </w:rPr>
        <w:t>建立起来；二是管理水平和政策实施效果还不够明显。预算绩效管理队伍薄弱，对预算绩效管理的经验欠缺，工作人员业务不精通、经验有限，实际操作难，无法做到对预算绩效工作的全面管理。三是有的项目资金申请不及时，资金不到位，效益难以产生。下一步改进措施：一是不断加强绩效管理队伍建设。加强对预算单位绩效专干、财务人员对绩效工作及绩效系统的培训，强化预算绩效管理、成本管理的理念，完善绩效指标，提高整体绩效目标质量，提升预算精细化管理水平；二是继续完善预算绩效管理相关工作制度，建立全过程预算绩效管理链条，有效贯彻落实全面实施绩效管理的精神；三是积极申请资金，及时实施项目，提高完成度。具体附整体支出绩效自评表，项目支出绩效自评表和评价报告。</w:t>
      </w:r>
    </w:p>
    <w:p w14:paraId="5E0CE9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BC9FCB">
        <w:tblPrEx>
          <w:tblCellMar>
            <w:top w:w="0" w:type="dxa"/>
            <w:left w:w="108" w:type="dxa"/>
            <w:bottom w:w="0" w:type="dxa"/>
            <w:right w:w="108" w:type="dxa"/>
          </w:tblCellMar>
        </w:tblPrEx>
        <w:tc>
          <w:tcPr>
            <w:tcW w:w="8847" w:type="dxa"/>
            <w:gridSpan w:val="9"/>
            <w:vAlign w:val="center"/>
          </w:tcPr>
          <w:p w14:paraId="744744F3">
            <w:pPr>
              <w:jc w:val="center"/>
            </w:pPr>
            <w:r>
              <w:rPr>
                <w:rFonts w:ascii="宋体" w:hAnsi="宋体" w:eastAsia="宋体"/>
                <w:sz w:val="24"/>
              </w:rPr>
              <w:t>单位整体支出绩效自评表</w:t>
            </w:r>
          </w:p>
        </w:tc>
      </w:tr>
      <w:tr w14:paraId="6A92B297">
        <w:tblPrEx>
          <w:tblCellMar>
            <w:top w:w="0" w:type="dxa"/>
            <w:left w:w="108" w:type="dxa"/>
            <w:bottom w:w="0" w:type="dxa"/>
            <w:right w:w="108" w:type="dxa"/>
          </w:tblCellMar>
        </w:tblPrEx>
        <w:tc>
          <w:tcPr>
            <w:tcW w:w="8847" w:type="dxa"/>
            <w:gridSpan w:val="9"/>
            <w:vAlign w:val="center"/>
          </w:tcPr>
          <w:p w14:paraId="0EB84331">
            <w:pPr>
              <w:jc w:val="center"/>
            </w:pPr>
            <w:r>
              <w:rPr>
                <w:rFonts w:ascii="宋体" w:hAnsi="宋体" w:eastAsia="宋体"/>
                <w:sz w:val="24"/>
              </w:rPr>
              <w:t>（2024年度）</w:t>
            </w:r>
          </w:p>
        </w:tc>
      </w:tr>
      <w:tr w14:paraId="6423A0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EDF9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95D5D0">
            <w:pPr>
              <w:jc w:val="center"/>
            </w:pPr>
            <w:r>
              <w:rPr>
                <w:rFonts w:ascii="宋体" w:hAnsi="宋体" w:eastAsia="宋体"/>
                <w:sz w:val="16"/>
              </w:rPr>
              <w:t>英吉沙工业园区管理委员会</w:t>
            </w:r>
          </w:p>
        </w:tc>
      </w:tr>
      <w:tr w14:paraId="3085BE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8F7C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D33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451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BC2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8BD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74A6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9002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77D4">
            <w:pPr>
              <w:jc w:val="center"/>
            </w:pPr>
            <w:r>
              <w:rPr>
                <w:rFonts w:ascii="宋体" w:hAnsi="宋体" w:eastAsia="宋体"/>
                <w:sz w:val="16"/>
              </w:rPr>
              <w:t>得分</w:t>
            </w:r>
          </w:p>
        </w:tc>
      </w:tr>
      <w:tr w14:paraId="15264C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C07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FF5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19290">
            <w:pPr>
              <w:jc w:val="center"/>
            </w:pPr>
            <w:r>
              <w:rPr>
                <w:rFonts w:ascii="宋体" w:hAnsi="宋体" w:eastAsia="宋体"/>
                <w:sz w:val="16"/>
              </w:rPr>
              <w:t>322.72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98DE">
            <w:pPr>
              <w:jc w:val="center"/>
            </w:pPr>
            <w:r>
              <w:rPr>
                <w:rFonts w:ascii="宋体" w:hAnsi="宋体" w:eastAsia="宋体"/>
                <w:sz w:val="16"/>
              </w:rPr>
              <w:t>1,431.90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73D89">
            <w:pPr>
              <w:jc w:val="center"/>
            </w:pPr>
            <w:r>
              <w:rPr>
                <w:rFonts w:ascii="宋体" w:hAnsi="宋体" w:eastAsia="宋体"/>
                <w:sz w:val="16"/>
              </w:rPr>
              <w:t>1,431.90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E6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99DE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6777">
            <w:pPr>
              <w:jc w:val="center"/>
            </w:pPr>
            <w:r>
              <w:rPr>
                <w:rFonts w:ascii="宋体" w:hAnsi="宋体" w:eastAsia="宋体"/>
                <w:sz w:val="16"/>
              </w:rPr>
              <w:t>10</w:t>
            </w:r>
          </w:p>
        </w:tc>
      </w:tr>
      <w:tr w14:paraId="5B4D85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E39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BEF3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4EB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D7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FF0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F12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F1AA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58CBA">
            <w:pPr>
              <w:jc w:val="center"/>
            </w:pPr>
            <w:r>
              <w:rPr>
                <w:rFonts w:ascii="宋体" w:hAnsi="宋体" w:eastAsia="宋体"/>
                <w:sz w:val="16"/>
              </w:rPr>
              <w:t>—</w:t>
            </w:r>
          </w:p>
        </w:tc>
      </w:tr>
      <w:tr w14:paraId="02A0F7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397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B2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EC13D">
            <w:pPr>
              <w:jc w:val="center"/>
            </w:pPr>
            <w:r>
              <w:rPr>
                <w:rFonts w:ascii="宋体" w:hAnsi="宋体" w:eastAsia="宋体"/>
                <w:sz w:val="16"/>
              </w:rPr>
              <w:t>322.72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B7216">
            <w:pPr>
              <w:jc w:val="center"/>
            </w:pPr>
            <w:r>
              <w:rPr>
                <w:rFonts w:ascii="宋体" w:hAnsi="宋体" w:eastAsia="宋体"/>
                <w:sz w:val="16"/>
              </w:rPr>
              <w:t>322.82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45A10">
            <w:pPr>
              <w:jc w:val="center"/>
            </w:pPr>
            <w:r>
              <w:rPr>
                <w:rFonts w:ascii="宋体" w:hAnsi="宋体" w:eastAsia="宋体"/>
                <w:sz w:val="16"/>
              </w:rPr>
              <w:t>322.82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F1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EDD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0924">
            <w:pPr>
              <w:jc w:val="center"/>
            </w:pPr>
            <w:r>
              <w:rPr>
                <w:rFonts w:ascii="宋体" w:hAnsi="宋体" w:eastAsia="宋体"/>
                <w:sz w:val="16"/>
              </w:rPr>
              <w:t>—</w:t>
            </w:r>
          </w:p>
        </w:tc>
      </w:tr>
      <w:tr w14:paraId="0BBB90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20A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5E06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4FA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18021">
            <w:pPr>
              <w:jc w:val="center"/>
            </w:pPr>
            <w:r>
              <w:rPr>
                <w:rFonts w:ascii="宋体" w:hAnsi="宋体" w:eastAsia="宋体"/>
                <w:sz w:val="16"/>
              </w:rPr>
              <w:t>1,109.08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409D4">
            <w:pPr>
              <w:jc w:val="center"/>
            </w:pPr>
            <w:r>
              <w:rPr>
                <w:rFonts w:ascii="宋体" w:hAnsi="宋体" w:eastAsia="宋体"/>
                <w:sz w:val="16"/>
              </w:rPr>
              <w:t>1,109.08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2C6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3A9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56F93">
            <w:pPr>
              <w:jc w:val="center"/>
            </w:pPr>
            <w:r>
              <w:rPr>
                <w:rFonts w:ascii="宋体" w:hAnsi="宋体" w:eastAsia="宋体"/>
                <w:sz w:val="16"/>
              </w:rPr>
              <w:t>—</w:t>
            </w:r>
          </w:p>
        </w:tc>
      </w:tr>
      <w:tr w14:paraId="4C7DAD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A082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453D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10FEA9">
            <w:pPr>
              <w:jc w:val="center"/>
            </w:pPr>
            <w:r>
              <w:rPr>
                <w:rFonts w:ascii="宋体" w:hAnsi="宋体" w:eastAsia="宋体"/>
                <w:sz w:val="16"/>
              </w:rPr>
              <w:t>实际完成情况</w:t>
            </w:r>
          </w:p>
        </w:tc>
      </w:tr>
      <w:tr w14:paraId="4CF760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EC40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1E23CB">
            <w:pPr>
              <w:jc w:val="both"/>
            </w:pPr>
            <w:r>
              <w:rPr>
                <w:rFonts w:ascii="宋体" w:hAnsi="宋体" w:eastAsia="宋体"/>
                <w:sz w:val="16"/>
              </w:rPr>
              <w:t>坚持以习近平新时代中国特色社会主义思想为指导，全面贯彻落实</w:t>
            </w:r>
            <w:r>
              <w:rPr>
                <w:rFonts w:hint="eastAsia" w:ascii="宋体" w:hAnsi="宋体"/>
                <w:sz w:val="16"/>
                <w:lang w:eastAsia="zh-CN"/>
              </w:rPr>
              <w:t>党的</w:t>
            </w:r>
            <w:r>
              <w:rPr>
                <w:rFonts w:ascii="宋体" w:hAnsi="宋体" w:eastAsia="宋体"/>
                <w:sz w:val="16"/>
              </w:rPr>
              <w:t>二十大精神，特别是习近平总书记在听取自治区和兵团工作汇报时的重要讲话精神和视察新疆时的重要讲话精神，第三次中央新疆工作座谈会精神，自治区党委十届十次全会和地委、县委扩大会议精神，以“新型工业化突破年”为抓手，以园区经济高质量发展为主线，以改革创新为根本动力，统筹发展和安全，加快推进工业园区各项工作目标。完成园区扩区规划、总体规划编制、水资源论证报告、园区环境影响评估及验收的审查报批工作。围绕工业园区总体规划，根据先缓后急和园区发展需求不断完善园区各类专项规划，制定实施方案，确保园区发展有规可依，促进生产、生活、生态空间有机衔接、同步发展。规上工业增加值3</w:t>
            </w:r>
            <w:r>
              <w:rPr>
                <w:rFonts w:hint="eastAsia" w:ascii="宋体" w:hAnsi="宋体"/>
                <w:sz w:val="16"/>
                <w:lang w:eastAsia="zh-CN"/>
              </w:rPr>
              <w:t>亿元</w:t>
            </w:r>
            <w:r>
              <w:rPr>
                <w:rFonts w:ascii="宋体" w:hAnsi="宋体" w:eastAsia="宋体"/>
                <w:sz w:val="16"/>
              </w:rPr>
              <w:t>，新增规上工业企业3个，招引亿元以上项目2个。召开单位整改进展情况推进会12次，组织开展事故应急演练次数12次。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513C88">
            <w:pPr>
              <w:jc w:val="both"/>
            </w:pPr>
            <w:r>
              <w:rPr>
                <w:rFonts w:ascii="宋体" w:hAnsi="宋体" w:eastAsia="宋体"/>
                <w:sz w:val="16"/>
              </w:rPr>
              <w:t>坚持以习近平新时代中国特色社会主义思想为指导，全面贯彻落实</w:t>
            </w:r>
            <w:r>
              <w:rPr>
                <w:rFonts w:hint="eastAsia" w:ascii="宋体" w:hAnsi="宋体"/>
                <w:sz w:val="16"/>
                <w:lang w:eastAsia="zh-CN"/>
              </w:rPr>
              <w:t>党的</w:t>
            </w:r>
            <w:r>
              <w:rPr>
                <w:rFonts w:ascii="宋体" w:hAnsi="宋体" w:eastAsia="宋体"/>
                <w:sz w:val="16"/>
              </w:rPr>
              <w:t>二十大精神，特别是习近平总书记在听取自治区和兵团工作汇报时的重要讲话精神和视察新疆时的重要讲话精神，第三次中央新疆工作座谈会精神，自治区党委十届十次全会和地委、县委扩大会议精神，以“新型工业化突破年”为抓手，以园区经济高质量发展为主线，以改革创新为根本动力，统筹发展和安全，加快推进工业园区各项工作目标。完成园区扩区规划、总体规划编制、水资源论证报告、园区环境影响评估及验收的审查报批工作。围绕工业园区总体规划，根据先缓后急和园区发展需求不断完善园区各类专项规划，制定实施方案，确保园区发展有规可依，促进生产、生活、生态空间有机衔接、同步发展。规上工业增加值3</w:t>
            </w:r>
            <w:r>
              <w:rPr>
                <w:rFonts w:hint="eastAsia" w:ascii="宋体" w:hAnsi="宋体"/>
                <w:sz w:val="16"/>
                <w:lang w:eastAsia="zh-CN"/>
              </w:rPr>
              <w:t>亿元</w:t>
            </w:r>
            <w:r>
              <w:rPr>
                <w:rFonts w:ascii="宋体" w:hAnsi="宋体" w:eastAsia="宋体"/>
                <w:sz w:val="16"/>
              </w:rPr>
              <w:t>，新增规上工业企业3个，招引亿元以上项目2个。召开单位整改进展情况推进会12次，组织开展事故应急演练次数12次。</w:t>
            </w:r>
          </w:p>
        </w:tc>
      </w:tr>
      <w:tr w14:paraId="5FF23B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D76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9EB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8F1C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D838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9FFF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A3A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830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F327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C7494">
            <w:pPr>
              <w:jc w:val="center"/>
            </w:pPr>
            <w:r>
              <w:rPr>
                <w:rFonts w:ascii="宋体" w:hAnsi="宋体" w:eastAsia="宋体"/>
                <w:sz w:val="16"/>
              </w:rPr>
              <w:t>得分</w:t>
            </w:r>
          </w:p>
        </w:tc>
      </w:tr>
      <w:tr w14:paraId="6C7E02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4A52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270B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E285">
            <w:pPr>
              <w:jc w:val="center"/>
            </w:pPr>
            <w:r>
              <w:rPr>
                <w:rFonts w:ascii="宋体" w:hAnsi="宋体" w:eastAsia="宋体"/>
                <w:sz w:val="16"/>
              </w:rPr>
              <w:t>规上工业增加值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6580A">
            <w:pPr>
              <w:jc w:val="center"/>
            </w:pPr>
            <w:r>
              <w:rPr>
                <w:rFonts w:ascii="宋体" w:hAnsi="宋体" w:eastAsia="宋体"/>
                <w:sz w:val="16"/>
              </w:rPr>
              <w:t>&gt;=3亿元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D2E5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0C4E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585BD">
            <w:pPr>
              <w:jc w:val="center"/>
            </w:pPr>
            <w:r>
              <w:rPr>
                <w:rFonts w:ascii="宋体" w:hAnsi="宋体" w:eastAsia="宋体"/>
                <w:sz w:val="16"/>
              </w:rPr>
              <w:t>=3亿元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07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19830">
            <w:pPr>
              <w:jc w:val="center"/>
            </w:pPr>
            <w:r>
              <w:rPr>
                <w:rFonts w:ascii="宋体" w:hAnsi="宋体" w:eastAsia="宋体"/>
                <w:sz w:val="16"/>
              </w:rPr>
              <w:t>30</w:t>
            </w:r>
          </w:p>
        </w:tc>
      </w:tr>
      <w:tr w14:paraId="2E52FC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E29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C9A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3041">
            <w:pPr>
              <w:jc w:val="center"/>
            </w:pPr>
            <w:r>
              <w:rPr>
                <w:rFonts w:ascii="宋体" w:hAnsi="宋体" w:eastAsia="宋体"/>
                <w:sz w:val="16"/>
              </w:rPr>
              <w:t>新增规上工业企业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4F4D9">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DAD5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9708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EC284">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F19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98151">
            <w:pPr>
              <w:jc w:val="center"/>
            </w:pPr>
            <w:r>
              <w:rPr>
                <w:rFonts w:ascii="宋体" w:hAnsi="宋体" w:eastAsia="宋体"/>
                <w:sz w:val="16"/>
              </w:rPr>
              <w:t>20</w:t>
            </w:r>
          </w:p>
        </w:tc>
      </w:tr>
      <w:tr w14:paraId="676806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3C0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0E4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B830">
            <w:pPr>
              <w:jc w:val="center"/>
            </w:pPr>
            <w:r>
              <w:rPr>
                <w:rFonts w:ascii="宋体" w:hAnsi="宋体" w:eastAsia="宋体"/>
                <w:sz w:val="16"/>
              </w:rPr>
              <w:t>招引亿元以上项目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45F76">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4FAC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E0D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FB59A">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62A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8E64A">
            <w:pPr>
              <w:jc w:val="center"/>
            </w:pPr>
            <w:r>
              <w:rPr>
                <w:rFonts w:ascii="宋体" w:hAnsi="宋体" w:eastAsia="宋体"/>
                <w:sz w:val="16"/>
              </w:rPr>
              <w:t>20</w:t>
            </w:r>
          </w:p>
        </w:tc>
      </w:tr>
      <w:tr w14:paraId="38C2D5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0BB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0C2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1EC1E">
            <w:pPr>
              <w:jc w:val="center"/>
            </w:pPr>
            <w:r>
              <w:rPr>
                <w:rFonts w:ascii="宋体" w:hAnsi="宋体" w:eastAsia="宋体"/>
                <w:sz w:val="16"/>
              </w:rPr>
              <w:t>召开单位整改进展情况推进会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ADD64">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BB87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E44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1F2E1">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367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45C27">
            <w:pPr>
              <w:jc w:val="center"/>
            </w:pPr>
            <w:r>
              <w:rPr>
                <w:rFonts w:ascii="宋体" w:hAnsi="宋体" w:eastAsia="宋体"/>
                <w:sz w:val="16"/>
              </w:rPr>
              <w:t>10</w:t>
            </w:r>
          </w:p>
        </w:tc>
      </w:tr>
      <w:tr w14:paraId="3F53DC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923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22C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0DE53">
            <w:pPr>
              <w:jc w:val="center"/>
            </w:pPr>
            <w:r>
              <w:rPr>
                <w:rFonts w:ascii="宋体" w:hAnsi="宋体" w:eastAsia="宋体"/>
                <w:sz w:val="16"/>
              </w:rPr>
              <w:t>组织开展事故应急演练次数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01A7">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06AA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11D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CC8AF">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C4D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3A202">
            <w:pPr>
              <w:jc w:val="center"/>
            </w:pPr>
            <w:r>
              <w:rPr>
                <w:rFonts w:ascii="宋体" w:hAnsi="宋体" w:eastAsia="宋体"/>
                <w:sz w:val="16"/>
              </w:rPr>
              <w:t>10</w:t>
            </w:r>
          </w:p>
        </w:tc>
      </w:tr>
    </w:tbl>
    <w:p w14:paraId="705F82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46BB26">
        <w:tblPrEx>
          <w:tblCellMar>
            <w:top w:w="0" w:type="dxa"/>
            <w:left w:w="108" w:type="dxa"/>
            <w:bottom w:w="0" w:type="dxa"/>
            <w:right w:w="108" w:type="dxa"/>
          </w:tblCellMar>
        </w:tblPrEx>
        <w:tc>
          <w:tcPr>
            <w:tcW w:w="8848" w:type="dxa"/>
            <w:gridSpan w:val="14"/>
            <w:vAlign w:val="center"/>
          </w:tcPr>
          <w:p w14:paraId="4BAC145B">
            <w:pPr>
              <w:jc w:val="center"/>
            </w:pPr>
            <w:r>
              <w:rPr>
                <w:rFonts w:ascii="宋体" w:hAnsi="宋体" w:eastAsia="宋体"/>
                <w:sz w:val="24"/>
              </w:rPr>
              <w:t>项目支出绩效自评表</w:t>
            </w:r>
          </w:p>
        </w:tc>
      </w:tr>
      <w:tr w14:paraId="7C34B5AE">
        <w:tblPrEx>
          <w:tblCellMar>
            <w:top w:w="0" w:type="dxa"/>
            <w:left w:w="108" w:type="dxa"/>
            <w:bottom w:w="0" w:type="dxa"/>
            <w:right w:w="108" w:type="dxa"/>
          </w:tblCellMar>
        </w:tblPrEx>
        <w:tc>
          <w:tcPr>
            <w:tcW w:w="8848" w:type="dxa"/>
            <w:gridSpan w:val="14"/>
            <w:vAlign w:val="center"/>
          </w:tcPr>
          <w:p w14:paraId="480657C4">
            <w:pPr>
              <w:jc w:val="center"/>
            </w:pPr>
            <w:r>
              <w:rPr>
                <w:rFonts w:ascii="宋体" w:hAnsi="宋体" w:eastAsia="宋体"/>
                <w:sz w:val="24"/>
              </w:rPr>
              <w:t>(2024年度)</w:t>
            </w:r>
          </w:p>
        </w:tc>
      </w:tr>
      <w:tr w14:paraId="513E6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C1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2E32A6">
            <w:pPr>
              <w:jc w:val="center"/>
            </w:pPr>
            <w:r>
              <w:rPr>
                <w:rFonts w:ascii="宋体" w:hAnsi="宋体" w:eastAsia="宋体"/>
                <w:sz w:val="16"/>
              </w:rPr>
              <w:t>英吉沙县国泰工业园区网络设备采购项目</w:t>
            </w:r>
          </w:p>
        </w:tc>
      </w:tr>
      <w:tr w14:paraId="323D7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83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0F59D">
            <w:pPr>
              <w:jc w:val="center"/>
            </w:pPr>
            <w:r>
              <w:rPr>
                <w:rFonts w:ascii="宋体" w:hAnsi="宋体" w:eastAsia="宋体"/>
                <w:sz w:val="16"/>
              </w:rPr>
              <w:t>英吉沙工业园区管理委员会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36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3F2A3">
            <w:pPr>
              <w:jc w:val="center"/>
            </w:pPr>
            <w:r>
              <w:rPr>
                <w:rFonts w:ascii="宋体" w:hAnsi="宋体" w:eastAsia="宋体"/>
                <w:sz w:val="16"/>
              </w:rPr>
              <w:t>英吉沙工业园区管理委员会</w:t>
            </w:r>
          </w:p>
        </w:tc>
      </w:tr>
      <w:tr w14:paraId="5B0AD1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F16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5C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84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5EE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1F6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B3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AD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6CE8">
            <w:pPr>
              <w:jc w:val="center"/>
            </w:pPr>
            <w:r>
              <w:rPr>
                <w:rFonts w:ascii="宋体" w:hAnsi="宋体" w:eastAsia="宋体"/>
                <w:sz w:val="16"/>
              </w:rPr>
              <w:t>得分</w:t>
            </w:r>
          </w:p>
        </w:tc>
      </w:tr>
      <w:tr w14:paraId="14012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F2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B1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BCD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342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CE64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66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4E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FD1F">
            <w:pPr>
              <w:jc w:val="center"/>
            </w:pPr>
            <w:r>
              <w:rPr>
                <w:rFonts w:ascii="宋体" w:hAnsi="宋体" w:eastAsia="宋体"/>
                <w:sz w:val="16"/>
              </w:rPr>
              <w:t>10.00分</w:t>
            </w:r>
          </w:p>
        </w:tc>
      </w:tr>
      <w:tr w14:paraId="2C71E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3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A7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164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A97E">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B667">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8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4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9ACC">
            <w:pPr>
              <w:jc w:val="center"/>
            </w:pPr>
            <w:r>
              <w:rPr>
                <w:rFonts w:ascii="宋体" w:hAnsi="宋体" w:eastAsia="宋体"/>
                <w:sz w:val="16"/>
              </w:rPr>
              <w:t>—</w:t>
            </w:r>
          </w:p>
        </w:tc>
      </w:tr>
      <w:tr w14:paraId="4A8B7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334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ABB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D7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D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62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8F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38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C420">
            <w:pPr>
              <w:jc w:val="center"/>
            </w:pPr>
            <w:r>
              <w:rPr>
                <w:rFonts w:ascii="宋体" w:hAnsi="宋体" w:eastAsia="宋体"/>
                <w:sz w:val="16"/>
              </w:rPr>
              <w:t>—</w:t>
            </w:r>
          </w:p>
        </w:tc>
      </w:tr>
      <w:tr w14:paraId="4C0F5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46A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F04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44EB7A">
            <w:pPr>
              <w:jc w:val="center"/>
            </w:pPr>
            <w:r>
              <w:rPr>
                <w:rFonts w:ascii="宋体" w:hAnsi="宋体" w:eastAsia="宋体"/>
                <w:sz w:val="16"/>
              </w:rPr>
              <w:t>实际完成情况</w:t>
            </w:r>
          </w:p>
        </w:tc>
      </w:tr>
      <w:tr w14:paraId="7ED0B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25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7269D">
            <w:pPr>
              <w:jc w:val="both"/>
            </w:pPr>
            <w:r>
              <w:rPr>
                <w:rFonts w:ascii="宋体" w:hAnsi="宋体" w:eastAsia="宋体"/>
                <w:sz w:val="16"/>
              </w:rPr>
              <w:t>该项目计划使用资金500万元，主要用于偿还1笔英吉沙县国泰工业园区网络设备采购项目</w:t>
            </w:r>
            <w:r>
              <w:rPr>
                <w:rFonts w:hint="eastAsia" w:ascii="宋体" w:hAnsi="宋体"/>
                <w:sz w:val="16"/>
                <w:lang w:eastAsia="zh-CN"/>
              </w:rPr>
              <w:t>费用</w:t>
            </w:r>
            <w:r>
              <w:rPr>
                <w:rFonts w:ascii="宋体" w:hAnsi="宋体" w:eastAsia="宋体"/>
                <w:sz w:val="16"/>
              </w:rPr>
              <w:t>。项目的实施，有效提升政府的公信力。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DB7CA">
            <w:pPr>
              <w:jc w:val="both"/>
            </w:pPr>
            <w:r>
              <w:rPr>
                <w:rFonts w:hint="eastAsia" w:ascii="宋体" w:hAnsi="宋体"/>
                <w:sz w:val="16"/>
                <w:lang w:eastAsia="zh-CN"/>
              </w:rPr>
              <w:t>截至</w:t>
            </w:r>
            <w:r>
              <w:rPr>
                <w:rFonts w:ascii="宋体" w:hAnsi="宋体" w:eastAsia="宋体"/>
                <w:sz w:val="16"/>
              </w:rPr>
              <w:t>2024年12月31日，该项目实际使用资金500万元，主要用于偿还1笔英吉沙县国泰工业园区网络设备采购项目</w:t>
            </w:r>
            <w:r>
              <w:rPr>
                <w:rFonts w:hint="eastAsia" w:ascii="宋体" w:hAnsi="宋体"/>
                <w:sz w:val="16"/>
                <w:lang w:eastAsia="zh-CN"/>
              </w:rPr>
              <w:t>费用</w:t>
            </w:r>
            <w:r>
              <w:rPr>
                <w:rFonts w:ascii="宋体" w:hAnsi="宋体" w:eastAsia="宋体"/>
                <w:sz w:val="16"/>
              </w:rPr>
              <w:t>。项目的实施，有效提升政府的公信力。</w:t>
            </w:r>
          </w:p>
        </w:tc>
      </w:tr>
      <w:tr w14:paraId="24A3D2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C87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42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C4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3D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EB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3B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38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7B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D6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67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50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B4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80B4">
            <w:pPr>
              <w:jc w:val="center"/>
            </w:pPr>
            <w:r>
              <w:rPr>
                <w:rFonts w:ascii="宋体" w:hAnsi="宋体" w:eastAsia="宋体"/>
                <w:sz w:val="16"/>
              </w:rPr>
              <w:t>偏差原因分析及改进措施</w:t>
            </w:r>
          </w:p>
        </w:tc>
      </w:tr>
      <w:tr w14:paraId="398F8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29C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54C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47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1910">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90E3">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B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B2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0C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0F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F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9C01">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9C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49DC">
            <w:pPr>
              <w:jc w:val="center"/>
            </w:pPr>
          </w:p>
        </w:tc>
      </w:tr>
      <w:tr w14:paraId="15C97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47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E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A5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37D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2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6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22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FF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D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3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4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E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7014">
            <w:pPr>
              <w:jc w:val="center"/>
            </w:pPr>
          </w:p>
        </w:tc>
      </w:tr>
      <w:tr w14:paraId="35937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D1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045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F73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FD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076D">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5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66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A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63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E4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34CB">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6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BD6A7">
            <w:pPr>
              <w:jc w:val="center"/>
            </w:pPr>
          </w:p>
        </w:tc>
      </w:tr>
      <w:tr w14:paraId="09AB7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FA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3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B5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80A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A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A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77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CF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D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D3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0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AF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B3E6">
            <w:pPr>
              <w:jc w:val="center"/>
            </w:pPr>
          </w:p>
        </w:tc>
      </w:tr>
      <w:tr w14:paraId="13F97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65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21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D6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83B4">
            <w:pPr>
              <w:jc w:val="center"/>
            </w:pPr>
            <w:r>
              <w:rPr>
                <w:rFonts w:ascii="宋体" w:hAnsi="宋体" w:eastAsia="宋体"/>
                <w:sz w:val="16"/>
              </w:rPr>
              <w:t>偿还项目费用成本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56BE">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D8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3C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EF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0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C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4352">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70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960E0">
            <w:pPr>
              <w:jc w:val="center"/>
            </w:pPr>
          </w:p>
        </w:tc>
      </w:tr>
      <w:tr w14:paraId="071B4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6C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22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CD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1AE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C99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E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2D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54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7B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26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EA3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BC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26CF">
            <w:pPr>
              <w:jc w:val="center"/>
            </w:pPr>
          </w:p>
        </w:tc>
      </w:tr>
      <w:tr w14:paraId="5BAFF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13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18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E3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B249">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FB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6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3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12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8F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80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EBC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3D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D71C">
            <w:pPr>
              <w:jc w:val="center"/>
            </w:pPr>
          </w:p>
        </w:tc>
      </w:tr>
      <w:tr w14:paraId="395C1B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AFD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F4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C15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FB9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461E87"/>
        </w:tc>
      </w:tr>
    </w:tbl>
    <w:p w14:paraId="6BA7A9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FE3F86">
        <w:tblPrEx>
          <w:tblCellMar>
            <w:top w:w="0" w:type="dxa"/>
            <w:left w:w="108" w:type="dxa"/>
            <w:bottom w:w="0" w:type="dxa"/>
            <w:right w:w="108" w:type="dxa"/>
          </w:tblCellMar>
        </w:tblPrEx>
        <w:tc>
          <w:tcPr>
            <w:tcW w:w="8848" w:type="dxa"/>
            <w:gridSpan w:val="14"/>
            <w:vAlign w:val="center"/>
          </w:tcPr>
          <w:p w14:paraId="1D686831">
            <w:pPr>
              <w:jc w:val="center"/>
            </w:pPr>
            <w:r>
              <w:rPr>
                <w:rFonts w:ascii="宋体" w:hAnsi="宋体" w:eastAsia="宋体"/>
                <w:sz w:val="24"/>
              </w:rPr>
              <w:t>项目支出绩效自评表</w:t>
            </w:r>
          </w:p>
        </w:tc>
      </w:tr>
      <w:tr w14:paraId="11E745D2">
        <w:tblPrEx>
          <w:tblCellMar>
            <w:top w:w="0" w:type="dxa"/>
            <w:left w:w="108" w:type="dxa"/>
            <w:bottom w:w="0" w:type="dxa"/>
            <w:right w:w="108" w:type="dxa"/>
          </w:tblCellMar>
        </w:tblPrEx>
        <w:tc>
          <w:tcPr>
            <w:tcW w:w="8848" w:type="dxa"/>
            <w:gridSpan w:val="14"/>
            <w:vAlign w:val="center"/>
          </w:tcPr>
          <w:p w14:paraId="6138270A">
            <w:pPr>
              <w:jc w:val="center"/>
            </w:pPr>
            <w:r>
              <w:rPr>
                <w:rFonts w:ascii="宋体" w:hAnsi="宋体" w:eastAsia="宋体"/>
                <w:sz w:val="24"/>
              </w:rPr>
              <w:t>(2024年度)</w:t>
            </w:r>
          </w:p>
        </w:tc>
      </w:tr>
      <w:tr w14:paraId="60E9E3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77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82607E">
            <w:pPr>
              <w:jc w:val="center"/>
            </w:pPr>
            <w:r>
              <w:rPr>
                <w:rFonts w:ascii="宋体" w:hAnsi="宋体" w:eastAsia="宋体"/>
                <w:sz w:val="16"/>
              </w:rPr>
              <w:t>英吉沙县工业园区固废填埋场建设项目前期费</w:t>
            </w:r>
          </w:p>
        </w:tc>
      </w:tr>
      <w:tr w14:paraId="33C2A9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7F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EFF746">
            <w:pPr>
              <w:jc w:val="center"/>
            </w:pPr>
            <w:r>
              <w:rPr>
                <w:rFonts w:ascii="宋体" w:hAnsi="宋体" w:eastAsia="宋体"/>
                <w:sz w:val="16"/>
              </w:rPr>
              <w:t>英吉沙工业园区管理委员会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C0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1CE820">
            <w:pPr>
              <w:jc w:val="center"/>
            </w:pPr>
            <w:r>
              <w:rPr>
                <w:rFonts w:ascii="宋体" w:hAnsi="宋体" w:eastAsia="宋体"/>
                <w:sz w:val="16"/>
              </w:rPr>
              <w:t>英吉沙工业园区管理委员会</w:t>
            </w:r>
          </w:p>
        </w:tc>
      </w:tr>
      <w:tr w14:paraId="545CB9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129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8F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DC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BE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248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BC3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B05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0C3D">
            <w:pPr>
              <w:jc w:val="center"/>
            </w:pPr>
            <w:r>
              <w:rPr>
                <w:rFonts w:ascii="宋体" w:hAnsi="宋体" w:eastAsia="宋体"/>
                <w:sz w:val="16"/>
              </w:rPr>
              <w:t>得分</w:t>
            </w:r>
          </w:p>
        </w:tc>
      </w:tr>
      <w:tr w14:paraId="0D024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1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581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32F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37AC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17B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67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586B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0172">
            <w:pPr>
              <w:jc w:val="center"/>
            </w:pPr>
            <w:r>
              <w:rPr>
                <w:rFonts w:ascii="宋体" w:hAnsi="宋体" w:eastAsia="宋体"/>
                <w:sz w:val="16"/>
              </w:rPr>
              <w:t>10.00分</w:t>
            </w:r>
          </w:p>
        </w:tc>
      </w:tr>
      <w:tr w14:paraId="1F02F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261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6FC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4FC7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2F3D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A05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AFD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89F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DC66">
            <w:pPr>
              <w:jc w:val="center"/>
            </w:pPr>
            <w:r>
              <w:rPr>
                <w:rFonts w:ascii="宋体" w:hAnsi="宋体" w:eastAsia="宋体"/>
                <w:sz w:val="16"/>
              </w:rPr>
              <w:t>—</w:t>
            </w:r>
          </w:p>
        </w:tc>
      </w:tr>
      <w:tr w14:paraId="5683C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7B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23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B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CE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D5B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4D2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24D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B018">
            <w:pPr>
              <w:jc w:val="center"/>
            </w:pPr>
            <w:r>
              <w:rPr>
                <w:rFonts w:ascii="宋体" w:hAnsi="宋体" w:eastAsia="宋体"/>
                <w:sz w:val="16"/>
              </w:rPr>
              <w:t>—</w:t>
            </w:r>
          </w:p>
        </w:tc>
      </w:tr>
      <w:tr w14:paraId="2E14A8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C30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930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7CFA8E">
            <w:pPr>
              <w:jc w:val="center"/>
            </w:pPr>
            <w:r>
              <w:rPr>
                <w:rFonts w:ascii="宋体" w:hAnsi="宋体" w:eastAsia="宋体"/>
                <w:sz w:val="16"/>
              </w:rPr>
              <w:t>实际完成情况</w:t>
            </w:r>
          </w:p>
        </w:tc>
      </w:tr>
      <w:tr w14:paraId="77BED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933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A8014">
            <w:pPr>
              <w:jc w:val="both"/>
            </w:pPr>
            <w:r>
              <w:rPr>
                <w:rFonts w:ascii="宋体" w:hAnsi="宋体" w:eastAsia="宋体"/>
                <w:sz w:val="16"/>
              </w:rPr>
              <w:t>该项目计划使用资金20万元，主要用于偿还1笔英吉沙县工业园区固废填埋场建设项目前期费。项目的实施，有效提升政府的公信力。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048212">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计划使用资金20万元，</w:t>
            </w:r>
            <w:r>
              <w:rPr>
                <w:rFonts w:hint="eastAsia" w:ascii="宋体" w:hAnsi="宋体"/>
                <w:sz w:val="16"/>
                <w:lang w:eastAsia="zh-CN"/>
              </w:rPr>
              <w:t>截至</w:t>
            </w:r>
            <w:r>
              <w:rPr>
                <w:rFonts w:ascii="宋体" w:hAnsi="宋体" w:eastAsia="宋体"/>
                <w:sz w:val="16"/>
              </w:rPr>
              <w:t>2024年12月已完成拨付20万元，主要用于偿还1笔英吉沙县工业园区固废填埋场建设项目前期费。项目的实施，有效提升政府的公信力。</w:t>
            </w:r>
          </w:p>
        </w:tc>
      </w:tr>
      <w:tr w14:paraId="07814A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5A5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5C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F0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0C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27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5F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AD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8B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32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65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13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26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E434">
            <w:pPr>
              <w:jc w:val="center"/>
            </w:pPr>
            <w:r>
              <w:rPr>
                <w:rFonts w:ascii="宋体" w:hAnsi="宋体" w:eastAsia="宋体"/>
                <w:sz w:val="16"/>
              </w:rPr>
              <w:t>偏差原因分析及改进措施</w:t>
            </w:r>
          </w:p>
        </w:tc>
      </w:tr>
      <w:tr w14:paraId="2D9504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A90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F3B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1C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FCC8">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77A3">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3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3A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5C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3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F1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515C">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58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0E7B4">
            <w:pPr>
              <w:jc w:val="center"/>
            </w:pPr>
          </w:p>
        </w:tc>
      </w:tr>
      <w:tr w14:paraId="501EF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6A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A2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DE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269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4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F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77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8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E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E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1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20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9F52">
            <w:pPr>
              <w:jc w:val="center"/>
            </w:pPr>
          </w:p>
        </w:tc>
      </w:tr>
      <w:tr w14:paraId="14BB1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69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08F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AD6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355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09C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3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4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C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F1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F4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1DA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7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2F4C">
            <w:pPr>
              <w:jc w:val="center"/>
            </w:pPr>
          </w:p>
        </w:tc>
      </w:tr>
      <w:tr w14:paraId="0B500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C9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F0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A1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A2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0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B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B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38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5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06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23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FD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F13C">
            <w:pPr>
              <w:jc w:val="center"/>
            </w:pPr>
          </w:p>
        </w:tc>
      </w:tr>
      <w:tr w14:paraId="3D0A2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F6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B2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5C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5DEA">
            <w:pPr>
              <w:jc w:val="center"/>
            </w:pPr>
            <w:r>
              <w:rPr>
                <w:rFonts w:ascii="宋体" w:hAnsi="宋体" w:eastAsia="宋体"/>
                <w:sz w:val="16"/>
              </w:rPr>
              <w:t>偿还项目前期费成本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ECD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4B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E1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00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F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7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619E">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63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5C62B">
            <w:pPr>
              <w:jc w:val="center"/>
            </w:pPr>
          </w:p>
        </w:tc>
      </w:tr>
      <w:tr w14:paraId="76032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41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87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6A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37B0">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E6F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B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0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C3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84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1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CA9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3A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81E37">
            <w:pPr>
              <w:jc w:val="center"/>
            </w:pPr>
          </w:p>
        </w:tc>
      </w:tr>
      <w:tr w14:paraId="496F7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08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00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FF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2425">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AA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6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43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B3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69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1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4B0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42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577E">
            <w:pPr>
              <w:jc w:val="center"/>
            </w:pPr>
          </w:p>
        </w:tc>
      </w:tr>
      <w:tr w14:paraId="30D6BA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80C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24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B5E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98C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3C023D"/>
        </w:tc>
      </w:tr>
    </w:tbl>
    <w:p w14:paraId="14CFC1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47B255B">
        <w:tblPrEx>
          <w:tblCellMar>
            <w:top w:w="0" w:type="dxa"/>
            <w:left w:w="108" w:type="dxa"/>
            <w:bottom w:w="0" w:type="dxa"/>
            <w:right w:w="108" w:type="dxa"/>
          </w:tblCellMar>
        </w:tblPrEx>
        <w:tc>
          <w:tcPr>
            <w:tcW w:w="8848" w:type="dxa"/>
            <w:gridSpan w:val="14"/>
            <w:vAlign w:val="center"/>
          </w:tcPr>
          <w:p w14:paraId="646BEDC8">
            <w:pPr>
              <w:jc w:val="center"/>
            </w:pPr>
            <w:r>
              <w:rPr>
                <w:rFonts w:ascii="宋体" w:hAnsi="宋体" w:eastAsia="宋体"/>
                <w:sz w:val="24"/>
              </w:rPr>
              <w:t>项目支出绩效自评表</w:t>
            </w:r>
          </w:p>
        </w:tc>
      </w:tr>
      <w:tr w14:paraId="57487A4D">
        <w:tblPrEx>
          <w:tblCellMar>
            <w:top w:w="0" w:type="dxa"/>
            <w:left w:w="108" w:type="dxa"/>
            <w:bottom w:w="0" w:type="dxa"/>
            <w:right w:w="108" w:type="dxa"/>
          </w:tblCellMar>
        </w:tblPrEx>
        <w:tc>
          <w:tcPr>
            <w:tcW w:w="8848" w:type="dxa"/>
            <w:gridSpan w:val="14"/>
            <w:vAlign w:val="center"/>
          </w:tcPr>
          <w:p w14:paraId="26E07FA9">
            <w:pPr>
              <w:jc w:val="center"/>
            </w:pPr>
            <w:r>
              <w:rPr>
                <w:rFonts w:ascii="宋体" w:hAnsi="宋体" w:eastAsia="宋体"/>
                <w:sz w:val="24"/>
              </w:rPr>
              <w:t>(2024年度)</w:t>
            </w:r>
          </w:p>
        </w:tc>
      </w:tr>
      <w:tr w14:paraId="47063D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34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6C8F6B">
            <w:pPr>
              <w:jc w:val="center"/>
            </w:pPr>
            <w:r>
              <w:rPr>
                <w:rFonts w:ascii="宋体" w:hAnsi="宋体" w:eastAsia="宋体"/>
                <w:sz w:val="16"/>
              </w:rPr>
              <w:t>英吉沙工业园区专项债券付息项目</w:t>
            </w:r>
          </w:p>
        </w:tc>
      </w:tr>
      <w:tr w14:paraId="51560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5D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4FADD">
            <w:pPr>
              <w:jc w:val="center"/>
            </w:pPr>
            <w:r>
              <w:rPr>
                <w:rFonts w:ascii="宋体" w:hAnsi="宋体" w:eastAsia="宋体"/>
                <w:sz w:val="16"/>
              </w:rPr>
              <w:t>英吉沙工业园区管理委员会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8D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172C1">
            <w:pPr>
              <w:jc w:val="center"/>
            </w:pPr>
            <w:r>
              <w:rPr>
                <w:rFonts w:ascii="宋体" w:hAnsi="宋体" w:eastAsia="宋体"/>
                <w:sz w:val="16"/>
              </w:rPr>
              <w:t>英吉沙工业园区管理委员会</w:t>
            </w:r>
          </w:p>
        </w:tc>
      </w:tr>
      <w:tr w14:paraId="22BD10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EBD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4B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E89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66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029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EC6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9D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B8DD">
            <w:pPr>
              <w:jc w:val="center"/>
            </w:pPr>
            <w:r>
              <w:rPr>
                <w:rFonts w:ascii="宋体" w:hAnsi="宋体" w:eastAsia="宋体"/>
                <w:sz w:val="16"/>
              </w:rPr>
              <w:t>得分</w:t>
            </w:r>
          </w:p>
        </w:tc>
      </w:tr>
      <w:tr w14:paraId="5A738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16D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08A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BA98">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8004">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C813C">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9D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BEB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A96A">
            <w:pPr>
              <w:jc w:val="center"/>
            </w:pPr>
            <w:r>
              <w:rPr>
                <w:rFonts w:ascii="宋体" w:hAnsi="宋体" w:eastAsia="宋体"/>
                <w:sz w:val="16"/>
              </w:rPr>
              <w:t>10.00分</w:t>
            </w:r>
          </w:p>
        </w:tc>
      </w:tr>
      <w:tr w14:paraId="75721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FA0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583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F61B4">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97543">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CAB48">
            <w:pPr>
              <w:jc w:val="center"/>
            </w:pPr>
            <w:r>
              <w:rPr>
                <w:rFonts w:ascii="宋体" w:hAnsi="宋体" w:eastAsia="宋体"/>
                <w:sz w:val="16"/>
              </w:rPr>
              <w:t>133.81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22D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A29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76BA">
            <w:pPr>
              <w:jc w:val="center"/>
            </w:pPr>
            <w:r>
              <w:rPr>
                <w:rFonts w:ascii="宋体" w:hAnsi="宋体" w:eastAsia="宋体"/>
                <w:sz w:val="16"/>
              </w:rPr>
              <w:t>—</w:t>
            </w:r>
          </w:p>
        </w:tc>
      </w:tr>
      <w:tr w14:paraId="44212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C7D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547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56B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2A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60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21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B0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FE2B">
            <w:pPr>
              <w:jc w:val="center"/>
            </w:pPr>
            <w:r>
              <w:rPr>
                <w:rFonts w:ascii="宋体" w:hAnsi="宋体" w:eastAsia="宋体"/>
                <w:sz w:val="16"/>
              </w:rPr>
              <w:t>—</w:t>
            </w:r>
          </w:p>
        </w:tc>
      </w:tr>
      <w:tr w14:paraId="1C25F2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7FA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AB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FDEA6C">
            <w:pPr>
              <w:jc w:val="center"/>
            </w:pPr>
            <w:r>
              <w:rPr>
                <w:rFonts w:ascii="宋体" w:hAnsi="宋体" w:eastAsia="宋体"/>
                <w:sz w:val="16"/>
              </w:rPr>
              <w:t>实际完成情况</w:t>
            </w:r>
          </w:p>
        </w:tc>
      </w:tr>
      <w:tr w14:paraId="197C2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74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680849">
            <w:pPr>
              <w:jc w:val="both"/>
            </w:pPr>
            <w:r>
              <w:rPr>
                <w:rFonts w:ascii="宋体" w:hAnsi="宋体" w:eastAsia="宋体"/>
                <w:sz w:val="16"/>
              </w:rPr>
              <w:t>该项目计划使用资金133.81万元，主要用于偿还英吉沙工业园区固废填埋场建设项目转贷的专项债券利息资金33.901696万元，用于偿还喀什地区英吉沙县工业园区纺织服装产业园标准厂房建设项目转贷的专项债券利息资金99.904995万元。项目的实施，有效提升政府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11173">
            <w:pPr>
              <w:jc w:val="both"/>
            </w:pPr>
            <w:r>
              <w:rPr>
                <w:rFonts w:ascii="宋体" w:hAnsi="宋体" w:eastAsia="宋体"/>
                <w:sz w:val="16"/>
              </w:rPr>
              <w:t>该项目实际使用资金133.81万元，用于偿还英吉沙工业园区固废填埋场建设项目转贷的专项债券利息资金33.901696万元，用于偿还喀什地区英吉沙县工业园区纺织服装产业园标准厂房建设项目转贷的专项债券利息资金99.904995万元。项目的实施，有效提升政府的公信力。</w:t>
            </w:r>
          </w:p>
        </w:tc>
      </w:tr>
      <w:tr w14:paraId="7C0BB8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BA6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11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60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CE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4C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0A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BA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A5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0D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63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AF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E0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78CBA">
            <w:pPr>
              <w:jc w:val="center"/>
            </w:pPr>
            <w:r>
              <w:rPr>
                <w:rFonts w:ascii="宋体" w:hAnsi="宋体" w:eastAsia="宋体"/>
                <w:sz w:val="16"/>
              </w:rPr>
              <w:t>偏差原因分析及改进措施</w:t>
            </w:r>
          </w:p>
        </w:tc>
      </w:tr>
      <w:tr w14:paraId="4174AB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C00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AFF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5A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3F17">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30F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A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591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CE3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4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6C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8E4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0518">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20A5F">
            <w:pPr>
              <w:jc w:val="center"/>
            </w:pPr>
          </w:p>
        </w:tc>
      </w:tr>
      <w:tr w14:paraId="1A349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0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020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6EA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68EB">
            <w:pPr>
              <w:jc w:val="center"/>
            </w:pPr>
            <w:r>
              <w:rPr>
                <w:rFonts w:ascii="宋体" w:hAnsi="宋体" w:eastAsia="宋体"/>
                <w:sz w:val="16"/>
              </w:rPr>
              <w:t>2021年专项债贴息率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08B4">
            <w:pPr>
              <w:jc w:val="center"/>
            </w:pPr>
            <w:r>
              <w:rPr>
                <w:rFonts w:ascii="宋体" w:hAnsi="宋体" w:eastAsia="宋体"/>
                <w:sz w:val="16"/>
              </w:rPr>
              <w:t>=3.39%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A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8CE6">
            <w:pPr>
              <w:jc w:val="center"/>
            </w:pPr>
            <w:r>
              <w:rPr>
                <w:rFonts w:ascii="宋体" w:hAnsi="宋体" w:eastAsia="宋体"/>
                <w:sz w:val="16"/>
              </w:rPr>
              <w:t>3.39%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C2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F4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7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87A6">
            <w:pPr>
              <w:jc w:val="center"/>
            </w:pPr>
            <w:r>
              <w:rPr>
                <w:rFonts w:ascii="宋体" w:hAnsi="宋体" w:eastAsia="宋体"/>
                <w:sz w:val="16"/>
              </w:rPr>
              <w:t>=3.39%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C61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619D">
            <w:pPr>
              <w:jc w:val="center"/>
            </w:pPr>
          </w:p>
        </w:tc>
      </w:tr>
      <w:tr w14:paraId="7594A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36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BE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DA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12CB">
            <w:pPr>
              <w:jc w:val="center"/>
            </w:pPr>
            <w:r>
              <w:rPr>
                <w:rFonts w:ascii="宋体" w:hAnsi="宋体" w:eastAsia="宋体"/>
                <w:sz w:val="16"/>
              </w:rPr>
              <w:t>2022年专项债贴息率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3DA0">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4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A3DF">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61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6D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4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ED16">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247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C66D">
            <w:pPr>
              <w:jc w:val="center"/>
            </w:pPr>
          </w:p>
        </w:tc>
      </w:tr>
      <w:tr w14:paraId="1B532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FF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724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E43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BD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BD4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D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0441">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6C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9B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F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42F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D18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FFBB">
            <w:pPr>
              <w:jc w:val="center"/>
            </w:pPr>
          </w:p>
        </w:tc>
      </w:tr>
      <w:tr w14:paraId="6F666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3F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75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4E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47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4C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D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6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C7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88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42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8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35D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15F7">
            <w:pPr>
              <w:jc w:val="center"/>
            </w:pPr>
          </w:p>
        </w:tc>
      </w:tr>
      <w:tr w14:paraId="7801E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A4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151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4DF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1B50">
            <w:pPr>
              <w:jc w:val="center"/>
            </w:pPr>
            <w:r>
              <w:rPr>
                <w:rFonts w:ascii="宋体" w:hAnsi="宋体" w:eastAsia="宋体"/>
                <w:sz w:val="16"/>
              </w:rPr>
              <w:t>2021年专项债贴息成本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CC0B">
            <w:pPr>
              <w:jc w:val="center"/>
            </w:pPr>
            <w:r>
              <w:rPr>
                <w:rFonts w:ascii="宋体" w:hAnsi="宋体" w:eastAsia="宋体"/>
                <w:sz w:val="16"/>
              </w:rPr>
              <w:t>&lt;=33.90万元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14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D7C9">
            <w:pPr>
              <w:jc w:val="center"/>
            </w:pPr>
            <w:r>
              <w:rPr>
                <w:rFonts w:ascii="宋体" w:hAnsi="宋体" w:eastAsia="宋体"/>
                <w:sz w:val="16"/>
              </w:rPr>
              <w:t>33.90万元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97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4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16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7DA0">
            <w:pPr>
              <w:jc w:val="center"/>
            </w:pPr>
            <w:r>
              <w:rPr>
                <w:rFonts w:ascii="宋体" w:hAnsi="宋体" w:eastAsia="宋体"/>
                <w:sz w:val="16"/>
              </w:rPr>
              <w: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4F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66D0">
            <w:pPr>
              <w:jc w:val="center"/>
            </w:pPr>
          </w:p>
        </w:tc>
      </w:tr>
      <w:tr w14:paraId="42F10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9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C2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D0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2C70">
            <w:pPr>
              <w:jc w:val="center"/>
            </w:pPr>
            <w:r>
              <w:rPr>
                <w:rFonts w:ascii="宋体" w:hAnsi="宋体" w:eastAsia="宋体"/>
                <w:sz w:val="16"/>
              </w:rPr>
              <w:t>2022年专项债贴息成本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C950">
            <w:pPr>
              <w:jc w:val="center"/>
            </w:pPr>
            <w:r>
              <w:rPr>
                <w:rFonts w:ascii="宋体" w:hAnsi="宋体" w:eastAsia="宋体"/>
                <w:sz w:val="16"/>
              </w:rPr>
              <w:t>&lt;=99.91万元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B9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90DA">
            <w:pPr>
              <w:jc w:val="center"/>
            </w:pPr>
            <w:r>
              <w:rPr>
                <w:rFonts w:ascii="宋体" w:hAnsi="宋体" w:eastAsia="宋体"/>
                <w:sz w:val="16"/>
              </w:rPr>
              <w:t>99.91万元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68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5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7B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549A">
            <w:pPr>
              <w:jc w:val="center"/>
            </w:pPr>
            <w:r>
              <w:rPr>
                <w:rFonts w:ascii="宋体" w:hAnsi="宋体" w:eastAsia="宋体"/>
                <w:sz w:val="16"/>
              </w:rPr>
              <w:t>=99.91万元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21B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8870D">
            <w:pPr>
              <w:jc w:val="center"/>
            </w:pPr>
          </w:p>
        </w:tc>
      </w:tr>
      <w:tr w14:paraId="34FFD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E4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10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03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8CED">
            <w:pPr>
              <w:jc w:val="center"/>
            </w:pPr>
            <w:r>
              <w:rPr>
                <w:rFonts w:ascii="宋体" w:hAnsi="宋体" w:eastAsia="宋体"/>
                <w:sz w:val="16"/>
              </w:rPr>
              <w:t>有效提升政府的公信力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F50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2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AB9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25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67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4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7D1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B4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E8EE">
            <w:pPr>
              <w:jc w:val="center"/>
            </w:pPr>
          </w:p>
        </w:tc>
      </w:tr>
      <w:tr w14:paraId="1A47E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03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81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F5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0D71">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32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9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45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A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45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3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4E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B7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AEA7">
            <w:pPr>
              <w:jc w:val="center"/>
            </w:pPr>
          </w:p>
        </w:tc>
      </w:tr>
      <w:tr w14:paraId="4EAA90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AD8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29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02B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78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078409"/>
        </w:tc>
      </w:tr>
    </w:tbl>
    <w:p w14:paraId="233E19ED">
      <w:r>
        <w:br w:type="page"/>
      </w:r>
    </w:p>
    <w:p w14:paraId="7B629F80">
      <w:pPr>
        <w:spacing w:line="640" w:lineRule="exact"/>
        <w:ind w:firstLine="640"/>
        <w:jc w:val="both"/>
        <w:outlineLvl w:val="2"/>
      </w:pPr>
      <w:r>
        <w:rPr>
          <w:rFonts w:ascii="黑体" w:hAnsi="黑体" w:eastAsia="黑体"/>
          <w:sz w:val="32"/>
        </w:rPr>
        <w:t>十二、其他需说明的事项</w:t>
      </w:r>
    </w:p>
    <w:p w14:paraId="1A33F5A8">
      <w:pPr>
        <w:spacing w:line="580" w:lineRule="exact"/>
        <w:ind w:firstLine="640"/>
        <w:jc w:val="both"/>
      </w:pPr>
      <w:r>
        <w:rPr>
          <w:rFonts w:ascii="仿宋_GB2312" w:hAnsi="仿宋_GB2312" w:eastAsia="仿宋_GB2312"/>
          <w:b w:val="0"/>
          <w:sz w:val="32"/>
        </w:rPr>
        <w:t>本单位无其他需说明的事项。</w:t>
      </w:r>
    </w:p>
    <w:p w14:paraId="0F96EB40">
      <w:r>
        <w:br w:type="page"/>
      </w:r>
    </w:p>
    <w:p w14:paraId="6AB27318">
      <w:pPr>
        <w:spacing w:line="240" w:lineRule="auto"/>
        <w:jc w:val="center"/>
        <w:outlineLvl w:val="1"/>
      </w:pPr>
      <w:r>
        <w:rPr>
          <w:rFonts w:ascii="黑体" w:hAnsi="黑体" w:eastAsia="黑体"/>
          <w:sz w:val="32"/>
        </w:rPr>
        <w:t>第三部分 专业名词解释</w:t>
      </w:r>
    </w:p>
    <w:p w14:paraId="0C02C56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32BF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2783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51B1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C088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88BC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78FF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9CE44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3A45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BA52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82EA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7B6C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B1F46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C7A87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FC9674">
      <w:r>
        <w:br w:type="page"/>
      </w:r>
    </w:p>
    <w:p w14:paraId="2903FE55">
      <w:pPr>
        <w:spacing w:line="240" w:lineRule="auto"/>
        <w:jc w:val="center"/>
        <w:outlineLvl w:val="1"/>
      </w:pPr>
      <w:r>
        <w:rPr>
          <w:rFonts w:ascii="黑体" w:hAnsi="黑体" w:eastAsia="黑体"/>
          <w:sz w:val="32"/>
        </w:rPr>
        <w:t>第四部分 部门决算报表（见附表）</w:t>
      </w:r>
    </w:p>
    <w:p w14:paraId="192B316F">
      <w:pPr>
        <w:spacing w:line="240" w:lineRule="auto"/>
        <w:ind w:firstLine="640"/>
        <w:jc w:val="both"/>
      </w:pPr>
      <w:r>
        <w:rPr>
          <w:rFonts w:ascii="仿宋_GB2312" w:hAnsi="仿宋_GB2312" w:eastAsia="仿宋_GB2312"/>
          <w:b w:val="0"/>
          <w:sz w:val="32"/>
        </w:rPr>
        <w:t>一、《收入支出决算总表》</w:t>
      </w:r>
    </w:p>
    <w:p w14:paraId="23BBA661">
      <w:pPr>
        <w:spacing w:line="240" w:lineRule="auto"/>
        <w:ind w:firstLine="640"/>
        <w:jc w:val="both"/>
      </w:pPr>
      <w:r>
        <w:rPr>
          <w:rFonts w:ascii="仿宋_GB2312" w:hAnsi="仿宋_GB2312" w:eastAsia="仿宋_GB2312"/>
          <w:b w:val="0"/>
          <w:sz w:val="32"/>
        </w:rPr>
        <w:t>二、《收入决算表》</w:t>
      </w:r>
    </w:p>
    <w:p w14:paraId="729C1315">
      <w:pPr>
        <w:spacing w:line="240" w:lineRule="auto"/>
        <w:ind w:firstLine="640"/>
        <w:jc w:val="both"/>
      </w:pPr>
      <w:r>
        <w:rPr>
          <w:rFonts w:ascii="仿宋_GB2312" w:hAnsi="仿宋_GB2312" w:eastAsia="仿宋_GB2312"/>
          <w:b w:val="0"/>
          <w:sz w:val="32"/>
        </w:rPr>
        <w:t>三、《支出决算表》</w:t>
      </w:r>
    </w:p>
    <w:p w14:paraId="0F0FF2A6">
      <w:pPr>
        <w:spacing w:line="240" w:lineRule="auto"/>
        <w:ind w:firstLine="640"/>
        <w:jc w:val="both"/>
      </w:pPr>
      <w:r>
        <w:rPr>
          <w:rFonts w:ascii="仿宋_GB2312" w:hAnsi="仿宋_GB2312" w:eastAsia="仿宋_GB2312"/>
          <w:b w:val="0"/>
          <w:sz w:val="32"/>
        </w:rPr>
        <w:t>四、《财政拨款收入支出决算总表》</w:t>
      </w:r>
    </w:p>
    <w:p w14:paraId="11EB6082">
      <w:pPr>
        <w:spacing w:line="240" w:lineRule="auto"/>
        <w:ind w:firstLine="640"/>
        <w:jc w:val="both"/>
      </w:pPr>
      <w:r>
        <w:rPr>
          <w:rFonts w:ascii="仿宋_GB2312" w:hAnsi="仿宋_GB2312" w:eastAsia="仿宋_GB2312"/>
          <w:b w:val="0"/>
          <w:sz w:val="32"/>
        </w:rPr>
        <w:t>五、《一般公共预算财政拨款支出决算表》</w:t>
      </w:r>
    </w:p>
    <w:p w14:paraId="6F1B76FC">
      <w:pPr>
        <w:spacing w:line="240" w:lineRule="auto"/>
        <w:ind w:firstLine="640"/>
        <w:jc w:val="both"/>
      </w:pPr>
      <w:r>
        <w:rPr>
          <w:rFonts w:ascii="仿宋_GB2312" w:hAnsi="仿宋_GB2312" w:eastAsia="仿宋_GB2312"/>
          <w:b w:val="0"/>
          <w:sz w:val="32"/>
        </w:rPr>
        <w:t>六、《一般公共预算财政拨款基本支出决算表》</w:t>
      </w:r>
    </w:p>
    <w:p w14:paraId="36010DF0">
      <w:pPr>
        <w:spacing w:line="240" w:lineRule="auto"/>
        <w:ind w:firstLine="640"/>
        <w:jc w:val="both"/>
      </w:pPr>
      <w:r>
        <w:rPr>
          <w:rFonts w:ascii="仿宋_GB2312" w:hAnsi="仿宋_GB2312" w:eastAsia="仿宋_GB2312"/>
          <w:b w:val="0"/>
          <w:sz w:val="32"/>
        </w:rPr>
        <w:t>七、《政府性基金预算财政拨款收入支出决算表》</w:t>
      </w:r>
    </w:p>
    <w:p w14:paraId="23A55A8E">
      <w:pPr>
        <w:spacing w:line="240" w:lineRule="auto"/>
        <w:ind w:firstLine="640"/>
        <w:jc w:val="both"/>
      </w:pPr>
      <w:r>
        <w:rPr>
          <w:rFonts w:ascii="仿宋_GB2312" w:hAnsi="仿宋_GB2312" w:eastAsia="仿宋_GB2312"/>
          <w:b w:val="0"/>
          <w:sz w:val="32"/>
        </w:rPr>
        <w:t>八、《国有资本经营预算财政拨款收入支出决算表》</w:t>
      </w:r>
    </w:p>
    <w:p w14:paraId="39490978">
      <w:pPr>
        <w:spacing w:line="240" w:lineRule="auto"/>
        <w:ind w:firstLine="640"/>
        <w:jc w:val="both"/>
      </w:pPr>
      <w:r>
        <w:rPr>
          <w:rFonts w:ascii="仿宋_GB2312" w:hAnsi="仿宋_GB2312" w:eastAsia="仿宋_GB2312"/>
          <w:b w:val="0"/>
          <w:sz w:val="32"/>
        </w:rPr>
        <w:t>九、《财政拨款“三公”经费支出决算表》</w:t>
      </w:r>
    </w:p>
    <w:p w14:paraId="0EAFBEAE">
      <w:pPr>
        <w:spacing w:line="240" w:lineRule="auto"/>
        <w:ind w:firstLine="640"/>
        <w:jc w:val="both"/>
      </w:pPr>
    </w:p>
    <w:p w14:paraId="54D7343B">
      <w:pPr>
        <w:spacing w:line="240" w:lineRule="auto"/>
        <w:ind w:firstLine="640"/>
        <w:jc w:val="both"/>
      </w:pPr>
    </w:p>
    <w:p w14:paraId="46ACFCE3">
      <w:pPr>
        <w:spacing w:line="240" w:lineRule="auto"/>
        <w:ind w:firstLine="640"/>
        <w:jc w:val="both"/>
      </w:pPr>
    </w:p>
    <w:p w14:paraId="1A670834">
      <w:pPr>
        <w:spacing w:line="240" w:lineRule="auto"/>
        <w:ind w:firstLine="640"/>
        <w:jc w:val="both"/>
      </w:pPr>
    </w:p>
    <w:p w14:paraId="70F8C0D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4BC3FEE"/>
    <w:rsid w:val="06792773"/>
    <w:rsid w:val="09A729D8"/>
    <w:rsid w:val="0A3C58E8"/>
    <w:rsid w:val="0A7B4867"/>
    <w:rsid w:val="0B8C3ECC"/>
    <w:rsid w:val="0C3613A3"/>
    <w:rsid w:val="0C7227A7"/>
    <w:rsid w:val="0DCA6EF7"/>
    <w:rsid w:val="0E4B1576"/>
    <w:rsid w:val="0EA04331"/>
    <w:rsid w:val="0F9811B3"/>
    <w:rsid w:val="11E15093"/>
    <w:rsid w:val="120E0809"/>
    <w:rsid w:val="19071D6C"/>
    <w:rsid w:val="19911A7C"/>
    <w:rsid w:val="19B5554D"/>
    <w:rsid w:val="1B8F2D19"/>
    <w:rsid w:val="1C317E4F"/>
    <w:rsid w:val="1C472464"/>
    <w:rsid w:val="1DAF458D"/>
    <w:rsid w:val="1E086ACE"/>
    <w:rsid w:val="1E4B5CA5"/>
    <w:rsid w:val="1EAA4A5F"/>
    <w:rsid w:val="1F587A0B"/>
    <w:rsid w:val="2064678E"/>
    <w:rsid w:val="2071031A"/>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9943B6"/>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5992</Words>
  <Characters>6837</Characters>
  <Lines>0</Lines>
  <Paragraphs>0</Paragraphs>
  <TotalTime>12</TotalTime>
  <ScaleCrop>false</ScaleCrop>
  <LinksUpToDate>false</LinksUpToDate>
  <CharactersWithSpaces>6845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