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400954"/>
    <w:p w14:paraId="3D3D3E02">
      <w:pPr>
        <w:spacing w:line="570" w:lineRule="exact"/>
        <w:jc w:val="center"/>
        <w:rPr>
          <w:rFonts w:ascii="华文中宋" w:hAnsi="华文中宋" w:eastAsia="华文中宋" w:cs="宋体"/>
          <w:b/>
          <w:kern w:val="0"/>
          <w:sz w:val="52"/>
          <w:szCs w:val="52"/>
        </w:rPr>
      </w:pPr>
    </w:p>
    <w:p w14:paraId="625FEA80">
      <w:pPr>
        <w:spacing w:line="570" w:lineRule="exact"/>
        <w:jc w:val="center"/>
        <w:rPr>
          <w:rFonts w:ascii="华文中宋" w:hAnsi="华文中宋" w:eastAsia="华文中宋" w:cs="宋体"/>
          <w:b/>
          <w:kern w:val="0"/>
          <w:sz w:val="52"/>
          <w:szCs w:val="52"/>
        </w:rPr>
      </w:pPr>
    </w:p>
    <w:p w14:paraId="2D3DB04C">
      <w:pPr>
        <w:spacing w:line="570" w:lineRule="exact"/>
        <w:jc w:val="center"/>
        <w:rPr>
          <w:rFonts w:ascii="华文中宋" w:hAnsi="华文中宋" w:eastAsia="华文中宋" w:cs="宋体"/>
          <w:b/>
          <w:kern w:val="0"/>
          <w:sz w:val="52"/>
          <w:szCs w:val="52"/>
        </w:rPr>
      </w:pPr>
    </w:p>
    <w:p w14:paraId="26B992CB">
      <w:pPr>
        <w:spacing w:line="570" w:lineRule="exact"/>
        <w:jc w:val="center"/>
        <w:rPr>
          <w:rFonts w:ascii="华文中宋" w:hAnsi="华文中宋" w:eastAsia="华文中宋" w:cs="宋体"/>
          <w:b/>
          <w:kern w:val="0"/>
          <w:sz w:val="52"/>
          <w:szCs w:val="52"/>
        </w:rPr>
      </w:pPr>
    </w:p>
    <w:p w14:paraId="1FF37613">
      <w:pPr>
        <w:spacing w:line="570" w:lineRule="exact"/>
        <w:jc w:val="both"/>
        <w:rPr>
          <w:rFonts w:ascii="华文中宋" w:hAnsi="华文中宋" w:eastAsia="华文中宋" w:cs="宋体"/>
          <w:b/>
          <w:kern w:val="0"/>
          <w:sz w:val="52"/>
          <w:szCs w:val="52"/>
        </w:rPr>
      </w:pPr>
    </w:p>
    <w:p w14:paraId="6BAC0864">
      <w:pPr>
        <w:spacing w:line="570" w:lineRule="exact"/>
        <w:jc w:val="center"/>
        <w:rPr>
          <w:rFonts w:ascii="华文中宋" w:hAnsi="华文中宋" w:eastAsia="华文中宋" w:cs="宋体"/>
          <w:b/>
          <w:kern w:val="0"/>
          <w:sz w:val="52"/>
          <w:szCs w:val="52"/>
        </w:rPr>
      </w:pPr>
    </w:p>
    <w:p w14:paraId="0B160FF8">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645A2608">
      <w:pPr>
        <w:spacing w:line="570" w:lineRule="exact"/>
        <w:jc w:val="center"/>
        <w:rPr>
          <w:rFonts w:ascii="华文中宋" w:hAnsi="华文中宋" w:eastAsia="华文中宋" w:cs="宋体"/>
          <w:b/>
          <w:kern w:val="0"/>
          <w:sz w:val="52"/>
          <w:szCs w:val="52"/>
        </w:rPr>
      </w:pPr>
    </w:p>
    <w:p w14:paraId="0E0D7E0F">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1EF06AFB">
      <w:pPr>
        <w:spacing w:line="570" w:lineRule="exact"/>
        <w:jc w:val="center"/>
        <w:rPr>
          <w:rFonts w:hAnsi="宋体" w:eastAsia="仿宋_GB2312" w:cs="宋体"/>
          <w:kern w:val="0"/>
          <w:sz w:val="30"/>
          <w:szCs w:val="30"/>
        </w:rPr>
      </w:pPr>
    </w:p>
    <w:p w14:paraId="12526010">
      <w:pPr>
        <w:spacing w:line="570" w:lineRule="exact"/>
        <w:jc w:val="center"/>
        <w:rPr>
          <w:rFonts w:hAnsi="宋体" w:eastAsia="仿宋_GB2312" w:cs="宋体"/>
          <w:kern w:val="0"/>
          <w:sz w:val="30"/>
          <w:szCs w:val="30"/>
        </w:rPr>
      </w:pPr>
    </w:p>
    <w:p w14:paraId="74F3F5A0">
      <w:pPr>
        <w:spacing w:line="570" w:lineRule="exact"/>
        <w:jc w:val="center"/>
        <w:rPr>
          <w:rFonts w:hAnsi="宋体" w:eastAsia="仿宋_GB2312" w:cs="宋体"/>
          <w:kern w:val="0"/>
          <w:sz w:val="30"/>
          <w:szCs w:val="30"/>
        </w:rPr>
      </w:pPr>
    </w:p>
    <w:p w14:paraId="6FC9C755">
      <w:pPr>
        <w:spacing w:line="570" w:lineRule="exact"/>
        <w:jc w:val="center"/>
        <w:rPr>
          <w:rFonts w:hAnsi="宋体" w:eastAsia="仿宋_GB2312" w:cs="宋体"/>
          <w:kern w:val="0"/>
          <w:sz w:val="30"/>
          <w:szCs w:val="30"/>
        </w:rPr>
      </w:pPr>
    </w:p>
    <w:p w14:paraId="1AF9ED8F">
      <w:pPr>
        <w:spacing w:line="570" w:lineRule="exact"/>
        <w:jc w:val="center"/>
        <w:rPr>
          <w:rFonts w:hAnsi="宋体" w:eastAsia="仿宋_GB2312" w:cs="宋体"/>
          <w:kern w:val="0"/>
          <w:sz w:val="30"/>
          <w:szCs w:val="30"/>
        </w:rPr>
      </w:pPr>
    </w:p>
    <w:p w14:paraId="4B424A29">
      <w:pPr>
        <w:spacing w:line="570" w:lineRule="exact"/>
        <w:jc w:val="center"/>
        <w:rPr>
          <w:rFonts w:hAnsi="宋体" w:eastAsia="仿宋_GB2312" w:cs="宋体"/>
          <w:kern w:val="0"/>
          <w:sz w:val="30"/>
          <w:szCs w:val="30"/>
        </w:rPr>
      </w:pPr>
    </w:p>
    <w:p w14:paraId="3CD9C905">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英吉沙县国泰工业园区网络设备采购项目</w:t>
      </w:r>
    </w:p>
    <w:p w14:paraId="24A73CF8">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英吉沙工业园区管理委员会</w:t>
      </w:r>
      <w:bookmarkStart w:id="0" w:name="_GoBack"/>
      <w:bookmarkEnd w:id="0"/>
    </w:p>
    <w:p w14:paraId="1EDBE432">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英吉沙工业园区管理委员会</w:t>
      </w:r>
    </w:p>
    <w:p w14:paraId="3AD51035">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张涛</w:t>
      </w:r>
    </w:p>
    <w:p w14:paraId="15ED591B">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2025年01月24日</w:t>
      </w:r>
    </w:p>
    <w:p w14:paraId="58E2A859">
      <w:pPr>
        <w:rPr>
          <w:rStyle w:val="19"/>
          <w:rFonts w:hint="eastAsia" w:ascii="仿宋" w:hAnsi="仿宋" w:eastAsia="仿宋" w:cs="仿宋"/>
          <w:b w:val="0"/>
          <w:bCs w:val="0"/>
          <w:spacing w:val="-4"/>
          <w:sz w:val="32"/>
          <w:szCs w:val="32"/>
        </w:rPr>
      </w:pPr>
      <w:r>
        <w:br w:type="page"/>
      </w:r>
    </w:p>
    <w:p w14:paraId="0C508A30">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14:paraId="3DE72EFE">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14:paraId="0B4AAC45">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关于拨付英吉沙县国泰工业园区网络设备采购项目的请示》文件等相关政策文件与规定，该项目主要用于偿还英吉沙县国泰工业园区网络设备采购项目，为欠款项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（1）项目主要内容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该项目计划使用资金500万元，主要用于偿还1笔英吉沙县国泰工业园区网络设备采购费目。项目的实施，有效提升政府的公信力。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前由项目负责人张峰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英吉沙工业园区管理委员会为全额事业单位，纳入2024年部门决算编制范围的有5个办公室：综合&lt;党建&gt;办公室、就业服务中心、政务服务中心、招商发展中心、财务中心。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本单位主要职能为：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编制人数16人，全部为事业编制。实有在职人数14人，即事业在职14人。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（1）资金投入情况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本项目根据《关于拨付英吉沙县国泰工业园区网络设备采购项目的请示》，共安排下达资金500万元，为县级资金，最终确定项目资金总数为500万元，其中：财政资金500万元，其他资金0万元。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（2）资金使用情况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截至2024年12月31日，该项目实际支出金额为500万元，预算执行率100%，资金主要用于：偿还英吉沙县国泰工业园区网络设备采购。</w:t>
      </w:r>
    </w:p>
    <w:p w14:paraId="585CE732">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14:paraId="05B49B36">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该项目计划使用资金500万元，主要用于偿还1笔英吉沙县国泰工业园区网络设备采购费目。项目的实施，有效提升政府的公信力。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为进一步深入预算绩效管理理念，提高财政资金使用效益，确保项目顺利实施及时完成、项目资金使用合规，充分发挥财政资金效益。加强对预算绩效管理、绩效评价工作领导管理，特成立全面实施预算绩效管理领导小组，统筹预算绩效管理、绩效评价管理工作。领导小组构成如下： 组长：刘绪伟，负责组织实施、指导本单位的绩效管理工作。 副组长：张峰，负责协助组长组织实施、指导本单位的绩效管理工作。 成员：丁翔，负责预算绩效管理实施、评价和监督等日常工作；负责编制下一年度预算或追加预算时，应同时编制预算绩效计划，报送绩效目标；对预算绩效执行进行绩效监督检查和控制，按要求向本级财政局报告绩效目标执行情况和预算绩效管理情况，并按规定公开相关信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具体实施工作：对欠款涉及单位提供的财务资料进行审核，符合支付条件的则正常办理资金拨付手续。主要涉及：网络设备采购费500万。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验收阶段的具体工作：截至2024年12月31日，500万前期费均在资料提供完备及审验合格情况下完成支出，预算执行率100%。</w:t>
      </w:r>
    </w:p>
    <w:p w14:paraId="401841FD">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14:paraId="5C90D83D">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14:paraId="132832F8">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1.绩效评价完整性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结合地区实际情况，实施部门项目绩效评价的具体目的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（1）评估项目实施效果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通过对项目预算执行情况及各项绩效目标达成程度的系统性分析，全面、客观地评估项目在预定周期内的实施效果，包括社会效益、受益对象满意度等多维度指标，为项目后续的改进与优化提供科学依据。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（2）提升资源利用效率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（3）强化项目管理责任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（4）为决策提供支持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（5）促进项目持续改进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政策文件规定，以英吉沙县国泰工业园区网络设备采购项目为评价对象，对该项目资金决策、项目实施过程，以及项目实施所带来的产出和效果为主要内容，促进预算单位完成特定工作任务目标而组织开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本项目预算绩效评价报告的评价范围广泛而全面，涵盖了从项目立项至评价时点期间的所有关键预算活动和财务流程。具体而言，评价范围包括但不限于以下几个方面：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（1）项目预算编制与执行：全面审视项目预算的编制依据、合理性、科学性以及实际执行情况，包括预算调整的原因和效果。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（2）资金管理：深入分析项目资金的分配、使用和监管情况，确保资金使用的合规性、高效性和透明度。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（3）项目实施进度与产出：评估项目是否按照既定计划顺利推进，各项任务是否按时完成，以及项目产出的数量、质量和时效性是否符合预期。</w:t>
      </w:r>
    </w:p>
    <w:p w14:paraId="40B5AD3E">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14:paraId="43C6E9CC">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一级指标为：决策、过程、产出、效益。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以及项目产出和效益等根据项目实际情况设置的个性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项目绩效评价体系详见下表。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英吉沙县国泰工业园区网络设备采购项目绩效评价指标体系及综合评分表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立项程序（2分）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绩效目标（5分）   绩效目标合理性（3分）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绩效指标明确性（2分）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资金投入（5分）   预算编制（3分）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资金分配合理性（2分）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预算执行率（3分）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资金使用合规性（4分）         4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组织实施（10分）  管理制度健全性（5分）         5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制度执行（5分）               5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效益（10分） 项目效益（10分）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满意度（10分） 满意度（10分）    满意度（10分）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权重分值：100分                     总得分      100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本次评价采用定量与定性评价相结合的比较法和公众评判法，总分由各项指标得分汇总形成。在完成此次绩效评价工作中，每项评价体系中二级指标的评价方法使用情况为：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（1）项目决策方面：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立项依据充分性：采用比较法、文献法，查找法律法规政策以及规划，对比实际执行内容和政策支持内容是否匹配。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立项程序规范性：采用比较法、文献法，查找相关项目设立的政策和文件要求，对比分析实际执行程序是否按照政策及文件要求执行，分析立项程序的规范性。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绩效目标合理性：采用比较法，对比分析年初编制项目支出绩效目标表与项目内容的相关性、资金的匹配性等。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绩效指标明确性：采用比较法，比较分析年初编制项目支出绩效目标表是否符合双七原则，是否可衡量。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预算编制科学性：采用成本效益分析法，分析在产出一定的情况下，成本取值是否有依据，是否经过询价，是否按照市场最低成本编制。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资金分配合理性：采用因素分析法，综合分析资金的分配依据是否充分，分配金额是否与项目实施单位需求金额一致。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（2）项目过程方面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资金到位率：采用比较法，资金到位率预期指标值应为100%，通过实际计算，分析实际完成值和预期指标值之间的差距和原因。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预算执行率：采用比较法，预算执行率预期指标值应为100%，通过实际计算，分析实际完成值和预期指标值之间的差距和原因。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资金使用合规性：采用文献法、实地勘察法，一是查找资金管理办法，包括专项资金管理办法和单位自有资金管理办法；二是通过查账了解具体开支情况，是否专款专用，是否按照标准支出。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管理制度健全性：采用文献法、比较法，查阅项目实施人员提供的财务和业务管理制度，将已建立的制度与现行的法律法规和政策要求进行对比，分析项目制度的合法性、合规性、完整性。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制度执行有效性：采用比较法，结合项目实际实施过程性文件，根据已建设的财务管理制度和项目管理制度综合分析制度执行的有效性。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（3）项目产出方面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（4）项目效益方面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采用公众评判法、实地勘察法，通过实地勘察、问卷及抽样调查等方式评价本项目实施后社会公众或服务对象对项目实施效果的满意程度。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采用公众评判法：评价组采用实地访谈、远程访谈相结合方式，对本项目的实施情况进行充分调研，了解掌握资金分配、资金管理、资金使用、制度建设、制度执行情况。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14:paraId="1646497C">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14:paraId="26CE0542">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刘绪伟任评价组组长，负责组织实施、指导本单位的绩效管理工作。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张峰任评价组副组长，负责协助组长组织实施、指导本单位的绩效管理工作。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丁翔任评价组成员，负责预算绩效管理实施、评价和监督等日常工作；负责编制下一年度预算或追加预算时，应同时编制预算绩效计划，报送绩效目标；对预算绩效执行进行绩效监督检查和控制，按要求向本级财政局报告绩效目标执行情况和预算绩效管理情况，并按规定公开相关信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14:paraId="170A9F9E">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14:paraId="69B3180E">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英吉沙县国泰工业园区网络设备采购项目，偿还1笔英吉沙县国泰工业园区网络设备采购费目，其有效提升了政府的公信力。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项目决策：该项目主要通过《关于拨付英吉沙县国泰工业园区网络设备采购项目的请示》文件立项，项目实施符合财政要求，项目立项依据充分，立项程序规范。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英吉沙县国泰工业园区网络设备采购项目预算安排500万元，实际支出500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项目产出：通过实施此项目，偿还的债务笔数为1笔，资金使用合规率100%。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项目效益：通过实施此项目产生社会效益，提升了受益企业还款满意度。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英吉沙县国泰工业园区网络设备采购项目进行客观评价，最终评分结果：评价总分100分，绩效等级为“优”，每项一级指标得分情况见下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标准分值 得分 得分率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决策指标 15.00 15 100%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过程指标 20.00 20 100%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产出指标 45.00 20 100%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效益指标        10.00   10.00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          10.00   10.00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100.00 100 100%</w:t>
      </w:r>
    </w:p>
    <w:p w14:paraId="64A5536A">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14:paraId="47E5024B">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373A0D13">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（1）立项依据充分性：本项目为化解政府债务，通过项目实施，可以有效提升政府的公信力，根据评分标准，该指标不扣分，得3分。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（2）立项程序规范性：根据决策依据编制工作计划和项目预算，经过与单位分管领导进行沟通、筛选确定经费预算计划，上党委会研究确定最终预算方案，根据评分标准，该指标不扣分，得2分。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本项目制定了《英吉沙县国泰工业园区网络设备采购项目债务化解实施方案》，明确了总体思路及目标、对任务进行了详细分解，对绩效目标进行了细化，4个一级指标，6个二级指标，7个三级指标，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将项目绩效目标细化分解为具体的绩效指标，数量指标：偿还债务笔数为1笔；质量指标：资金使用合规率为100%；时效指标：项目完成时间为2024年12月30日前，资金支付及时率为100%；经济成本指标分为：偿还项目费用成本小于等于500万元；社会效益指标：提升政府公信力有效提升；满意度指标：受益还款企业满意度大于等于95%。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预算编制经过科学论证，内容与项目内容匹配，项目投资额与工作任务相匹配，绩效目标细化分解为7个三级指标，分别为偿还债务笔数，资金使用合规率，项目完成时间，资金支付及时率，偿还项目费用成本，提升政府公信力，受益还款企业满意度。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（6）资金分配合理性：项目根据《关于拨付英吉沙县国泰工业园区网络设备采购项目的请示》文件立项，资金分配与实际相适应，根据评分标准，该指标不扣分，得2分。</w:t>
      </w:r>
    </w:p>
    <w:p w14:paraId="075C7B5D">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6AD67240">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（1）资金到位率：本项目预算资金为500万元，实际到位资金500万元，资金到位率=100%；通过分析可知，该项目财政资金足额拨付到位，能够及时足额支付给实施单位。根据评分标准，该指标不扣分，得3分。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本项目实际支出资金500万元，预算执行率=（实际支出资金/实际到位资金）×100.0%=100%；通过分析可知，该项目预算编制较为详细，项目资金支出总体能够按照预算执行，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通过检查项目资金申请文件、国库支付凭证等财务资料，得出本项目资金支出符合国家财经法规、《政府会计制度》，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我单位已制定《政府采购业务管理制度》《财务管理制度》等，相关制度均符合行政事业单位内控管理要求，财务和业务管理制度合法、合规、完整，本项目执行符合上述制度规定。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为进一步提高各项支出的规范性和有效性，我单位从预算收支管理、资产管理、政府采购管理、合同管理等方面，健全和完善单位财务管理制度，坚定实施各项内部控制制度。严格执行专账管理，专款专用，原始凭证符合要求，支付手续齐全，资金及时结算，充分发挥财政专项资金的使用效率。项目启动实施后，为了加快本项目的实施，成立了项目工作领导小组，刘绪伟任评价组组长，负责组织实施、指导本单位的绩效管理工作。张峰任评价组副组长，负责协助组长组织实施、指导本单位的绩效管理工作。丁翔任评价组成员，负责预算绩效管理实施、评价和监督等日常工作；负责编制下一年度预算或追加预算时，应同时编制预算绩效计划，报送绩效目标；对预算绩效执行进行绩效监督检查和控制，按要求向本级财政局报告绩效目标执行情况和预算绩效管理情况，并按规定公开相关信息。根据评分标准，该指标不扣分，得5分。</w:t>
      </w:r>
    </w:p>
    <w:p w14:paraId="7F5417C2">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7CCF4E5C">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偿还债务笔数指标，预期指标值为1笔，实际完成值为1笔，指标完成率为100%，与预期目标一致，根据评分标准，该指标不扣分，得10分。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资金使用合规率指标，预期指标值为100%，实际完成值为100%，指标完成率为100%，与预期目标一致，根据评分标准，该指标不扣分，得10分。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项目完成时间指标，预期指标值为2024年12月30日，实际完成值为2024年12月30日，指标完成率为100%，与预期目标一致，根据评分标准，该指标不扣分，得5分。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资金支付及时率，预期指标值为100%，实际完成值为100%，指标完成率为100%，与预期目标一致，根据评分标准，该指标不扣分，得5分。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偿还项目费用成本指标，预期指标值为500万元，实际完成值为500万元，指标完成率为100%，根据评分标准，该指标不扣分，得15分。</w:t>
      </w:r>
    </w:p>
    <w:p w14:paraId="453716E9">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2987B38E">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提升政府公信力指标，该指标预期指标值为有效提升，实际完成值为有效提升，指标完成率为100%，与预期指标一致，根据评分标准，该指标不扣分，得10分。</w:t>
      </w:r>
    </w:p>
    <w:p w14:paraId="3DA95352">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14:paraId="14DED6AA">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项目满意度指标包括1个方面的内容，由1个三级指标构成，权重分为10分，实际得分10分，得分率为100%。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受益还款企业满意度，该指标预期指标值为95%，实际完成值为95%，指标完成率为100%，与预期目标一致，根据评分标准，该指标不扣分，得10分。</w:t>
      </w:r>
    </w:p>
    <w:p w14:paraId="44AFFB5D">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14:paraId="03890183">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英吉沙县国泰工业园区网络设备采购项目预算500万元，到位500万元，实际支出500万元，预算执行率为100%，项目绩效指标总体完成率为100%，偏差率为0%。</w:t>
      </w:r>
    </w:p>
    <w:p w14:paraId="6FC789BB">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14:paraId="07E66E5C">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本项目能够严格按照《项目实施方案》执行，项目执行情况较好。二是加强组织领导，本项目绩效评价工作，有主要领导亲自挂帅，分管领导具体负责，从项目到资金，均能够很好的执行。三是加强沟通协调，我单位及时向领导汇报项目资金拨付进度，加强与收款单位的沟通，确保资金及时支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对各项指标和指标值要进一步优化、完善，主要在细化、量化上改进；二是暂存款使用上存在一定的局限性，沟通不及时、信息不畅通；三是缺少带着问题去评价的意识，四是绩效目标设置不够精准，后续效益评价具体措施和方法较少。</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（三）下一步改进措施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在预算编制过程中，要充分考虑还款金额、利息、手续费等各项费用，确保预算资金充足。细化预算科目设置，准确反映项目的具体支出内容，提高预算编制的准确性和完整性。加强资金的统筹管理，合理安排资金的使用时间和顺序，避免资金闲置。建立资金使用效益评估机制，对资金使用效果进行定期评估，及时调整资金使用策略，提高资金的使用效益。建立健全预算监控体系，定期对预算执行情况进行跟踪分析，及时发现和解决预算执行过程中出现的问题。</w:t>
      </w:r>
    </w:p>
    <w:p w14:paraId="1EC8A447">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14:paraId="08568B88">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1.对相关人员加强绩业务学习及培训，提高业务人员绩效管理意识，进一步加强预算绩效管理工作。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2．评价工作应从项目实施方案源头抓起，评价工作和意识应贯穿项目整个过程；有效推动下一年度预算绩效管理工作常态化、规范化。</w:t>
      </w:r>
    </w:p>
    <w:p w14:paraId="451A86F9">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14:paraId="5774582D">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（一）本项目产生的部分间接性效果无法在短期内进行衡量，因此很难认定项目产生的全部效果。通过指标来反映绩效，指标的科学性和全面性需要不断地完善和研究。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（三）评价结果分别编入政府决算和部门预算，报送本级人民代表大会常务委员会，并依法予以公开。</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40E43DF">
        <w:pPr>
          <w:pStyle w:val="12"/>
          <w:jc w:val="center"/>
        </w:pPr>
        <w:r>
          <w:fldChar w:fldCharType="begin"/>
        </w:r>
        <w:r>
          <w:instrText xml:space="preserve">PAGE   \* MERGEFORMAT</w:instrText>
        </w:r>
        <w:r>
          <w:fldChar w:fldCharType="separate"/>
        </w:r>
        <w:r>
          <w:rPr>
            <w:lang w:val="zh-CN"/>
          </w:rPr>
          <w:t>1</w:t>
        </w:r>
        <w:r>
          <w:fldChar w:fldCharType="end"/>
        </w:r>
      </w:p>
    </w:sdtContent>
  </w:sdt>
  <w:p w14:paraId="4ED573B0">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0659721E"/>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31f77dc5-d8ca-4ea5-9ff0-052b366a4a4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22</Pages>
  <Words>10909</Words>
  <Characters>11299</Characters>
  <Lines>5</Lines>
  <Paragraphs>1</Paragraphs>
  <TotalTime>1</TotalTime>
  <ScaleCrop>false</ScaleCrop>
  <LinksUpToDate>false</LinksUpToDate>
  <CharactersWithSpaces>11955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来财&amp;十个晴天</cp:lastModifiedBy>
  <cp:lastPrinted>2018-12-31T10:56:00Z</cp:lastPrinted>
  <dcterms:modified xsi:type="dcterms:W3CDTF">2025-09-05T02:39:30Z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299A846E7742483FADE25949A45A48D3_12</vt:lpwstr>
  </property>
  <property fmtid="{D5CDD505-2E9C-101B-9397-08002B2CF9AE}" pid="4" name="KSOTemplateDocerSaveRecord">
    <vt:lpwstr>eyJoZGlkIjoiNTM1NjJiMTUwNmFhZWNlZmQwNDVjMDAxNDMwM2IwMDkiLCJ1c2VySWQiOiIzNzI2MDMzNTYifQ==</vt:lpwstr>
  </property>
</Properties>
</file>