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D3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pacing w:val="6"/>
          <w:sz w:val="44"/>
          <w:szCs w:val="44"/>
          <w:lang w:val="en-US" w:eastAsia="zh-CN"/>
        </w:rPr>
      </w:pPr>
    </w:p>
    <w:p w14:paraId="13C54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仿宋" w:cs="Times New Roman"/>
          <w:spacing w:val="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val="en-US" w:eastAsia="zh-CN"/>
        </w:rPr>
        <w:t>2025年第一季度英吉沙县国民经济和社会发展统计数据</w:t>
      </w:r>
    </w:p>
    <w:p w14:paraId="058F1EAC">
      <w:pPr>
        <w:ind w:firstLine="320" w:firstLineChars="100"/>
        <w:jc w:val="both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</w:p>
    <w:p w14:paraId="494EACA3">
      <w:pPr>
        <w:ind w:firstLine="280" w:firstLineChars="100"/>
        <w:jc w:val="both"/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英吉沙县一季度地区生产总值（GDP）13.06亿元，同比增长2.9%。（*）</w:t>
      </w:r>
    </w:p>
    <w:p w14:paraId="44A5FE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640"/>
        <w:jc w:val="both"/>
        <w:textAlignment w:val="auto"/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工业增加值1.88亿元，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同比增长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1%，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规模以上工业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实现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增加值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0.4亿元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同比增长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1.2%（*）。</w:t>
      </w:r>
    </w:p>
    <w:p w14:paraId="110A90D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社会消费品零售总额1.41亿元，同比增长13.1%，其中：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限额以上社会消费品零售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总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额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完成4582.6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万元，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同比增长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49.7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。（*）。</w:t>
      </w:r>
    </w:p>
    <w:p w14:paraId="333E3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新建商品房销售面积12882平方米，同比增长11.2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%；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新建商品房销售额6013万元，同比增长59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zh-CN" w:eastAsia="zh-CN"/>
        </w:rPr>
        <w:t>%。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（*）</w:t>
      </w:r>
    </w:p>
    <w:p w14:paraId="502A9F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一般公共预算收入完成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9585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万元，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同比增长12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其中：税收完成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2879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万元，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同比增长25.8%，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非税完成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6706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万元，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同比增长6.9%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。</w:t>
      </w:r>
    </w:p>
    <w:p w14:paraId="364395EB">
      <w:pPr>
        <w:pStyle w:val="2"/>
        <w:ind w:left="0" w:leftChars="0" w:firstLine="55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一季度城镇居民人均可支配收入8178元，同比增长5.6%。农村居民人均可支配收入1998元，同比增长7.7%。</w:t>
      </w:r>
    </w:p>
    <w:p w14:paraId="24FE58F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外贸进出口总额9880万元，同比增长29.84%。</w:t>
      </w:r>
    </w:p>
    <w:p w14:paraId="4C7CD2E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农村劳动力转移任务70000人次，新增城镇就业任务4900人。1-3月城镇新增就业1641人，完成全年目标任务的33.49%。农村劳动力转移就业33202人次，完成全年目标任务的46.11%。</w:t>
      </w:r>
    </w:p>
    <w:p w14:paraId="0B8D3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pacing w:val="-2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zh-CN" w:eastAsia="zh-CN"/>
        </w:rPr>
        <w:t>金融机构各项存款余额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45.42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zh-CN" w:eastAsia="zh-CN"/>
        </w:rPr>
        <w:t>亿元，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同比增长3%；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zh-CN" w:eastAsia="zh-CN"/>
        </w:rPr>
        <w:t>各项贷款余额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42.66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zh-CN" w:eastAsia="zh-CN"/>
        </w:rPr>
        <w:t>亿元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，同比增长33.4%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zh-CN" w:eastAsia="zh-CN"/>
        </w:rPr>
        <w:t>。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存贷比为93.9%。</w:t>
      </w:r>
    </w:p>
    <w:p w14:paraId="4E73BEB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全县共有市场主体22240个，同比增长4.9%。其中：企业2605户，同比增长9.7%；个体工商户18575户，同比增长4.9%；农民专业合作社1060户，同比下降4.2%。</w:t>
      </w:r>
    </w:p>
    <w:p w14:paraId="25DB2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招商引资方面，截止3月底，招商引资落地执行项目8个，到位资金2.79亿元。落实执行项目中新建项目2个，到位资金0.63亿元。往年结转项目6个，到位资金2.16亿元。目前重点在谈项目22个，其中基本形成意向项目9个，已签约项目14个。</w:t>
      </w:r>
    </w:p>
    <w:p w14:paraId="154BD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5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接待国内外游客73.16万人次，同比增长65.07%，实现旅游收入2.43亿元，同比增长67.56%。</w:t>
      </w:r>
    </w:p>
    <w:p w14:paraId="7731C15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55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全社会用电量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19042.3万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千瓦时，同比增长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1.3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</w:rPr>
        <w:t>%。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highlight w:val="none"/>
          <w:lang w:val="en-US" w:eastAsia="zh-CN"/>
        </w:rPr>
        <w:t>一产用电量228.46万千瓦时，同比增长8.44%；二产用电量6140.08万千瓦时，同比下降23.64%；三产用电量7997.65万千瓦时，同比增长41.09%。城乡居民生活用电量4676.11万千瓦时，同比下降4.14%，工业用电量5942.01万千瓦时，同比下降25.11%。</w:t>
      </w:r>
    </w:p>
    <w:p w14:paraId="2463013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86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6"/>
          <w:sz w:val="28"/>
          <w:szCs w:val="28"/>
        </w:rPr>
        <w:t>备注：带＊号指标为统计部门统计数据，其他指标均为行业部门数据。</w:t>
      </w:r>
    </w:p>
    <w:p w14:paraId="4060F21F">
      <w:pPr>
        <w:pStyle w:val="3"/>
        <w:ind w:left="0" w:leftChars="0" w:firstLine="0" w:firstLineChars="0"/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B7960">
    <w:pPr>
      <w:pStyle w:val="6"/>
      <w:ind w:right="360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F0E8B">
                          <w:pPr>
                            <w:pStyle w:val="6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1F0E8B">
                    <w:pPr>
                      <w:pStyle w:val="6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2256155</wp:posOffset>
              </wp:positionH>
              <wp:positionV relativeFrom="paragraph">
                <wp:posOffset>0</wp:posOffset>
              </wp:positionV>
              <wp:extent cx="7620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71BA5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7.65pt;margin-top:0pt;height:144pt;width:60pt;mso-position-horizontal-relative:margin;z-index:251659264;mso-width-relative:page;mso-height-relative:page;" filled="f" stroked="f" coordsize="21600,21600" o:gfxdata="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ujh9tUAAAAIAQAADwAAAAAAAAABACAAAAAiAAAAZHJz&#10;L2Rvd25yZXYueG1sUEsBAhQAFAAAAAgAh07iQFd6p6vOAQAAmgMAAA4AAAAAAAAAAQAgAAAAJ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671BA5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jNkYjVmZWQ2OTZhMTIzM2Q0N2EwOWRhYTM1NmMifQ=="/>
  </w:docVars>
  <w:rsids>
    <w:rsidRoot w:val="29524193"/>
    <w:rsid w:val="00DC6F1F"/>
    <w:rsid w:val="01AF0374"/>
    <w:rsid w:val="04433A49"/>
    <w:rsid w:val="05956166"/>
    <w:rsid w:val="063362FD"/>
    <w:rsid w:val="07D20C14"/>
    <w:rsid w:val="08056139"/>
    <w:rsid w:val="08735235"/>
    <w:rsid w:val="0BFC41D8"/>
    <w:rsid w:val="0CB91BCD"/>
    <w:rsid w:val="0F6A13A9"/>
    <w:rsid w:val="0FCD6FF1"/>
    <w:rsid w:val="12B832AA"/>
    <w:rsid w:val="15990233"/>
    <w:rsid w:val="161A6934"/>
    <w:rsid w:val="163940BF"/>
    <w:rsid w:val="164E513E"/>
    <w:rsid w:val="17CD7BAE"/>
    <w:rsid w:val="182E384D"/>
    <w:rsid w:val="189D1902"/>
    <w:rsid w:val="18AE64DD"/>
    <w:rsid w:val="18C9680F"/>
    <w:rsid w:val="18E33699"/>
    <w:rsid w:val="1B4C2EBE"/>
    <w:rsid w:val="1C0E6903"/>
    <w:rsid w:val="1C693042"/>
    <w:rsid w:val="1C7655D2"/>
    <w:rsid w:val="1CB77725"/>
    <w:rsid w:val="1D2E59B6"/>
    <w:rsid w:val="1EEB5A3E"/>
    <w:rsid w:val="1F60238A"/>
    <w:rsid w:val="204409A4"/>
    <w:rsid w:val="20A3629F"/>
    <w:rsid w:val="20F1414E"/>
    <w:rsid w:val="21BB183A"/>
    <w:rsid w:val="220550CC"/>
    <w:rsid w:val="2221384D"/>
    <w:rsid w:val="227228FE"/>
    <w:rsid w:val="255A5194"/>
    <w:rsid w:val="28905E71"/>
    <w:rsid w:val="29524193"/>
    <w:rsid w:val="29A31BA1"/>
    <w:rsid w:val="2A061B69"/>
    <w:rsid w:val="2C7B0D6C"/>
    <w:rsid w:val="2D457FAD"/>
    <w:rsid w:val="2DD14522"/>
    <w:rsid w:val="2E050247"/>
    <w:rsid w:val="2E1649ED"/>
    <w:rsid w:val="2FAE5204"/>
    <w:rsid w:val="2FC53375"/>
    <w:rsid w:val="300C76DC"/>
    <w:rsid w:val="30267140"/>
    <w:rsid w:val="30AF729E"/>
    <w:rsid w:val="30C61453"/>
    <w:rsid w:val="310476F2"/>
    <w:rsid w:val="33B62D6D"/>
    <w:rsid w:val="33CA4AD8"/>
    <w:rsid w:val="33D65F2C"/>
    <w:rsid w:val="34202C9F"/>
    <w:rsid w:val="38961940"/>
    <w:rsid w:val="38EC71AC"/>
    <w:rsid w:val="3930520C"/>
    <w:rsid w:val="3A06184D"/>
    <w:rsid w:val="3A4F20DC"/>
    <w:rsid w:val="3AA21755"/>
    <w:rsid w:val="3C0F6206"/>
    <w:rsid w:val="3DA71858"/>
    <w:rsid w:val="401A67D5"/>
    <w:rsid w:val="4102257F"/>
    <w:rsid w:val="439FD362"/>
    <w:rsid w:val="44A752B3"/>
    <w:rsid w:val="485F7D8D"/>
    <w:rsid w:val="493B41FF"/>
    <w:rsid w:val="499044BC"/>
    <w:rsid w:val="4B67FA4B"/>
    <w:rsid w:val="4BD42181"/>
    <w:rsid w:val="4CE23492"/>
    <w:rsid w:val="4D0D512B"/>
    <w:rsid w:val="4F937A9B"/>
    <w:rsid w:val="501821CE"/>
    <w:rsid w:val="51E306C7"/>
    <w:rsid w:val="52A63C14"/>
    <w:rsid w:val="55C227E9"/>
    <w:rsid w:val="57776ECD"/>
    <w:rsid w:val="59405D48"/>
    <w:rsid w:val="59871E8B"/>
    <w:rsid w:val="5BD109C7"/>
    <w:rsid w:val="5E1C1523"/>
    <w:rsid w:val="60994AB5"/>
    <w:rsid w:val="60C16FB2"/>
    <w:rsid w:val="6208728D"/>
    <w:rsid w:val="6253388D"/>
    <w:rsid w:val="627E0ABB"/>
    <w:rsid w:val="62FF3AD8"/>
    <w:rsid w:val="63151FE5"/>
    <w:rsid w:val="6479701D"/>
    <w:rsid w:val="64883688"/>
    <w:rsid w:val="654E42CF"/>
    <w:rsid w:val="67AB0204"/>
    <w:rsid w:val="68C934F7"/>
    <w:rsid w:val="697475C3"/>
    <w:rsid w:val="69F373DF"/>
    <w:rsid w:val="6A2C2D83"/>
    <w:rsid w:val="6A9A78BB"/>
    <w:rsid w:val="6B780AB3"/>
    <w:rsid w:val="6C752500"/>
    <w:rsid w:val="6D783BE3"/>
    <w:rsid w:val="6DF35697"/>
    <w:rsid w:val="6E4D72A7"/>
    <w:rsid w:val="6E9542B9"/>
    <w:rsid w:val="70071C48"/>
    <w:rsid w:val="7014252C"/>
    <w:rsid w:val="704531C8"/>
    <w:rsid w:val="704A29A5"/>
    <w:rsid w:val="72137C54"/>
    <w:rsid w:val="73056D47"/>
    <w:rsid w:val="74293B00"/>
    <w:rsid w:val="74D27C77"/>
    <w:rsid w:val="74E10CBE"/>
    <w:rsid w:val="75FF3C4A"/>
    <w:rsid w:val="765F2831"/>
    <w:rsid w:val="76756F2C"/>
    <w:rsid w:val="767F7974"/>
    <w:rsid w:val="76FF686B"/>
    <w:rsid w:val="7734731F"/>
    <w:rsid w:val="777B5BA2"/>
    <w:rsid w:val="7AA66270"/>
    <w:rsid w:val="7AAF11CB"/>
    <w:rsid w:val="7B061B7E"/>
    <w:rsid w:val="7CB11006"/>
    <w:rsid w:val="7D365D60"/>
    <w:rsid w:val="7F5416F1"/>
    <w:rsid w:val="7FD5173A"/>
    <w:rsid w:val="7FD607DC"/>
    <w:rsid w:val="BFFEAC7C"/>
    <w:rsid w:val="EACF73E4"/>
    <w:rsid w:val="EFFF48B5"/>
    <w:rsid w:val="FEFF9D38"/>
    <w:rsid w:val="FF7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570" w:lineRule="exact"/>
      <w:jc w:val="left"/>
      <w:outlineLvl w:val="1"/>
    </w:pPr>
    <w:rPr>
      <w:rFonts w:ascii="Cambria" w:hAnsi="Cambria" w:eastAsia="方正楷体_GBK" w:cs="Times New Roman"/>
      <w:b/>
      <w:bCs/>
      <w:szCs w:val="32"/>
    </w:rPr>
  </w:style>
  <w:style w:type="paragraph" w:styleId="5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ind w:firstLine="3584"/>
    </w:pPr>
  </w:style>
  <w:style w:type="paragraph" w:styleId="3">
    <w:name w:val="toc 3"/>
    <w:basedOn w:val="1"/>
    <w:next w:val="1"/>
    <w:qFormat/>
    <w:uiPriority w:val="0"/>
    <w:pPr>
      <w:widowControl/>
      <w:spacing w:after="100" w:line="276" w:lineRule="auto"/>
      <w:ind w:left="440" w:firstLine="3584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qFormat/>
    <w:uiPriority w:val="0"/>
    <w:pPr>
      <w:adjustRightInd/>
      <w:spacing w:line="240" w:lineRule="auto"/>
      <w:ind w:firstLine="200" w:firstLineChars="200"/>
      <w:textAlignment w:val="auto"/>
    </w:pPr>
    <w:rPr>
      <w:rFonts w:eastAsia="宋体"/>
      <w:kern w:val="2"/>
      <w:sz w:val="21"/>
      <w:szCs w:val="24"/>
    </w:rPr>
  </w:style>
  <w:style w:type="paragraph" w:customStyle="1" w:styleId="13">
    <w:name w:val="table of authorities"/>
    <w:basedOn w:val="1"/>
    <w:next w:val="1"/>
    <w:qFormat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8051</Words>
  <Characters>9541</Characters>
  <Lines>0</Lines>
  <Paragraphs>0</Paragraphs>
  <TotalTime>1</TotalTime>
  <ScaleCrop>false</ScaleCrop>
  <LinksUpToDate>false</LinksUpToDate>
  <CharactersWithSpaces>9561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2025-01-30T20:25:00Z</dcterms:created>
  <dc:creator>Administrator</dc:creator>
  <cp:lastModifiedBy>Administrator</cp:lastModifiedBy>
  <cp:lastPrinted>2025-05-16T11:02:00Z</cp:lastPrinted>
  <dcterms:modified xsi:type="dcterms:W3CDTF">2025-07-18T08:21:47Z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DocerSaveRecord">
    <vt:lpwstr>eyJoZGlkIjoiNWY3Nzg1MTA0MmQyYzk0N2FmOWIxNTAxNzE2NTZjM2MiLCJ1c2VySWQiOiIxMzUyMzAyODMyIn0=</vt:lpwstr>
  </property>
  <property fmtid="{D5CDD505-2E9C-101B-9397-08002B2CF9AE}" pid="4" name="ICV">
    <vt:lpwstr>D7727B1E9AFD41C38C76770BF21F908A_12</vt:lpwstr>
  </property>
</Properties>
</file>