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80EBE">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pacing w:val="-2"/>
          <w:sz w:val="40"/>
          <w:szCs w:val="40"/>
          <w:highlight w:val="none"/>
          <w:lang w:val="en-US" w:eastAsia="zh-CN"/>
        </w:rPr>
      </w:pPr>
      <w:r>
        <w:rPr>
          <w:rFonts w:hint="eastAsia" w:ascii="方正小标宋_GBK" w:hAnsi="方正小标宋_GBK" w:eastAsia="方正小标宋_GBK" w:cs="方正小标宋_GBK"/>
          <w:b w:val="0"/>
          <w:bCs w:val="0"/>
          <w:spacing w:val="-2"/>
          <w:sz w:val="40"/>
          <w:szCs w:val="40"/>
          <w:highlight w:val="none"/>
          <w:lang w:val="en-US" w:eastAsia="zh-CN"/>
        </w:rPr>
        <w:t>英吉沙县2025年1-10月国民经济和社会发展</w:t>
      </w:r>
    </w:p>
    <w:p w14:paraId="4C06EC63">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jc w:val="center"/>
        <w:textAlignment w:val="auto"/>
        <w:rPr>
          <w:rFonts w:hint="default" w:ascii="Times New Roman" w:hAnsi="Times New Roman" w:eastAsia="华文仿宋" w:cs="Times New Roman"/>
          <w:b w:val="0"/>
          <w:bCs w:val="0"/>
          <w:color w:val="auto"/>
          <w:spacing w:val="-2"/>
          <w:kern w:val="0"/>
          <w:sz w:val="32"/>
          <w:szCs w:val="32"/>
          <w:highlight w:val="none"/>
          <w:lang w:val="en-US" w:eastAsia="zh-CN" w:bidi="ar"/>
        </w:rPr>
      </w:pPr>
      <w:r>
        <w:rPr>
          <w:rFonts w:hint="eastAsia" w:ascii="方正小标宋_GBK" w:hAnsi="方正小标宋_GBK" w:eastAsia="方正小标宋_GBK" w:cs="方正小标宋_GBK"/>
          <w:b w:val="0"/>
          <w:bCs w:val="0"/>
          <w:spacing w:val="-2"/>
          <w:sz w:val="40"/>
          <w:szCs w:val="40"/>
          <w:highlight w:val="none"/>
          <w:lang w:val="en-US" w:eastAsia="zh-CN"/>
        </w:rPr>
        <w:t>统计数据</w:t>
      </w:r>
    </w:p>
    <w:p w14:paraId="36E5FED8">
      <w:pPr>
        <w:keepNext w:val="0"/>
        <w:keepLines w:val="0"/>
        <w:pageBreakBefore w:val="0"/>
        <w:widowControl w:val="0"/>
        <w:shd w:val="clear"/>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b w:val="0"/>
          <w:bCs w:val="0"/>
          <w:color w:val="auto"/>
          <w:spacing w:val="-2"/>
          <w:kern w:val="0"/>
          <w:sz w:val="32"/>
          <w:szCs w:val="32"/>
          <w:highlight w:val="none"/>
          <w:lang w:val="en-US" w:eastAsia="zh-CN" w:bidi="ar"/>
        </w:rPr>
      </w:pPr>
      <w:r>
        <w:rPr>
          <w:rFonts w:hint="eastAsia" w:ascii="Times New Roman" w:hAnsi="Times New Roman" w:eastAsia="方正仿宋_GBK" w:cs="Times New Roman"/>
          <w:spacing w:val="-2"/>
          <w:sz w:val="32"/>
          <w:szCs w:val="32"/>
          <w:highlight w:val="none"/>
          <w:lang w:val="en-US" w:eastAsia="zh-CN"/>
        </w:rPr>
        <w:t>今年以来</w:t>
      </w:r>
      <w:r>
        <w:rPr>
          <w:rFonts w:hint="default" w:ascii="Times New Roman" w:hAnsi="Times New Roman" w:eastAsia="方正仿宋_GBK" w:cs="Times New Roman"/>
          <w:spacing w:val="-2"/>
          <w:sz w:val="32"/>
          <w:szCs w:val="32"/>
          <w:highlight w:val="none"/>
        </w:rPr>
        <w:t>，全县</w:t>
      </w:r>
      <w:r>
        <w:rPr>
          <w:rFonts w:hint="default" w:ascii="Times New Roman" w:hAnsi="Times New Roman" w:eastAsia="方正仿宋_GBK" w:cs="Times New Roman"/>
          <w:spacing w:val="-2"/>
          <w:sz w:val="32"/>
          <w:szCs w:val="32"/>
          <w:highlight w:val="none"/>
          <w:lang w:val="en-US" w:eastAsia="zh-CN"/>
        </w:rPr>
        <w:t>坚持以习近平新时代中国特色社会主义思想为指导，认真学习贯彻习近平总书记听取自治区和兵团工作汇报时的重要讲话精神，全面贯彻新发展理念，融入新发展格局，坚持</w:t>
      </w:r>
      <w:r>
        <w:rPr>
          <w:rFonts w:hint="default" w:ascii="Times New Roman" w:hAnsi="Times New Roman" w:eastAsia="方正仿宋_GBK" w:cs="Times New Roman"/>
          <w:spacing w:val="-2"/>
          <w:sz w:val="32"/>
          <w:szCs w:val="32"/>
          <w:highlight w:val="none"/>
        </w:rPr>
        <w:t>稳中求进工作总基调，各行业经济工作有序推进，</w:t>
      </w:r>
      <w:r>
        <w:rPr>
          <w:rFonts w:hint="default" w:ascii="Times New Roman" w:hAnsi="Times New Roman" w:eastAsia="方正仿宋_GBK" w:cs="Times New Roman"/>
          <w:spacing w:val="-2"/>
          <w:sz w:val="32"/>
          <w:szCs w:val="32"/>
          <w:highlight w:val="none"/>
          <w:lang w:val="en-US" w:eastAsia="zh-CN"/>
        </w:rPr>
        <w:t>全县</w:t>
      </w:r>
      <w:r>
        <w:rPr>
          <w:rFonts w:hint="default" w:ascii="Times New Roman" w:hAnsi="Times New Roman" w:eastAsia="方正仿宋_GBK" w:cs="Times New Roman"/>
          <w:spacing w:val="-2"/>
          <w:sz w:val="32"/>
          <w:szCs w:val="32"/>
          <w:highlight w:val="none"/>
        </w:rPr>
        <w:t>经济</w:t>
      </w:r>
      <w:r>
        <w:rPr>
          <w:rFonts w:hint="default" w:ascii="Times New Roman" w:hAnsi="Times New Roman" w:eastAsia="方正仿宋_GBK" w:cs="Times New Roman"/>
          <w:spacing w:val="-2"/>
          <w:sz w:val="32"/>
          <w:szCs w:val="32"/>
          <w:highlight w:val="none"/>
          <w:lang w:val="en-US" w:eastAsia="zh-CN"/>
        </w:rPr>
        <w:t>逐步向好</w:t>
      </w:r>
      <w:r>
        <w:rPr>
          <w:rFonts w:hint="default" w:ascii="Times New Roman" w:hAnsi="Times New Roman" w:eastAsia="方正仿宋_GBK" w:cs="Times New Roman"/>
          <w:spacing w:val="-2"/>
          <w:sz w:val="32"/>
          <w:szCs w:val="32"/>
          <w:highlight w:val="none"/>
        </w:rPr>
        <w:t>。</w:t>
      </w:r>
    </w:p>
    <w:p w14:paraId="3E6FFF57">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firstLine="632"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b w:val="0"/>
          <w:bCs w:val="0"/>
          <w:color w:val="auto"/>
          <w:spacing w:val="-2"/>
          <w:kern w:val="0"/>
          <w:sz w:val="32"/>
          <w:szCs w:val="32"/>
          <w:highlight w:val="none"/>
          <w:lang w:val="en-US" w:eastAsia="zh-CN" w:bidi="ar"/>
        </w:rPr>
        <w:t>一、1-10月主要经济指标预计完成情况</w:t>
      </w:r>
    </w:p>
    <w:p w14:paraId="7DA25FD2">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pacing w:val="-2"/>
          <w:sz w:val="32"/>
          <w:szCs w:val="32"/>
          <w:highlight w:val="none"/>
          <w:lang w:val="en-US" w:eastAsia="zh-CN"/>
        </w:rPr>
      </w:pPr>
      <w:r>
        <w:rPr>
          <w:rFonts w:hint="default" w:ascii="Times New Roman" w:hAnsi="Times New Roman" w:eastAsia="方正仿宋_GBK" w:cs="Times New Roman"/>
          <w:color w:val="auto"/>
          <w:sz w:val="32"/>
          <w:szCs w:val="32"/>
          <w:highlight w:val="none"/>
        </w:rPr>
        <w:t>——规模以上工业增加值</w:t>
      </w:r>
      <w:r>
        <w:rPr>
          <w:rFonts w:hint="default" w:ascii="Times New Roman" w:hAnsi="Times New Roman" w:eastAsia="方正仿宋_GBK" w:cs="Times New Roman"/>
          <w:color w:val="auto"/>
          <w:sz w:val="32"/>
          <w:szCs w:val="32"/>
          <w:highlight w:val="none"/>
          <w:lang w:val="en-US" w:eastAsia="zh-CN"/>
        </w:rPr>
        <w:t>预计完成</w:t>
      </w:r>
      <w:r>
        <w:rPr>
          <w:rFonts w:hint="default" w:ascii="Times New Roman" w:hAnsi="Times New Roman" w:eastAsia="方正仿宋_GBK" w:cs="Times New Roman"/>
          <w:sz w:val="32"/>
          <w:szCs w:val="32"/>
          <w:highlight w:val="none"/>
          <w:lang w:val="en-US" w:eastAsia="zh-CN"/>
        </w:rPr>
        <w:t>1.99亿元</w:t>
      </w:r>
      <w:r>
        <w:rPr>
          <w:rFonts w:hint="default" w:ascii="Times New Roman" w:hAnsi="Times New Roman" w:eastAsia="方正仿宋_GBK" w:cs="Times New Roman"/>
          <w:sz w:val="32"/>
          <w:szCs w:val="32"/>
          <w:highlight w:val="none"/>
        </w:rPr>
        <w:t>，同比增长</w:t>
      </w:r>
      <w:r>
        <w:rPr>
          <w:rFonts w:hint="default" w:ascii="Times New Roman" w:hAnsi="Times New Roman" w:eastAsia="方正仿宋_GBK" w:cs="Times New Roman"/>
          <w:sz w:val="32"/>
          <w:szCs w:val="32"/>
          <w:highlight w:val="none"/>
          <w:lang w:val="en-US" w:eastAsia="zh-CN"/>
        </w:rPr>
        <w:t>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b w:val="0"/>
          <w:bCs w:val="0"/>
          <w:color w:val="auto"/>
          <w:spacing w:val="-2"/>
          <w:kern w:val="0"/>
          <w:sz w:val="32"/>
          <w:szCs w:val="32"/>
          <w:highlight w:val="none"/>
          <w:lang w:val="en-US" w:eastAsia="zh-CN" w:bidi="ar"/>
        </w:rPr>
        <w:t>，增速较1-9月（1.9%）提升0.7个百分点，</w:t>
      </w:r>
      <w:r>
        <w:rPr>
          <w:rFonts w:hint="default" w:ascii="Times New Roman" w:hAnsi="Times New Roman" w:eastAsia="方正仿宋_GBK" w:cs="Times New Roman"/>
          <w:b w:val="0"/>
          <w:bCs w:val="0"/>
          <w:color w:val="auto"/>
          <w:spacing w:val="-2"/>
          <w:sz w:val="32"/>
          <w:szCs w:val="32"/>
          <w:highlight w:val="none"/>
          <w:lang w:eastAsia="zh-CN"/>
        </w:rPr>
        <w:t>较</w:t>
      </w:r>
      <w:r>
        <w:rPr>
          <w:rFonts w:hint="default" w:ascii="Times New Roman" w:hAnsi="Times New Roman" w:eastAsia="方正仿宋_GBK" w:cs="Times New Roman"/>
          <w:b w:val="0"/>
          <w:bCs w:val="0"/>
          <w:color w:val="auto"/>
          <w:spacing w:val="-2"/>
          <w:sz w:val="32"/>
          <w:szCs w:val="32"/>
          <w:highlight w:val="none"/>
          <w:lang w:val="en-US" w:eastAsia="zh-CN"/>
        </w:rPr>
        <w:t>上</w:t>
      </w:r>
      <w:r>
        <w:rPr>
          <w:rFonts w:hint="default" w:ascii="Times New Roman" w:hAnsi="Times New Roman" w:eastAsia="方正仿宋_GBK" w:cs="Times New Roman"/>
          <w:b w:val="0"/>
          <w:bCs w:val="0"/>
          <w:color w:val="auto"/>
          <w:spacing w:val="-2"/>
          <w:sz w:val="32"/>
          <w:szCs w:val="32"/>
          <w:highlight w:val="none"/>
          <w:lang w:eastAsia="zh-CN"/>
        </w:rPr>
        <w:t>年同期</w:t>
      </w:r>
      <w:r>
        <w:rPr>
          <w:rFonts w:hint="default" w:ascii="Times New Roman" w:hAnsi="Times New Roman" w:eastAsia="方正仿宋_GBK" w:cs="Times New Roman"/>
          <w:b w:val="0"/>
          <w:bCs w:val="0"/>
          <w:color w:val="auto"/>
          <w:spacing w:val="-2"/>
          <w:sz w:val="32"/>
          <w:szCs w:val="32"/>
          <w:highlight w:val="none"/>
          <w:lang w:val="en-US" w:eastAsia="zh-CN"/>
        </w:rPr>
        <w:t>（-3.5%）</w:t>
      </w:r>
      <w:r>
        <w:rPr>
          <w:rFonts w:hint="default" w:ascii="Times New Roman" w:hAnsi="Times New Roman" w:eastAsia="方正仿宋_GBK" w:cs="Times New Roman"/>
          <w:b w:val="0"/>
          <w:bCs w:val="0"/>
          <w:color w:val="auto"/>
          <w:spacing w:val="-2"/>
          <w:sz w:val="32"/>
          <w:szCs w:val="32"/>
          <w:highlight w:val="none"/>
          <w:lang w:eastAsia="zh-CN"/>
        </w:rPr>
        <w:t>提高</w:t>
      </w:r>
      <w:r>
        <w:rPr>
          <w:rFonts w:hint="default" w:ascii="Times New Roman" w:hAnsi="Times New Roman" w:eastAsia="方正仿宋_GBK" w:cs="Times New Roman"/>
          <w:sz w:val="32"/>
          <w:szCs w:val="32"/>
          <w:highlight w:val="none"/>
          <w:lang w:val="en-US" w:eastAsia="zh-CN"/>
        </w:rPr>
        <w:t>5.7</w:t>
      </w:r>
      <w:r>
        <w:rPr>
          <w:rFonts w:hint="default" w:ascii="Times New Roman" w:hAnsi="Times New Roman" w:eastAsia="方正仿宋_GBK" w:cs="Times New Roman"/>
          <w:b w:val="0"/>
          <w:bCs w:val="0"/>
          <w:color w:val="auto"/>
          <w:spacing w:val="-2"/>
          <w:sz w:val="32"/>
          <w:szCs w:val="32"/>
          <w:highlight w:val="none"/>
          <w:lang w:val="en-US" w:eastAsia="zh-CN"/>
        </w:rPr>
        <w:t>个百分点。完成全年目标任务2.82亿元的70.6%。</w:t>
      </w:r>
    </w:p>
    <w:p w14:paraId="6B326924">
      <w:pPr>
        <w:keepNext w:val="0"/>
        <w:keepLines w:val="0"/>
        <w:pageBreakBefore w:val="0"/>
        <w:widowControl w:val="0"/>
        <w:shd w:val="clear"/>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b w:val="0"/>
          <w:bCs w:val="0"/>
          <w:color w:val="auto"/>
          <w:spacing w:val="-2"/>
          <w:sz w:val="32"/>
          <w:szCs w:val="32"/>
          <w:highlight w:val="none"/>
          <w:lang w:val="en-US" w:eastAsia="zh-CN"/>
        </w:rPr>
      </w:pPr>
      <w:r>
        <w:rPr>
          <w:rFonts w:hint="default" w:ascii="Times New Roman" w:hAnsi="Times New Roman" w:eastAsia="方正仿宋_GBK" w:cs="Times New Roman"/>
          <w:b w:val="0"/>
          <w:bCs w:val="0"/>
          <w:color w:val="auto"/>
          <w:spacing w:val="-2"/>
          <w:sz w:val="32"/>
          <w:szCs w:val="32"/>
          <w:highlight w:val="none"/>
          <w:lang w:val="zh-CN"/>
        </w:rPr>
        <w:t>——</w:t>
      </w:r>
      <w:r>
        <w:rPr>
          <w:rFonts w:hint="default" w:ascii="Times New Roman" w:hAnsi="Times New Roman" w:eastAsia="方正仿宋_GBK" w:cs="Times New Roman"/>
          <w:b w:val="0"/>
          <w:bCs w:val="0"/>
          <w:color w:val="auto"/>
          <w:spacing w:val="-2"/>
          <w:sz w:val="32"/>
          <w:szCs w:val="32"/>
          <w:highlight w:val="none"/>
        </w:rPr>
        <w:t>固定资产投资（不含农户）</w:t>
      </w:r>
      <w:r>
        <w:rPr>
          <w:rFonts w:hint="default" w:ascii="Times New Roman" w:hAnsi="Times New Roman" w:eastAsia="方正仿宋_GBK" w:cs="Times New Roman"/>
          <w:color w:val="auto"/>
          <w:sz w:val="32"/>
          <w:szCs w:val="32"/>
          <w:highlight w:val="none"/>
          <w:lang w:val="en-US" w:eastAsia="zh-CN"/>
        </w:rPr>
        <w:t>预计完成</w:t>
      </w:r>
      <w:r>
        <w:rPr>
          <w:rFonts w:hint="default" w:ascii="Times New Roman" w:hAnsi="Times New Roman" w:eastAsia="方正仿宋_GBK" w:cs="Times New Roman"/>
          <w:b w:val="0"/>
          <w:bCs w:val="0"/>
          <w:color w:val="auto"/>
          <w:spacing w:val="-2"/>
          <w:sz w:val="32"/>
          <w:szCs w:val="32"/>
          <w:highlight w:val="none"/>
          <w:lang w:val="en-US" w:eastAsia="zh-CN"/>
        </w:rPr>
        <w:t>15.7</w:t>
      </w:r>
      <w:r>
        <w:rPr>
          <w:rFonts w:hint="eastAsia" w:ascii="Times New Roman" w:hAnsi="Times New Roman" w:eastAsia="方正仿宋_GBK" w:cs="Times New Roman"/>
          <w:b w:val="0"/>
          <w:bCs w:val="0"/>
          <w:color w:val="auto"/>
          <w:spacing w:val="-2"/>
          <w:sz w:val="32"/>
          <w:szCs w:val="32"/>
          <w:highlight w:val="none"/>
          <w:lang w:val="en-US" w:eastAsia="zh-CN"/>
        </w:rPr>
        <w:t>7</w:t>
      </w:r>
      <w:r>
        <w:rPr>
          <w:rFonts w:hint="default" w:ascii="Times New Roman" w:hAnsi="Times New Roman" w:eastAsia="方正仿宋_GBK" w:cs="Times New Roman"/>
          <w:b w:val="0"/>
          <w:bCs w:val="0"/>
          <w:color w:val="auto"/>
          <w:spacing w:val="-2"/>
          <w:sz w:val="32"/>
          <w:szCs w:val="32"/>
          <w:highlight w:val="none"/>
        </w:rPr>
        <w:t>亿元，同比</w:t>
      </w:r>
      <w:r>
        <w:rPr>
          <w:rFonts w:hint="default" w:ascii="Times New Roman" w:hAnsi="Times New Roman" w:eastAsia="方正仿宋_GBK" w:cs="Times New Roman"/>
          <w:b w:val="0"/>
          <w:bCs w:val="0"/>
          <w:color w:val="auto"/>
          <w:spacing w:val="-2"/>
          <w:sz w:val="32"/>
          <w:szCs w:val="32"/>
          <w:highlight w:val="none"/>
          <w:lang w:eastAsia="zh-CN"/>
        </w:rPr>
        <w:t>增长</w:t>
      </w:r>
      <w:r>
        <w:rPr>
          <w:rFonts w:hint="default" w:ascii="Times New Roman" w:hAnsi="Times New Roman" w:eastAsia="方正仿宋_GBK" w:cs="Times New Roman"/>
          <w:b w:val="0"/>
          <w:bCs w:val="0"/>
          <w:color w:val="auto"/>
          <w:spacing w:val="-2"/>
          <w:sz w:val="32"/>
          <w:szCs w:val="32"/>
          <w:highlight w:val="none"/>
          <w:lang w:val="en-US" w:eastAsia="zh-CN"/>
        </w:rPr>
        <w:t>31.</w:t>
      </w:r>
      <w:r>
        <w:rPr>
          <w:rFonts w:hint="eastAsia" w:ascii="Times New Roman" w:hAnsi="Times New Roman" w:eastAsia="方正仿宋_GBK" w:cs="Times New Roman"/>
          <w:b w:val="0"/>
          <w:bCs w:val="0"/>
          <w:color w:val="auto"/>
          <w:spacing w:val="-2"/>
          <w:sz w:val="32"/>
          <w:szCs w:val="32"/>
          <w:highlight w:val="none"/>
          <w:lang w:val="en-US" w:eastAsia="zh-CN"/>
        </w:rPr>
        <w:t>4</w:t>
      </w:r>
      <w:r>
        <w:rPr>
          <w:rFonts w:hint="default" w:ascii="Times New Roman" w:hAnsi="Times New Roman" w:eastAsia="方正仿宋_GBK" w:cs="Times New Roman"/>
          <w:b w:val="0"/>
          <w:bCs w:val="0"/>
          <w:color w:val="auto"/>
          <w:spacing w:val="-2"/>
          <w:sz w:val="32"/>
          <w:szCs w:val="32"/>
          <w:highlight w:val="none"/>
        </w:rPr>
        <w:t>%</w:t>
      </w:r>
      <w:r>
        <w:rPr>
          <w:rFonts w:hint="default" w:ascii="Times New Roman" w:hAnsi="Times New Roman" w:eastAsia="方正仿宋_GBK" w:cs="Times New Roman"/>
          <w:b w:val="0"/>
          <w:bCs w:val="0"/>
          <w:color w:val="auto"/>
          <w:spacing w:val="-2"/>
          <w:sz w:val="32"/>
          <w:szCs w:val="32"/>
          <w:highlight w:val="none"/>
          <w:lang w:eastAsia="zh-CN"/>
        </w:rPr>
        <w:t>，</w:t>
      </w:r>
      <w:r>
        <w:rPr>
          <w:rFonts w:hint="default" w:ascii="Times New Roman" w:hAnsi="Times New Roman" w:eastAsia="方正仿宋_GBK" w:cs="Times New Roman"/>
          <w:b w:val="0"/>
          <w:bCs w:val="0"/>
          <w:color w:val="auto"/>
          <w:spacing w:val="-2"/>
          <w:sz w:val="32"/>
          <w:szCs w:val="32"/>
          <w:highlight w:val="none"/>
          <w:lang w:val="en-US" w:eastAsia="zh-CN"/>
        </w:rPr>
        <w:t>增速</w:t>
      </w:r>
      <w:r>
        <w:rPr>
          <w:rFonts w:hint="default" w:ascii="Times New Roman" w:hAnsi="Times New Roman" w:eastAsia="方正仿宋_GBK" w:cs="Times New Roman"/>
          <w:b w:val="0"/>
          <w:bCs w:val="0"/>
          <w:color w:val="auto"/>
          <w:spacing w:val="-2"/>
          <w:sz w:val="32"/>
          <w:szCs w:val="32"/>
          <w:highlight w:val="none"/>
          <w:lang w:eastAsia="zh-CN"/>
        </w:rPr>
        <w:t>较</w:t>
      </w:r>
      <w:r>
        <w:rPr>
          <w:rFonts w:hint="default" w:ascii="Times New Roman" w:hAnsi="Times New Roman" w:eastAsia="方正仿宋_GBK" w:cs="Times New Roman"/>
          <w:b w:val="0"/>
          <w:bCs w:val="0"/>
          <w:color w:val="auto"/>
          <w:spacing w:val="-2"/>
          <w:sz w:val="32"/>
          <w:szCs w:val="32"/>
          <w:highlight w:val="none"/>
          <w:lang w:val="en-US" w:eastAsia="zh-CN"/>
        </w:rPr>
        <w:t>上</w:t>
      </w:r>
      <w:r>
        <w:rPr>
          <w:rFonts w:hint="default" w:ascii="Times New Roman" w:hAnsi="Times New Roman" w:eastAsia="方正仿宋_GBK" w:cs="Times New Roman"/>
          <w:b w:val="0"/>
          <w:bCs w:val="0"/>
          <w:color w:val="auto"/>
          <w:spacing w:val="-2"/>
          <w:sz w:val="32"/>
          <w:szCs w:val="32"/>
          <w:highlight w:val="none"/>
          <w:lang w:eastAsia="zh-CN"/>
        </w:rPr>
        <w:t>年同期</w:t>
      </w:r>
      <w:r>
        <w:rPr>
          <w:rFonts w:hint="default" w:ascii="Times New Roman" w:hAnsi="Times New Roman" w:eastAsia="方正仿宋_GBK" w:cs="Times New Roman"/>
          <w:b w:val="0"/>
          <w:bCs w:val="0"/>
          <w:color w:val="auto"/>
          <w:spacing w:val="-2"/>
          <w:sz w:val="32"/>
          <w:szCs w:val="32"/>
          <w:highlight w:val="none"/>
          <w:lang w:val="en-US" w:eastAsia="zh-CN"/>
        </w:rPr>
        <w:t>（-34.7%）</w:t>
      </w:r>
      <w:r>
        <w:rPr>
          <w:rFonts w:hint="default" w:ascii="Times New Roman" w:hAnsi="Times New Roman" w:eastAsia="方正仿宋_GBK" w:cs="Times New Roman"/>
          <w:b w:val="0"/>
          <w:bCs w:val="0"/>
          <w:color w:val="auto"/>
          <w:spacing w:val="-2"/>
          <w:sz w:val="32"/>
          <w:szCs w:val="32"/>
          <w:highlight w:val="none"/>
          <w:lang w:eastAsia="zh-CN"/>
        </w:rPr>
        <w:t>提高</w:t>
      </w:r>
      <w:r>
        <w:rPr>
          <w:rFonts w:hint="default" w:ascii="Times New Roman" w:hAnsi="Times New Roman" w:eastAsia="方正仿宋_GBK" w:cs="Times New Roman"/>
          <w:sz w:val="32"/>
          <w:szCs w:val="32"/>
          <w:highlight w:val="none"/>
          <w:lang w:val="en-US" w:eastAsia="zh-CN"/>
        </w:rPr>
        <w:t>66</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b w:val="0"/>
          <w:bCs w:val="0"/>
          <w:color w:val="auto"/>
          <w:spacing w:val="-2"/>
          <w:sz w:val="32"/>
          <w:szCs w:val="32"/>
          <w:highlight w:val="none"/>
          <w:lang w:val="en-US" w:eastAsia="zh-CN"/>
        </w:rPr>
        <w:t>个百分点，</w:t>
      </w:r>
      <w:r>
        <w:rPr>
          <w:rFonts w:hint="default" w:ascii="Times New Roman" w:hAnsi="Times New Roman" w:eastAsia="方正仿宋_GBK" w:cs="Times New Roman"/>
          <w:color w:val="auto"/>
          <w:sz w:val="32"/>
          <w:szCs w:val="32"/>
          <w:highlight w:val="none"/>
          <w:lang w:val="en-US" w:eastAsia="zh-CN"/>
        </w:rPr>
        <w:t>高于全年目标任务（30%）1.</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个百分点</w:t>
      </w:r>
      <w:r>
        <w:rPr>
          <w:rFonts w:hint="default" w:ascii="Times New Roman" w:hAnsi="Times New Roman" w:eastAsia="方正仿宋_GBK" w:cs="Times New Roman"/>
          <w:b w:val="0"/>
          <w:bCs w:val="0"/>
          <w:color w:val="auto"/>
          <w:spacing w:val="-2"/>
          <w:sz w:val="32"/>
          <w:szCs w:val="32"/>
          <w:highlight w:val="none"/>
          <w:lang w:eastAsia="zh-CN"/>
        </w:rPr>
        <w:t>。</w:t>
      </w:r>
      <w:r>
        <w:rPr>
          <w:rFonts w:hint="default" w:ascii="Times New Roman" w:hAnsi="Times New Roman" w:eastAsia="方正仿宋_GBK" w:cs="Times New Roman"/>
          <w:b w:val="0"/>
          <w:bCs w:val="0"/>
          <w:color w:val="auto"/>
          <w:spacing w:val="-2"/>
          <w:sz w:val="32"/>
          <w:szCs w:val="32"/>
          <w:highlight w:val="none"/>
          <w:lang w:val="en-US" w:eastAsia="zh-CN"/>
        </w:rPr>
        <w:t>完成全年目标任务22.7亿元的69.</w:t>
      </w:r>
      <w:r>
        <w:rPr>
          <w:rFonts w:hint="eastAsia" w:ascii="Times New Roman" w:hAnsi="Times New Roman" w:eastAsia="方正仿宋_GBK" w:cs="Times New Roman"/>
          <w:b w:val="0"/>
          <w:bCs w:val="0"/>
          <w:color w:val="auto"/>
          <w:spacing w:val="-2"/>
          <w:sz w:val="32"/>
          <w:szCs w:val="32"/>
          <w:highlight w:val="none"/>
          <w:lang w:val="en-US" w:eastAsia="zh-CN"/>
        </w:rPr>
        <w:t>5</w:t>
      </w:r>
      <w:r>
        <w:rPr>
          <w:rFonts w:hint="default" w:ascii="Times New Roman" w:hAnsi="Times New Roman" w:eastAsia="方正仿宋_GBK" w:cs="Times New Roman"/>
          <w:b w:val="0"/>
          <w:bCs w:val="0"/>
          <w:color w:val="auto"/>
          <w:spacing w:val="-2"/>
          <w:sz w:val="32"/>
          <w:szCs w:val="32"/>
          <w:highlight w:val="none"/>
          <w:lang w:val="en-US" w:eastAsia="zh-CN"/>
        </w:rPr>
        <w:t>%。</w:t>
      </w:r>
    </w:p>
    <w:p w14:paraId="607E3CD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b w:val="0"/>
          <w:bCs w:val="0"/>
          <w:color w:val="auto"/>
          <w:spacing w:val="-2"/>
          <w:sz w:val="32"/>
          <w:szCs w:val="32"/>
          <w:highlight w:val="none"/>
          <w:lang w:val="en-US" w:eastAsia="zh-CN"/>
        </w:rPr>
      </w:pPr>
      <w:r>
        <w:rPr>
          <w:rFonts w:hint="default" w:ascii="Times New Roman" w:hAnsi="Times New Roman" w:eastAsia="方正仿宋_GBK" w:cs="Times New Roman"/>
          <w:b w:val="0"/>
          <w:bCs w:val="0"/>
          <w:color w:val="auto"/>
          <w:spacing w:val="-2"/>
          <w:sz w:val="32"/>
          <w:szCs w:val="32"/>
          <w:highlight w:val="none"/>
          <w:lang w:val="zh-CN"/>
        </w:rPr>
        <w:t>——</w:t>
      </w:r>
      <w:r>
        <w:rPr>
          <w:rFonts w:hint="default" w:ascii="Times New Roman" w:hAnsi="Times New Roman" w:eastAsia="方正仿宋_GBK" w:cs="Times New Roman"/>
          <w:b w:val="0"/>
          <w:bCs w:val="0"/>
          <w:color w:val="auto"/>
          <w:spacing w:val="-2"/>
          <w:sz w:val="32"/>
          <w:szCs w:val="32"/>
          <w:highlight w:val="none"/>
        </w:rPr>
        <w:t>限额以上社会消费品零售总额</w:t>
      </w:r>
      <w:r>
        <w:rPr>
          <w:rFonts w:hint="default" w:ascii="Times New Roman" w:hAnsi="Times New Roman" w:eastAsia="方正仿宋_GBK" w:cs="Times New Roman"/>
          <w:color w:val="auto"/>
          <w:sz w:val="32"/>
          <w:szCs w:val="32"/>
          <w:highlight w:val="none"/>
          <w:lang w:val="en-US" w:eastAsia="zh-CN"/>
        </w:rPr>
        <w:t>预计完成</w:t>
      </w:r>
      <w:r>
        <w:rPr>
          <w:rFonts w:hint="default" w:ascii="Times New Roman" w:hAnsi="Times New Roman" w:eastAsia="方正仿宋_GBK" w:cs="Times New Roman"/>
          <w:sz w:val="32"/>
          <w:szCs w:val="32"/>
          <w:highlight w:val="none"/>
          <w:lang w:val="en-US" w:eastAsia="zh-CN"/>
        </w:rPr>
        <w:t>9</w:t>
      </w:r>
      <w:r>
        <w:rPr>
          <w:rFonts w:hint="eastAsia" w:ascii="Times New Roman" w:hAnsi="Times New Roman" w:eastAsia="方正仿宋_GBK" w:cs="Times New Roman"/>
          <w:sz w:val="32"/>
          <w:szCs w:val="32"/>
          <w:highlight w:val="none"/>
          <w:lang w:val="en-US" w:eastAsia="zh-CN"/>
        </w:rPr>
        <w:t>300.3</w:t>
      </w:r>
      <w:r>
        <w:rPr>
          <w:rFonts w:hint="default" w:ascii="Times New Roman" w:hAnsi="Times New Roman" w:eastAsia="方正仿宋_GBK" w:cs="Times New Roman"/>
          <w:sz w:val="32"/>
          <w:szCs w:val="32"/>
          <w:highlight w:val="none"/>
        </w:rPr>
        <w:t>万元，同比增长</w:t>
      </w:r>
      <w:r>
        <w:rPr>
          <w:rFonts w:hint="default" w:ascii="Times New Roman" w:hAnsi="Times New Roman" w:eastAsia="方正仿宋_GBK" w:cs="Times New Roman"/>
          <w:sz w:val="32"/>
          <w:szCs w:val="32"/>
          <w:highlight w:val="none"/>
          <w:lang w:val="en-US" w:eastAsia="zh-CN"/>
        </w:rPr>
        <w:t>28.4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b w:val="0"/>
          <w:bCs w:val="0"/>
          <w:color w:val="auto"/>
          <w:spacing w:val="-2"/>
          <w:sz w:val="32"/>
          <w:szCs w:val="32"/>
          <w:highlight w:val="none"/>
          <w:lang w:eastAsia="zh-CN"/>
        </w:rPr>
        <w:t>，</w:t>
      </w:r>
      <w:r>
        <w:rPr>
          <w:rFonts w:hint="default" w:ascii="Times New Roman" w:hAnsi="Times New Roman" w:eastAsia="方正仿宋_GBK" w:cs="Times New Roman"/>
          <w:b w:val="0"/>
          <w:bCs w:val="0"/>
          <w:color w:val="auto"/>
          <w:spacing w:val="-2"/>
          <w:sz w:val="32"/>
          <w:szCs w:val="32"/>
          <w:highlight w:val="none"/>
          <w:lang w:val="en-US" w:eastAsia="zh-CN"/>
        </w:rPr>
        <w:t>增速</w:t>
      </w:r>
      <w:r>
        <w:rPr>
          <w:rFonts w:hint="default" w:ascii="Times New Roman" w:hAnsi="Times New Roman" w:eastAsia="方正仿宋_GBK" w:cs="Times New Roman"/>
          <w:b w:val="0"/>
          <w:bCs w:val="0"/>
          <w:color w:val="auto"/>
          <w:spacing w:val="-2"/>
          <w:sz w:val="32"/>
          <w:szCs w:val="32"/>
          <w:highlight w:val="none"/>
          <w:lang w:eastAsia="zh-CN"/>
        </w:rPr>
        <w:t>较</w:t>
      </w:r>
      <w:r>
        <w:rPr>
          <w:rFonts w:hint="default" w:ascii="Times New Roman" w:hAnsi="Times New Roman" w:eastAsia="方正仿宋_GBK" w:cs="Times New Roman"/>
          <w:b w:val="0"/>
          <w:bCs w:val="0"/>
          <w:color w:val="auto"/>
          <w:spacing w:val="-2"/>
          <w:sz w:val="32"/>
          <w:szCs w:val="32"/>
          <w:highlight w:val="none"/>
          <w:lang w:val="en-US" w:eastAsia="zh-CN"/>
        </w:rPr>
        <w:t>上</w:t>
      </w:r>
      <w:r>
        <w:rPr>
          <w:rFonts w:hint="default" w:ascii="Times New Roman" w:hAnsi="Times New Roman" w:eastAsia="方正仿宋_GBK" w:cs="Times New Roman"/>
          <w:b w:val="0"/>
          <w:bCs w:val="0"/>
          <w:color w:val="auto"/>
          <w:spacing w:val="-2"/>
          <w:sz w:val="32"/>
          <w:szCs w:val="32"/>
          <w:highlight w:val="none"/>
          <w:lang w:eastAsia="zh-CN"/>
        </w:rPr>
        <w:t>年同期</w:t>
      </w:r>
      <w:r>
        <w:rPr>
          <w:rFonts w:hint="default" w:ascii="Times New Roman" w:hAnsi="Times New Roman" w:eastAsia="方正仿宋_GBK" w:cs="Times New Roman"/>
          <w:b w:val="0"/>
          <w:bCs w:val="0"/>
          <w:color w:val="auto"/>
          <w:spacing w:val="-2"/>
          <w:sz w:val="32"/>
          <w:szCs w:val="32"/>
          <w:highlight w:val="none"/>
          <w:lang w:val="en-US" w:eastAsia="zh-CN"/>
        </w:rPr>
        <w:t>（7.2%）</w:t>
      </w:r>
      <w:r>
        <w:rPr>
          <w:rFonts w:hint="default" w:ascii="Times New Roman" w:hAnsi="Times New Roman" w:eastAsia="方正仿宋_GBK" w:cs="Times New Roman"/>
          <w:b w:val="0"/>
          <w:bCs w:val="0"/>
          <w:color w:val="auto"/>
          <w:spacing w:val="-2"/>
          <w:sz w:val="32"/>
          <w:szCs w:val="32"/>
          <w:highlight w:val="none"/>
          <w:lang w:eastAsia="zh-CN"/>
        </w:rPr>
        <w:t>提高</w:t>
      </w:r>
      <w:r>
        <w:rPr>
          <w:rFonts w:hint="default" w:ascii="Times New Roman" w:hAnsi="Times New Roman" w:eastAsia="方正仿宋_GBK" w:cs="Times New Roman"/>
          <w:sz w:val="32"/>
          <w:szCs w:val="32"/>
          <w:highlight w:val="none"/>
          <w:lang w:val="en-US" w:eastAsia="zh-CN"/>
        </w:rPr>
        <w:t>21.2</w:t>
      </w:r>
      <w:r>
        <w:rPr>
          <w:rFonts w:hint="default" w:ascii="Times New Roman" w:hAnsi="Times New Roman" w:eastAsia="方正仿宋_GBK" w:cs="Times New Roman"/>
          <w:b w:val="0"/>
          <w:bCs w:val="0"/>
          <w:color w:val="auto"/>
          <w:spacing w:val="-2"/>
          <w:sz w:val="32"/>
          <w:szCs w:val="32"/>
          <w:highlight w:val="none"/>
          <w:lang w:val="en-US" w:eastAsia="zh-CN"/>
        </w:rPr>
        <w:t>个百分点</w:t>
      </w:r>
      <w:r>
        <w:rPr>
          <w:rFonts w:hint="default" w:ascii="Times New Roman" w:hAnsi="Times New Roman" w:eastAsia="方正仿宋_GBK" w:cs="Times New Roman"/>
          <w:color w:val="auto"/>
          <w:sz w:val="32"/>
          <w:szCs w:val="32"/>
          <w:highlight w:val="none"/>
          <w:lang w:val="en-US" w:eastAsia="zh-CN"/>
        </w:rPr>
        <w:t>，高于全年目标任务（13%）15.4个百分点</w:t>
      </w:r>
      <w:r>
        <w:rPr>
          <w:rFonts w:hint="default" w:ascii="Times New Roman" w:hAnsi="Times New Roman" w:eastAsia="方正仿宋_GBK" w:cs="Times New Roman"/>
          <w:b w:val="0"/>
          <w:bCs w:val="0"/>
          <w:color w:val="auto"/>
          <w:spacing w:val="-2"/>
          <w:sz w:val="32"/>
          <w:szCs w:val="32"/>
          <w:highlight w:val="none"/>
        </w:rPr>
        <w:t>。</w:t>
      </w:r>
      <w:r>
        <w:rPr>
          <w:rFonts w:hint="default" w:ascii="Times New Roman" w:hAnsi="Times New Roman" w:eastAsia="方正仿宋_GBK" w:cs="Times New Roman"/>
          <w:b w:val="0"/>
          <w:bCs w:val="0"/>
          <w:color w:val="auto"/>
          <w:spacing w:val="-2"/>
          <w:sz w:val="32"/>
          <w:szCs w:val="32"/>
          <w:highlight w:val="none"/>
          <w:lang w:val="en-US" w:eastAsia="zh-CN"/>
        </w:rPr>
        <w:t>完成全年目标任务1.05亿元的88.6%。（＊）</w:t>
      </w:r>
    </w:p>
    <w:p w14:paraId="5056A5AE">
      <w:pPr>
        <w:keepNext w:val="0"/>
        <w:keepLines w:val="0"/>
        <w:pageBreakBefore w:val="0"/>
        <w:widowControl w:val="0"/>
        <w:shd w:val="clear"/>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b w:val="0"/>
          <w:bCs w:val="0"/>
          <w:color w:val="auto"/>
          <w:spacing w:val="-2"/>
          <w:sz w:val="32"/>
          <w:szCs w:val="32"/>
          <w:highlight w:val="none"/>
          <w:lang w:val="en-US" w:eastAsia="zh-CN"/>
        </w:rPr>
      </w:pPr>
      <w:r>
        <w:rPr>
          <w:rFonts w:hint="default" w:ascii="Times New Roman" w:hAnsi="Times New Roman" w:eastAsia="方正仿宋_GBK" w:cs="Times New Roman"/>
          <w:b w:val="0"/>
          <w:bCs w:val="0"/>
          <w:color w:val="auto"/>
          <w:spacing w:val="-2"/>
          <w:sz w:val="32"/>
          <w:szCs w:val="32"/>
          <w:highlight w:val="none"/>
        </w:rPr>
        <w:t>——</w:t>
      </w:r>
      <w:r>
        <w:rPr>
          <w:rFonts w:hint="default" w:ascii="Times New Roman" w:hAnsi="Times New Roman" w:eastAsia="方正仿宋_GBK" w:cs="Times New Roman"/>
          <w:b w:val="0"/>
          <w:bCs w:val="0"/>
          <w:color w:val="auto"/>
          <w:spacing w:val="-2"/>
          <w:sz w:val="32"/>
          <w:szCs w:val="32"/>
          <w:highlight w:val="none"/>
          <w:lang w:val="en-US" w:eastAsia="zh-CN"/>
        </w:rPr>
        <w:t>新建商品房销售面积预计完成4.19万平方米，同比增长21.8%；商品房销售额预计完成1.88亿元，同比增长23.3%。（＊）</w:t>
      </w:r>
    </w:p>
    <w:p w14:paraId="47F9E50D">
      <w:pPr>
        <w:keepNext w:val="0"/>
        <w:keepLines w:val="0"/>
        <w:pageBreakBefore w:val="0"/>
        <w:widowControl w:val="0"/>
        <w:shd w:val="clear"/>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b w:val="0"/>
          <w:bCs w:val="0"/>
          <w:color w:val="auto"/>
          <w:spacing w:val="-2"/>
          <w:sz w:val="32"/>
          <w:szCs w:val="32"/>
          <w:highlight w:val="none"/>
          <w:lang w:eastAsia="zh-CN"/>
        </w:rPr>
      </w:pPr>
      <w:r>
        <w:rPr>
          <w:rFonts w:hint="default" w:ascii="Times New Roman" w:hAnsi="Times New Roman" w:eastAsia="方正仿宋_GBK" w:cs="Times New Roman"/>
          <w:b w:val="0"/>
          <w:bCs w:val="0"/>
          <w:color w:val="auto"/>
          <w:spacing w:val="-2"/>
          <w:sz w:val="32"/>
          <w:szCs w:val="32"/>
          <w:highlight w:val="none"/>
        </w:rPr>
        <w:t>——外贸进出口</w:t>
      </w:r>
      <w:r>
        <w:rPr>
          <w:rFonts w:hint="default" w:ascii="Times New Roman" w:hAnsi="Times New Roman" w:eastAsia="方正仿宋_GBK" w:cs="Times New Roman"/>
          <w:b w:val="0"/>
          <w:bCs w:val="0"/>
          <w:color w:val="auto"/>
          <w:spacing w:val="-2"/>
          <w:sz w:val="32"/>
          <w:szCs w:val="32"/>
          <w:highlight w:val="none"/>
          <w:lang w:val="en-US" w:eastAsia="zh-CN"/>
        </w:rPr>
        <w:t>总额</w:t>
      </w:r>
      <w:r>
        <w:rPr>
          <w:rFonts w:hint="default" w:ascii="Times New Roman" w:hAnsi="Times New Roman" w:eastAsia="方正仿宋_GBK" w:cs="Times New Roman"/>
          <w:sz w:val="32"/>
          <w:szCs w:val="32"/>
          <w:highlight w:val="none"/>
          <w:lang w:val="en-US" w:eastAsia="zh-CN"/>
        </w:rPr>
        <w:t>8.34</w:t>
      </w:r>
      <w:r>
        <w:rPr>
          <w:rFonts w:hint="default" w:ascii="Times New Roman" w:hAnsi="Times New Roman" w:eastAsia="方正仿宋_GBK" w:cs="Times New Roman"/>
          <w:sz w:val="32"/>
          <w:szCs w:val="32"/>
          <w:highlight w:val="none"/>
        </w:rPr>
        <w:t>亿元</w:t>
      </w:r>
      <w:r>
        <w:rPr>
          <w:rFonts w:hint="default" w:ascii="Times New Roman" w:hAnsi="Times New Roman" w:eastAsia="方正仿宋_GBK" w:cs="Times New Roman"/>
          <w:sz w:val="32"/>
          <w:szCs w:val="32"/>
          <w:highlight w:val="none"/>
          <w:lang w:val="en-US" w:eastAsia="zh-CN"/>
        </w:rPr>
        <w:t>人民币，同比增长3.42%</w:t>
      </w:r>
      <w:r>
        <w:rPr>
          <w:rFonts w:hint="default" w:ascii="Times New Roman" w:hAnsi="Times New Roman" w:eastAsia="方正仿宋_GBK" w:cs="Times New Roman"/>
          <w:b w:val="0"/>
          <w:bCs w:val="0"/>
          <w:color w:val="auto"/>
          <w:spacing w:val="-2"/>
          <w:kern w:val="0"/>
          <w:sz w:val="32"/>
          <w:szCs w:val="32"/>
          <w:highlight w:val="none"/>
          <w:lang w:val="en-US" w:eastAsia="zh-CN" w:bidi="ar"/>
        </w:rPr>
        <w:t>，增速较1-9月（1.83%）提升1.59个百分点</w:t>
      </w:r>
      <w:r>
        <w:rPr>
          <w:rFonts w:hint="default" w:ascii="Times New Roman" w:hAnsi="Times New Roman" w:eastAsia="方正仿宋_GBK" w:cs="Times New Roman"/>
          <w:b w:val="0"/>
          <w:bCs w:val="0"/>
          <w:color w:val="auto"/>
          <w:spacing w:val="-2"/>
          <w:sz w:val="32"/>
          <w:szCs w:val="32"/>
          <w:highlight w:val="none"/>
        </w:rPr>
        <w:t>。</w:t>
      </w:r>
      <w:r>
        <w:rPr>
          <w:rFonts w:hint="default" w:ascii="Times New Roman" w:hAnsi="Times New Roman" w:eastAsia="方正仿宋_GBK" w:cs="Times New Roman"/>
          <w:b w:val="0"/>
          <w:bCs w:val="0"/>
          <w:color w:val="auto"/>
          <w:spacing w:val="-2"/>
          <w:sz w:val="32"/>
          <w:szCs w:val="32"/>
          <w:highlight w:val="none"/>
          <w:lang w:val="en-US" w:eastAsia="zh-CN"/>
        </w:rPr>
        <w:t>完成全年目标任务9.29亿元的89.8%。</w:t>
      </w:r>
    </w:p>
    <w:p w14:paraId="08149221">
      <w:pPr>
        <w:keepNext w:val="0"/>
        <w:keepLines w:val="0"/>
        <w:pageBreakBefore w:val="0"/>
        <w:widowControl w:val="0"/>
        <w:shd w:val="clear"/>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b w:val="0"/>
          <w:bCs w:val="0"/>
          <w:color w:val="auto"/>
          <w:spacing w:val="-2"/>
          <w:sz w:val="32"/>
          <w:szCs w:val="32"/>
          <w:highlight w:val="none"/>
          <w:lang w:val="zh-CN"/>
        </w:rPr>
        <w:t>——</w:t>
      </w:r>
      <w:r>
        <w:rPr>
          <w:rFonts w:hint="default" w:ascii="Times New Roman" w:hAnsi="Times New Roman" w:eastAsia="方正仿宋_GBK" w:cs="Times New Roman"/>
          <w:b w:val="0"/>
          <w:bCs w:val="0"/>
          <w:color w:val="auto"/>
          <w:spacing w:val="-2"/>
          <w:sz w:val="32"/>
          <w:szCs w:val="32"/>
          <w:highlight w:val="none"/>
        </w:rPr>
        <w:t>一般公共预算收入</w:t>
      </w:r>
      <w:r>
        <w:rPr>
          <w:rFonts w:hint="default" w:ascii="Times New Roman" w:hAnsi="Times New Roman" w:eastAsia="方正仿宋_GBK" w:cs="Times New Roman"/>
          <w:b w:val="0"/>
          <w:bCs w:val="0"/>
          <w:color w:val="auto"/>
          <w:spacing w:val="-2"/>
          <w:sz w:val="32"/>
          <w:szCs w:val="32"/>
          <w:highlight w:val="none"/>
          <w:lang w:val="en-US" w:eastAsia="zh-CN"/>
        </w:rPr>
        <w:t>完成</w:t>
      </w:r>
      <w:r>
        <w:rPr>
          <w:rFonts w:hint="default" w:ascii="Times New Roman" w:hAnsi="Times New Roman" w:eastAsia="方正仿宋_GBK" w:cs="Times New Roman"/>
          <w:sz w:val="32"/>
          <w:szCs w:val="32"/>
          <w:highlight w:val="none"/>
          <w:lang w:val="en-US" w:eastAsia="zh-CN"/>
        </w:rPr>
        <w:t>29921万元</w:t>
      </w:r>
      <w:r>
        <w:rPr>
          <w:rFonts w:hint="default" w:ascii="Times New Roman" w:hAnsi="Times New Roman" w:eastAsia="方正仿宋_GBK" w:cs="Times New Roman"/>
          <w:sz w:val="32"/>
          <w:szCs w:val="32"/>
          <w:highlight w:val="none"/>
        </w:rPr>
        <w:t>，同比增长</w:t>
      </w:r>
      <w:r>
        <w:rPr>
          <w:rFonts w:hint="default" w:ascii="Times New Roman" w:hAnsi="Times New Roman" w:eastAsia="方正仿宋_GBK" w:cs="Times New Roman"/>
          <w:sz w:val="32"/>
          <w:szCs w:val="32"/>
          <w:highlight w:val="none"/>
          <w:lang w:val="en-US" w:eastAsia="zh-CN"/>
        </w:rPr>
        <w:t>12.21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color w:val="auto"/>
          <w:sz w:val="32"/>
          <w:szCs w:val="32"/>
          <w:highlight w:val="none"/>
          <w:lang w:val="en-US" w:eastAsia="zh-CN"/>
        </w:rPr>
        <w:t>，高于全年目标任务（12%）0.21个百分点</w:t>
      </w:r>
      <w:r>
        <w:rPr>
          <w:rFonts w:hint="default" w:ascii="Times New Roman" w:hAnsi="Times New Roman" w:eastAsia="方正仿宋_GBK" w:cs="Times New Roman"/>
          <w:b w:val="0"/>
          <w:bCs w:val="0"/>
          <w:color w:val="auto"/>
          <w:spacing w:val="-2"/>
          <w:sz w:val="32"/>
          <w:szCs w:val="32"/>
          <w:highlight w:val="none"/>
        </w:rPr>
        <w:t>。</w:t>
      </w:r>
      <w:r>
        <w:rPr>
          <w:rFonts w:hint="default" w:ascii="Times New Roman" w:hAnsi="Times New Roman" w:eastAsia="方正仿宋_GBK" w:cs="Times New Roman"/>
          <w:b w:val="0"/>
          <w:bCs w:val="0"/>
          <w:color w:val="auto"/>
          <w:spacing w:val="-2"/>
          <w:sz w:val="32"/>
          <w:szCs w:val="32"/>
          <w:highlight w:val="none"/>
          <w:lang w:val="en-US" w:eastAsia="zh-CN"/>
        </w:rPr>
        <w:t>完成全年目标任务3.35亿元的89.3%。</w:t>
      </w:r>
    </w:p>
    <w:p w14:paraId="7616BFB3">
      <w:pPr>
        <w:keepNext w:val="0"/>
        <w:keepLines w:val="0"/>
        <w:pageBreakBefore w:val="0"/>
        <w:widowControl w:val="0"/>
        <w:shd w:val="clea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b w:val="0"/>
          <w:bCs w:val="0"/>
          <w:color w:val="auto"/>
          <w:spacing w:val="-2"/>
          <w:sz w:val="32"/>
          <w:szCs w:val="32"/>
          <w:highlight w:val="none"/>
          <w:lang w:val="zh-CN"/>
        </w:rPr>
      </w:pPr>
      <w:r>
        <w:rPr>
          <w:rFonts w:hint="default" w:ascii="Times New Roman" w:hAnsi="Times New Roman" w:eastAsia="方正仿宋_GBK" w:cs="Times New Roman"/>
          <w:b w:val="0"/>
          <w:bCs w:val="0"/>
          <w:color w:val="auto"/>
          <w:spacing w:val="-2"/>
          <w:sz w:val="32"/>
          <w:szCs w:val="32"/>
          <w:highlight w:val="none"/>
          <w:lang w:val="zh-CN"/>
        </w:rPr>
        <w:t>——</w:t>
      </w:r>
      <w:r>
        <w:rPr>
          <w:rFonts w:hint="default" w:ascii="Times New Roman" w:hAnsi="Times New Roman" w:eastAsia="方正仿宋_GBK" w:cs="Times New Roman"/>
          <w:b w:val="0"/>
          <w:bCs w:val="0"/>
          <w:color w:val="auto"/>
          <w:spacing w:val="-2"/>
          <w:sz w:val="32"/>
          <w:szCs w:val="32"/>
          <w:highlight w:val="none"/>
          <w:lang w:val="en-US" w:eastAsia="zh-CN"/>
        </w:rPr>
        <w:t>全县</w:t>
      </w:r>
      <w:r>
        <w:rPr>
          <w:rFonts w:hint="default" w:ascii="Times New Roman" w:hAnsi="Times New Roman" w:eastAsia="方正仿宋_GBK" w:cs="Times New Roman"/>
          <w:sz w:val="32"/>
          <w:szCs w:val="32"/>
          <w:highlight w:val="none"/>
        </w:rPr>
        <w:t>城镇新增就业</w:t>
      </w:r>
      <w:r>
        <w:rPr>
          <w:rFonts w:hint="default" w:ascii="Times New Roman" w:hAnsi="Times New Roman" w:eastAsia="方正仿宋_GBK" w:cs="Times New Roman"/>
          <w:sz w:val="32"/>
          <w:szCs w:val="32"/>
          <w:highlight w:val="none"/>
          <w:lang w:val="en-US" w:eastAsia="zh-CN"/>
        </w:rPr>
        <w:t>4851</w:t>
      </w:r>
      <w:r>
        <w:rPr>
          <w:rFonts w:hint="default" w:ascii="Times New Roman" w:hAnsi="Times New Roman" w:eastAsia="方正仿宋_GBK" w:cs="Times New Roman"/>
          <w:sz w:val="32"/>
          <w:szCs w:val="32"/>
          <w:highlight w:val="none"/>
        </w:rPr>
        <w:t>人，完成全年目标任务</w:t>
      </w:r>
      <w:r>
        <w:rPr>
          <w:rFonts w:hint="default" w:ascii="Times New Roman" w:hAnsi="Times New Roman" w:eastAsia="方正仿宋_GBK" w:cs="Times New Roman"/>
          <w:sz w:val="32"/>
          <w:szCs w:val="32"/>
          <w:highlight w:val="none"/>
          <w:lang w:val="en-US" w:eastAsia="zh-CN"/>
        </w:rPr>
        <w:t>4900人</w:t>
      </w:r>
      <w:r>
        <w:rPr>
          <w:rFonts w:hint="default" w:ascii="Times New Roman" w:hAnsi="Times New Roman" w:eastAsia="方正仿宋_GBK" w:cs="Times New Roman"/>
          <w:sz w:val="32"/>
          <w:szCs w:val="32"/>
          <w:highlight w:val="none"/>
        </w:rPr>
        <w:t>的</w:t>
      </w:r>
      <w:r>
        <w:rPr>
          <w:rFonts w:hint="default" w:ascii="Times New Roman" w:hAnsi="Times New Roman" w:eastAsia="方正仿宋_GBK" w:cs="Times New Roman"/>
          <w:sz w:val="32"/>
          <w:szCs w:val="32"/>
          <w:highlight w:val="none"/>
          <w:lang w:val="en-US" w:eastAsia="zh-CN"/>
        </w:rPr>
        <w:t>99</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b w:val="0"/>
          <w:bCs w:val="0"/>
          <w:color w:val="auto"/>
          <w:spacing w:val="-2"/>
          <w:sz w:val="32"/>
          <w:szCs w:val="32"/>
          <w:highlight w:val="none"/>
          <w:lang w:val="zh-CN"/>
        </w:rPr>
        <w:t>；</w:t>
      </w:r>
      <w:r>
        <w:rPr>
          <w:rFonts w:hint="default" w:ascii="Times New Roman" w:hAnsi="Times New Roman" w:eastAsia="方正仿宋_GBK" w:cs="Times New Roman"/>
          <w:sz w:val="32"/>
          <w:szCs w:val="32"/>
          <w:highlight w:val="none"/>
          <w:lang w:val="en-US" w:eastAsia="zh-CN"/>
        </w:rPr>
        <w:t>农村富余劳动力转移就业76869</w:t>
      </w:r>
      <w:r>
        <w:rPr>
          <w:rFonts w:hint="default" w:ascii="Times New Roman" w:hAnsi="Times New Roman" w:eastAsia="方正仿宋_GBK" w:cs="Times New Roman"/>
          <w:sz w:val="32"/>
          <w:szCs w:val="32"/>
          <w:highlight w:val="none"/>
        </w:rPr>
        <w:t>人次，完成全年目标任务</w:t>
      </w:r>
      <w:r>
        <w:rPr>
          <w:rFonts w:hint="default" w:ascii="Times New Roman" w:hAnsi="Times New Roman" w:eastAsia="方正仿宋_GBK" w:cs="Times New Roman"/>
          <w:sz w:val="32"/>
          <w:szCs w:val="32"/>
          <w:highlight w:val="none"/>
          <w:lang w:val="en-US" w:eastAsia="zh-CN"/>
        </w:rPr>
        <w:t>72000人次</w:t>
      </w:r>
      <w:r>
        <w:rPr>
          <w:rFonts w:hint="default" w:ascii="Times New Roman" w:hAnsi="Times New Roman" w:eastAsia="方正仿宋_GBK" w:cs="Times New Roman"/>
          <w:sz w:val="32"/>
          <w:szCs w:val="32"/>
          <w:highlight w:val="none"/>
        </w:rPr>
        <w:t>的</w:t>
      </w:r>
      <w:r>
        <w:rPr>
          <w:rFonts w:hint="default" w:ascii="Times New Roman" w:hAnsi="Times New Roman" w:eastAsia="方正仿宋_GBK" w:cs="Times New Roman"/>
          <w:sz w:val="32"/>
          <w:szCs w:val="32"/>
          <w:highlight w:val="none"/>
          <w:lang w:val="en-US" w:eastAsia="zh-CN"/>
        </w:rPr>
        <w:t>106.76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b w:val="0"/>
          <w:bCs w:val="0"/>
          <w:color w:val="auto"/>
          <w:spacing w:val="-2"/>
          <w:sz w:val="32"/>
          <w:szCs w:val="32"/>
          <w:highlight w:val="none"/>
          <w:lang w:val="zh-CN"/>
        </w:rPr>
        <w:t>。</w:t>
      </w:r>
    </w:p>
    <w:p w14:paraId="6B08B8FD">
      <w:pPr>
        <w:keepNext w:val="0"/>
        <w:keepLines w:val="0"/>
        <w:pageBreakBefore w:val="0"/>
        <w:widowControl w:val="0"/>
        <w:shd w:val="clea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b w:val="0"/>
          <w:bCs w:val="0"/>
          <w:color w:val="auto"/>
          <w:spacing w:val="-2"/>
          <w:sz w:val="32"/>
          <w:szCs w:val="32"/>
          <w:highlight w:val="none"/>
          <w:lang w:val="zh-CN"/>
        </w:rPr>
      </w:pPr>
      <w:r>
        <w:rPr>
          <w:rFonts w:hint="default" w:ascii="Times New Roman" w:hAnsi="Times New Roman" w:eastAsia="方正仿宋_GBK" w:cs="Times New Roman"/>
          <w:b w:val="0"/>
          <w:bCs w:val="0"/>
          <w:color w:val="auto"/>
          <w:spacing w:val="-2"/>
          <w:sz w:val="32"/>
          <w:szCs w:val="32"/>
          <w:highlight w:val="none"/>
          <w:lang w:val="zh-CN"/>
        </w:rPr>
        <w:t>—</w:t>
      </w:r>
      <w:r>
        <w:rPr>
          <w:rFonts w:hint="default" w:ascii="Times New Roman" w:hAnsi="Times New Roman" w:eastAsia="方正仿宋_GBK" w:cs="Times New Roman"/>
          <w:sz w:val="32"/>
          <w:szCs w:val="32"/>
          <w:highlight w:val="none"/>
          <w:lang w:val="zh-CN" w:eastAsia="zh-CN"/>
        </w:rPr>
        <w:t>—金融机构各项存款余额</w:t>
      </w:r>
      <w:r>
        <w:rPr>
          <w:rFonts w:hint="default" w:ascii="Times New Roman" w:hAnsi="Times New Roman" w:eastAsia="方正仿宋_GBK" w:cs="Times New Roman"/>
          <w:sz w:val="32"/>
          <w:szCs w:val="32"/>
          <w:highlight w:val="none"/>
          <w:lang w:val="en-US" w:eastAsia="zh-CN"/>
        </w:rPr>
        <w:t>50.99</w:t>
      </w:r>
      <w:r>
        <w:rPr>
          <w:rFonts w:hint="default" w:ascii="Times New Roman" w:hAnsi="Times New Roman" w:eastAsia="方正仿宋_GBK" w:cs="Times New Roman"/>
          <w:sz w:val="32"/>
          <w:szCs w:val="32"/>
          <w:highlight w:val="none"/>
          <w:lang w:val="zh-CN" w:eastAsia="zh-CN"/>
        </w:rPr>
        <w:t>亿元，同比增长</w:t>
      </w:r>
      <w:r>
        <w:rPr>
          <w:rFonts w:hint="default" w:ascii="Times New Roman" w:hAnsi="Times New Roman" w:eastAsia="方正仿宋_GBK" w:cs="Times New Roman"/>
          <w:sz w:val="32"/>
          <w:szCs w:val="32"/>
          <w:highlight w:val="none"/>
          <w:lang w:val="en-US" w:eastAsia="zh-CN"/>
        </w:rPr>
        <w:t>10.1</w:t>
      </w:r>
      <w:r>
        <w:rPr>
          <w:rFonts w:hint="default" w:ascii="Times New Roman" w:hAnsi="Times New Roman"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en-US" w:eastAsia="zh-CN"/>
        </w:rPr>
        <w:t>较上年同期（5.3%）提升4.8个百分点</w:t>
      </w:r>
      <w:r>
        <w:rPr>
          <w:rFonts w:hint="default" w:ascii="Times New Roman" w:hAnsi="Times New Roman" w:eastAsia="方正仿宋_GBK" w:cs="Times New Roman"/>
          <w:sz w:val="32"/>
          <w:szCs w:val="32"/>
          <w:highlight w:val="none"/>
          <w:lang w:val="zh-CN" w:eastAsia="zh-CN"/>
        </w:rPr>
        <w:t>；金融机构各项贷款余额</w:t>
      </w:r>
      <w:r>
        <w:rPr>
          <w:rFonts w:hint="default" w:ascii="Times New Roman" w:hAnsi="Times New Roman" w:eastAsia="方正仿宋_GBK" w:cs="Times New Roman"/>
          <w:sz w:val="32"/>
          <w:szCs w:val="32"/>
          <w:highlight w:val="none"/>
          <w:lang w:val="en-US" w:eastAsia="zh-CN"/>
        </w:rPr>
        <w:t>44.54</w:t>
      </w:r>
      <w:r>
        <w:rPr>
          <w:rFonts w:hint="default" w:ascii="Times New Roman" w:hAnsi="Times New Roman" w:eastAsia="方正仿宋_GBK" w:cs="Times New Roman"/>
          <w:sz w:val="32"/>
          <w:szCs w:val="32"/>
          <w:highlight w:val="none"/>
          <w:lang w:val="zh-CN" w:eastAsia="zh-CN"/>
        </w:rPr>
        <w:t>亿元，同比增长</w:t>
      </w:r>
      <w:r>
        <w:rPr>
          <w:rFonts w:hint="default" w:ascii="Times New Roman" w:hAnsi="Times New Roman" w:eastAsia="方正仿宋_GBK" w:cs="Times New Roman"/>
          <w:sz w:val="32"/>
          <w:szCs w:val="32"/>
          <w:highlight w:val="none"/>
          <w:lang w:val="en-US" w:eastAsia="zh-CN"/>
        </w:rPr>
        <w:t>19.7</w:t>
      </w:r>
      <w:r>
        <w:rPr>
          <w:rFonts w:hint="default" w:ascii="Times New Roman" w:hAnsi="Times New Roman"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en-US" w:eastAsia="zh-CN"/>
        </w:rPr>
        <w:t>较上年同期（13%）提升6.7个百分点</w:t>
      </w:r>
      <w:r>
        <w:rPr>
          <w:rFonts w:hint="default" w:ascii="Times New Roman" w:hAnsi="Times New Roman" w:eastAsia="方正仿宋_GBK" w:cs="Times New Roman"/>
          <w:sz w:val="32"/>
          <w:szCs w:val="32"/>
          <w:highlight w:val="none"/>
          <w:lang w:val="zh-CN" w:eastAsia="zh-CN"/>
        </w:rPr>
        <w:t>。存贷比</w:t>
      </w:r>
      <w:r>
        <w:rPr>
          <w:rFonts w:hint="default" w:ascii="Times New Roman" w:hAnsi="Times New Roman" w:eastAsia="方正仿宋_GBK" w:cs="Times New Roman"/>
          <w:sz w:val="32"/>
          <w:szCs w:val="32"/>
          <w:highlight w:val="none"/>
          <w:lang w:val="en-US" w:eastAsia="zh-CN"/>
        </w:rPr>
        <w:t>87.3%。</w:t>
      </w:r>
    </w:p>
    <w:p w14:paraId="1CAAF843">
      <w:pPr>
        <w:keepNext w:val="0"/>
        <w:keepLines w:val="0"/>
        <w:pageBreakBefore w:val="0"/>
        <w:widowControl w:val="0"/>
        <w:shd w:val="clea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b w:val="0"/>
          <w:bCs w:val="0"/>
          <w:color w:val="auto"/>
          <w:spacing w:val="-2"/>
          <w:sz w:val="32"/>
          <w:szCs w:val="32"/>
          <w:highlight w:val="none"/>
          <w:lang w:val="en-US" w:eastAsia="zh-CN"/>
        </w:rPr>
      </w:pPr>
      <w:r>
        <w:rPr>
          <w:rFonts w:hint="default" w:ascii="Times New Roman" w:hAnsi="Times New Roman" w:eastAsia="方正仿宋_GBK" w:cs="Times New Roman"/>
          <w:b w:val="0"/>
          <w:bCs w:val="0"/>
          <w:color w:val="auto"/>
          <w:spacing w:val="-2"/>
          <w:sz w:val="32"/>
          <w:szCs w:val="32"/>
          <w:highlight w:val="none"/>
          <w:lang w:val="zh-CN"/>
        </w:rPr>
        <w:t>——</w:t>
      </w:r>
      <w:r>
        <w:rPr>
          <w:rFonts w:hint="default" w:ascii="Times New Roman" w:hAnsi="Times New Roman" w:eastAsia="方正仿宋_GBK" w:cs="Times New Roman"/>
          <w:sz w:val="32"/>
          <w:szCs w:val="32"/>
          <w:highlight w:val="none"/>
        </w:rPr>
        <w:t>接待国内游客</w:t>
      </w:r>
      <w:r>
        <w:rPr>
          <w:rFonts w:hint="default" w:ascii="Times New Roman" w:hAnsi="Times New Roman" w:eastAsia="方正仿宋_GBK" w:cs="Times New Roman"/>
          <w:sz w:val="32"/>
          <w:szCs w:val="32"/>
          <w:highlight w:val="none"/>
          <w:lang w:val="en-US" w:eastAsia="zh-CN"/>
        </w:rPr>
        <w:t>501.16</w:t>
      </w:r>
      <w:r>
        <w:rPr>
          <w:rFonts w:hint="default" w:ascii="Times New Roman" w:hAnsi="Times New Roman" w:eastAsia="方正仿宋_GBK" w:cs="Times New Roman"/>
          <w:sz w:val="32"/>
          <w:szCs w:val="32"/>
          <w:highlight w:val="none"/>
        </w:rPr>
        <w:t>万人次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同比增长</w:t>
      </w:r>
      <w:r>
        <w:rPr>
          <w:rFonts w:hint="default" w:ascii="Times New Roman" w:hAnsi="Times New Roman" w:eastAsia="方正仿宋_GBK" w:cs="Times New Roman"/>
          <w:sz w:val="32"/>
          <w:szCs w:val="32"/>
          <w:highlight w:val="none"/>
          <w:lang w:val="en-US" w:eastAsia="zh-CN"/>
        </w:rPr>
        <w:t>23.85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color w:val="auto"/>
          <w:sz w:val="32"/>
          <w:szCs w:val="32"/>
          <w:highlight w:val="none"/>
          <w:lang w:val="en-US" w:eastAsia="zh-CN"/>
        </w:rPr>
        <w:t>，高于全年目标任务（20%）3.85个百分点</w:t>
      </w:r>
      <w:r>
        <w:rPr>
          <w:rFonts w:hint="default" w:ascii="Times New Roman" w:hAnsi="Times New Roman" w:eastAsia="方正仿宋_GBK" w:cs="Times New Roman"/>
          <w:b w:val="0"/>
          <w:bCs w:val="0"/>
          <w:spacing w:val="-2"/>
          <w:kern w:val="2"/>
          <w:sz w:val="32"/>
          <w:szCs w:val="32"/>
          <w:highlight w:val="none"/>
          <w:lang w:val="en-US" w:eastAsia="zh-CN" w:bidi="ar-SA"/>
        </w:rPr>
        <w:t>，</w:t>
      </w:r>
      <w:r>
        <w:rPr>
          <w:rFonts w:hint="default" w:ascii="Times New Roman" w:hAnsi="Times New Roman" w:eastAsia="方正仿宋_GBK" w:cs="Times New Roman"/>
          <w:b w:val="0"/>
          <w:bCs w:val="0"/>
          <w:color w:val="auto"/>
          <w:spacing w:val="-2"/>
          <w:sz w:val="32"/>
          <w:szCs w:val="32"/>
          <w:highlight w:val="none"/>
          <w:lang w:val="en-US" w:eastAsia="zh-CN"/>
        </w:rPr>
        <w:t>完成全年目标任务521.12万人次的96.2%。</w:t>
      </w:r>
      <w:r>
        <w:rPr>
          <w:rFonts w:hint="default" w:ascii="Times New Roman" w:hAnsi="Times New Roman" w:eastAsia="方正仿宋_GBK" w:cs="Times New Roman"/>
          <w:sz w:val="32"/>
          <w:szCs w:val="32"/>
          <w:highlight w:val="none"/>
        </w:rPr>
        <w:t>实现旅游收入</w:t>
      </w:r>
      <w:r>
        <w:rPr>
          <w:rFonts w:hint="default" w:ascii="Times New Roman" w:hAnsi="Times New Roman" w:eastAsia="方正仿宋_GBK" w:cs="Times New Roman"/>
          <w:sz w:val="32"/>
          <w:szCs w:val="32"/>
          <w:highlight w:val="none"/>
          <w:lang w:val="en-US" w:eastAsia="zh-CN"/>
        </w:rPr>
        <w:t>17.61亿元，</w:t>
      </w:r>
      <w:r>
        <w:rPr>
          <w:rFonts w:hint="default" w:ascii="Times New Roman" w:hAnsi="Times New Roman" w:eastAsia="方正仿宋_GBK" w:cs="Times New Roman"/>
          <w:sz w:val="32"/>
          <w:szCs w:val="32"/>
          <w:highlight w:val="none"/>
        </w:rPr>
        <w:t>同比增长</w:t>
      </w:r>
      <w:r>
        <w:rPr>
          <w:rFonts w:hint="default" w:ascii="Times New Roman" w:hAnsi="Times New Roman" w:eastAsia="方正仿宋_GBK" w:cs="Times New Roman"/>
          <w:sz w:val="32"/>
          <w:szCs w:val="32"/>
          <w:highlight w:val="none"/>
          <w:lang w:val="en-US" w:eastAsia="zh-CN"/>
        </w:rPr>
        <w:t>29.81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高于全年目标任务（25%）4.81个百分点</w:t>
      </w:r>
      <w:r>
        <w:rPr>
          <w:rFonts w:hint="default" w:ascii="Times New Roman" w:hAnsi="Times New Roman" w:eastAsia="方正仿宋_GBK" w:cs="Times New Roman"/>
          <w:b w:val="0"/>
          <w:bCs w:val="0"/>
          <w:spacing w:val="-2"/>
          <w:kern w:val="2"/>
          <w:sz w:val="32"/>
          <w:szCs w:val="32"/>
          <w:highlight w:val="none"/>
          <w:lang w:val="en-US" w:eastAsia="zh-CN" w:bidi="ar-SA"/>
        </w:rPr>
        <w:t>，</w:t>
      </w:r>
      <w:r>
        <w:rPr>
          <w:rFonts w:hint="default" w:ascii="Times New Roman" w:hAnsi="Times New Roman" w:eastAsia="方正仿宋_GBK" w:cs="Times New Roman"/>
          <w:b w:val="0"/>
          <w:bCs w:val="0"/>
          <w:color w:val="auto"/>
          <w:spacing w:val="-2"/>
          <w:sz w:val="32"/>
          <w:szCs w:val="32"/>
          <w:highlight w:val="none"/>
          <w:lang w:val="en-US" w:eastAsia="zh-CN"/>
        </w:rPr>
        <w:t>完成全年目标任务17.88亿元的98.5%。</w:t>
      </w:r>
      <w:r>
        <w:rPr>
          <w:rFonts w:hint="default" w:ascii="Times New Roman" w:hAnsi="Times New Roman" w:eastAsia="方正仿宋_GBK" w:cs="Times New Roman"/>
          <w:sz w:val="32"/>
          <w:szCs w:val="32"/>
          <w:highlight w:val="none"/>
          <w:lang w:val="en-US" w:eastAsia="zh-CN"/>
        </w:rPr>
        <w:t>人均花费351.32元。</w:t>
      </w:r>
    </w:p>
    <w:p w14:paraId="1DD79C54">
      <w:pPr>
        <w:keepNext w:val="0"/>
        <w:keepLines w:val="0"/>
        <w:pageBreakBefore w:val="0"/>
        <w:widowControl w:val="0"/>
        <w:shd w:val="clea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val="0"/>
          <w:bCs w:val="0"/>
          <w:color w:val="auto"/>
          <w:spacing w:val="-2"/>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—全县共有市场经营主体22894户，同比增长4.7%，较上年同期增加1037户。</w:t>
      </w:r>
    </w:p>
    <w:p w14:paraId="3991CB6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en-US" w:eastAsia="zh-CN"/>
        </w:rPr>
        <w:t>全社会用电量5.67亿千瓦时，同比增</w:t>
      </w:r>
      <w:r>
        <w:rPr>
          <w:rFonts w:hint="eastAsia" w:ascii="Times New Roman" w:hAnsi="Times New Roman" w:eastAsia="方正仿宋_GBK" w:cs="Times New Roman"/>
          <w:color w:val="auto"/>
          <w:sz w:val="32"/>
          <w:szCs w:val="32"/>
          <w:highlight w:val="none"/>
          <w:lang w:val="en-US" w:eastAsia="zh-CN"/>
        </w:rPr>
        <w:t>长</w:t>
      </w:r>
      <w:bookmarkStart w:id="0" w:name="_GoBack"/>
      <w:bookmarkEnd w:id="0"/>
      <w:r>
        <w:rPr>
          <w:rFonts w:hint="default" w:ascii="Times New Roman" w:hAnsi="Times New Roman" w:eastAsia="方正仿宋_GBK" w:cs="Times New Roman"/>
          <w:color w:val="auto"/>
          <w:sz w:val="32"/>
          <w:szCs w:val="32"/>
          <w:highlight w:val="none"/>
          <w:lang w:val="en-US" w:eastAsia="zh-CN"/>
        </w:rPr>
        <w:t>5.15%，较上年同期（3.96%）提高1.19个百分点。</w:t>
      </w:r>
    </w:p>
    <w:p w14:paraId="2000ED8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备注：带＊号指标为统计部门统计数据，其他指标均为行业部门数据。</w:t>
      </w:r>
    </w:p>
    <w:p w14:paraId="03AB20F0">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firstLine="632" w:firstLineChars="200"/>
        <w:jc w:val="both"/>
        <w:textAlignment w:val="auto"/>
        <w:rPr>
          <w:rFonts w:hint="default" w:ascii="方正黑体_GBK" w:hAnsi="方正黑体_GBK" w:eastAsia="方正黑体_GBK" w:cs="方正黑体_GBK"/>
          <w:b w:val="0"/>
          <w:bCs w:val="0"/>
          <w:color w:val="auto"/>
          <w:spacing w:val="-2"/>
          <w:kern w:val="0"/>
          <w:sz w:val="32"/>
          <w:szCs w:val="32"/>
          <w:highlight w:val="none"/>
          <w:lang w:val="en-US" w:eastAsia="zh-CN" w:bidi="ar"/>
        </w:rPr>
      </w:pPr>
      <w:r>
        <w:rPr>
          <w:rFonts w:hint="default" w:ascii="方正黑体_GBK" w:hAnsi="方正黑体_GBK" w:eastAsia="方正黑体_GBK" w:cs="方正黑体_GBK"/>
          <w:b w:val="0"/>
          <w:bCs w:val="0"/>
          <w:color w:val="auto"/>
          <w:spacing w:val="-2"/>
          <w:kern w:val="0"/>
          <w:sz w:val="32"/>
          <w:szCs w:val="32"/>
          <w:highlight w:val="none"/>
          <w:lang w:val="en-US" w:eastAsia="zh-CN" w:bidi="ar"/>
        </w:rPr>
        <w:t>二、经济运行主要特点</w:t>
      </w:r>
    </w:p>
    <w:p w14:paraId="4F34D450">
      <w:pPr>
        <w:keepNext w:val="0"/>
        <w:keepLines w:val="0"/>
        <w:pageBreakBefore w:val="0"/>
        <w:widowControl w:val="0"/>
        <w:shd w:val="clear"/>
        <w:kinsoku/>
        <w:wordWrap/>
        <w:overflowPunct w:val="0"/>
        <w:topLinePunct w:val="0"/>
        <w:autoSpaceDE/>
        <w:autoSpaceDN/>
        <w:bidi w:val="0"/>
        <w:adjustRightInd/>
        <w:snapToGrid/>
        <w:spacing w:line="560" w:lineRule="exact"/>
        <w:ind w:firstLine="635" w:firstLineChars="200"/>
        <w:jc w:val="both"/>
        <w:textAlignment w:val="auto"/>
        <w:rPr>
          <w:rFonts w:hint="eastAsia" w:ascii="方正楷体_GBK" w:hAnsi="方正楷体_GBK" w:eastAsia="方正楷体_GBK" w:cs="方正楷体_GBK"/>
          <w:b/>
          <w:bCs/>
          <w:color w:val="auto"/>
          <w:spacing w:val="-2"/>
          <w:sz w:val="32"/>
          <w:szCs w:val="32"/>
          <w:highlight w:val="none"/>
        </w:rPr>
      </w:pPr>
      <w:r>
        <w:rPr>
          <w:rFonts w:hint="eastAsia" w:ascii="方正楷体_GBK" w:hAnsi="方正楷体_GBK" w:eastAsia="方正楷体_GBK" w:cs="方正楷体_GBK"/>
          <w:b/>
          <w:bCs/>
          <w:color w:val="auto"/>
          <w:spacing w:val="-2"/>
          <w:kern w:val="0"/>
          <w:sz w:val="32"/>
          <w:szCs w:val="32"/>
          <w:highlight w:val="none"/>
          <w:lang w:val="en-US" w:eastAsia="zh-CN" w:bidi="ar"/>
        </w:rPr>
        <w:t>（一）工业重点行业拉动作用显著</w:t>
      </w:r>
    </w:p>
    <w:p w14:paraId="3ADB61E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pacing w:val="-2"/>
          <w:sz w:val="32"/>
          <w:szCs w:val="32"/>
          <w:highlight w:val="none"/>
        </w:rPr>
      </w:pPr>
      <w:r>
        <w:rPr>
          <w:rFonts w:hint="default" w:ascii="Times New Roman" w:hAnsi="Times New Roman" w:eastAsia="方正仿宋_GBK" w:cs="Times New Roman"/>
          <w:color w:val="auto"/>
          <w:sz w:val="32"/>
          <w:szCs w:val="32"/>
          <w:highlight w:val="none"/>
        </w:rPr>
        <w:t>规模以上工业增加值</w:t>
      </w:r>
      <w:r>
        <w:rPr>
          <w:rFonts w:hint="default" w:ascii="Times New Roman" w:hAnsi="Times New Roman" w:eastAsia="方正仿宋_GBK" w:cs="Times New Roman"/>
          <w:color w:val="auto"/>
          <w:sz w:val="32"/>
          <w:szCs w:val="32"/>
          <w:highlight w:val="none"/>
          <w:lang w:val="en-US" w:eastAsia="zh-CN"/>
        </w:rPr>
        <w:t>预计完成</w:t>
      </w:r>
      <w:r>
        <w:rPr>
          <w:rFonts w:hint="default" w:ascii="Times New Roman" w:hAnsi="Times New Roman" w:eastAsia="方正仿宋_GBK" w:cs="Times New Roman"/>
          <w:sz w:val="32"/>
          <w:szCs w:val="32"/>
          <w:highlight w:val="none"/>
          <w:lang w:val="en-US" w:eastAsia="zh-CN"/>
        </w:rPr>
        <w:t>1.99亿元</w:t>
      </w:r>
      <w:r>
        <w:rPr>
          <w:rFonts w:hint="default" w:ascii="Times New Roman" w:hAnsi="Times New Roman" w:eastAsia="方正仿宋_GBK" w:cs="Times New Roman"/>
          <w:sz w:val="32"/>
          <w:szCs w:val="32"/>
          <w:highlight w:val="none"/>
        </w:rPr>
        <w:t>，同比增长</w:t>
      </w:r>
      <w:r>
        <w:rPr>
          <w:rFonts w:hint="default" w:ascii="Times New Roman" w:hAnsi="Times New Roman" w:eastAsia="方正仿宋_GBK" w:cs="Times New Roman"/>
          <w:sz w:val="32"/>
          <w:szCs w:val="32"/>
          <w:highlight w:val="none"/>
          <w:lang w:val="en-US" w:eastAsia="zh-CN"/>
        </w:rPr>
        <w:t>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b w:val="0"/>
          <w:bCs w:val="0"/>
          <w:color w:val="auto"/>
          <w:spacing w:val="-2"/>
          <w:sz w:val="32"/>
          <w:szCs w:val="32"/>
          <w:highlight w:val="none"/>
          <w:lang w:val="en-US" w:eastAsia="zh-CN"/>
        </w:rPr>
        <w:t>10</w:t>
      </w:r>
      <w:r>
        <w:rPr>
          <w:rFonts w:hint="default" w:ascii="Times New Roman" w:hAnsi="Times New Roman" w:eastAsia="方正仿宋_GBK" w:cs="Times New Roman"/>
          <w:b w:val="0"/>
          <w:bCs w:val="0"/>
          <w:color w:val="auto"/>
          <w:spacing w:val="-2"/>
          <w:sz w:val="32"/>
          <w:szCs w:val="32"/>
          <w:highlight w:val="none"/>
          <w:lang w:val="zh-CN" w:eastAsia="zh-CN"/>
        </w:rPr>
        <w:t>月</w:t>
      </w:r>
      <w:r>
        <w:rPr>
          <w:rFonts w:hint="default" w:ascii="Times New Roman" w:hAnsi="Times New Roman" w:eastAsia="方正仿宋_GBK" w:cs="Times New Roman"/>
          <w:b w:val="0"/>
          <w:bCs w:val="0"/>
          <w:color w:val="auto"/>
          <w:spacing w:val="-2"/>
          <w:sz w:val="32"/>
          <w:szCs w:val="32"/>
          <w:highlight w:val="none"/>
          <w:lang w:val="en-US" w:eastAsia="zh-CN"/>
        </w:rPr>
        <w:t>当月</w:t>
      </w:r>
      <w:r>
        <w:rPr>
          <w:rFonts w:hint="default" w:ascii="Times New Roman" w:hAnsi="Times New Roman" w:eastAsia="方正仿宋_GBK" w:cs="Times New Roman"/>
          <w:b w:val="0"/>
          <w:bCs w:val="0"/>
          <w:color w:val="auto"/>
          <w:spacing w:val="-2"/>
          <w:sz w:val="32"/>
          <w:szCs w:val="32"/>
          <w:highlight w:val="none"/>
          <w:lang w:val="zh-CN" w:eastAsia="zh-CN"/>
        </w:rPr>
        <w:t>实现增加值</w:t>
      </w:r>
      <w:r>
        <w:rPr>
          <w:rFonts w:hint="default" w:ascii="Times New Roman" w:hAnsi="Times New Roman" w:eastAsia="方正仿宋_GBK" w:cs="Times New Roman"/>
          <w:b w:val="0"/>
          <w:bCs w:val="0"/>
          <w:color w:val="auto"/>
          <w:spacing w:val="-2"/>
          <w:sz w:val="32"/>
          <w:szCs w:val="32"/>
          <w:highlight w:val="none"/>
          <w:lang w:val="en-US" w:eastAsia="zh-CN"/>
        </w:rPr>
        <w:t>2483.1万元</w:t>
      </w:r>
      <w:r>
        <w:rPr>
          <w:rFonts w:hint="default" w:ascii="Times New Roman" w:hAnsi="Times New Roman" w:eastAsia="方正仿宋_GBK" w:cs="Times New Roman"/>
          <w:b w:val="0"/>
          <w:bCs w:val="0"/>
          <w:color w:val="auto"/>
          <w:spacing w:val="-2"/>
          <w:sz w:val="32"/>
          <w:szCs w:val="32"/>
          <w:highlight w:val="none"/>
          <w:lang w:val="zh-CN" w:eastAsia="zh-CN"/>
        </w:rPr>
        <w:t>，同比增长</w:t>
      </w:r>
      <w:r>
        <w:rPr>
          <w:rFonts w:hint="default" w:ascii="Times New Roman" w:hAnsi="Times New Roman" w:eastAsia="方正仿宋_GBK" w:cs="Times New Roman"/>
          <w:b w:val="0"/>
          <w:bCs w:val="0"/>
          <w:color w:val="auto"/>
          <w:spacing w:val="-2"/>
          <w:sz w:val="32"/>
          <w:szCs w:val="32"/>
          <w:highlight w:val="none"/>
          <w:lang w:val="en-US" w:eastAsia="zh-CN"/>
        </w:rPr>
        <w:t>8.4</w:t>
      </w:r>
      <w:r>
        <w:rPr>
          <w:rFonts w:hint="default" w:ascii="Times New Roman" w:hAnsi="Times New Roman" w:eastAsia="方正仿宋_GBK" w:cs="Times New Roman"/>
          <w:b w:val="0"/>
          <w:bCs w:val="0"/>
          <w:color w:val="auto"/>
          <w:spacing w:val="-2"/>
          <w:sz w:val="32"/>
          <w:szCs w:val="32"/>
          <w:highlight w:val="none"/>
          <w:lang w:val="zh-CN" w:eastAsia="zh-CN"/>
        </w:rPr>
        <w:t>%，</w:t>
      </w:r>
      <w:r>
        <w:rPr>
          <w:rFonts w:hint="default" w:ascii="Times New Roman" w:hAnsi="Times New Roman" w:eastAsia="方正仿宋_GBK" w:cs="Times New Roman"/>
          <w:b w:val="0"/>
          <w:bCs w:val="0"/>
          <w:color w:val="auto"/>
          <w:spacing w:val="-2"/>
          <w:sz w:val="32"/>
          <w:szCs w:val="32"/>
          <w:highlight w:val="none"/>
          <w:lang w:val="en-US" w:eastAsia="zh-CN"/>
        </w:rPr>
        <w:t>较9月当月（0.8%）提高7.6个百分点。</w:t>
      </w:r>
    </w:p>
    <w:p w14:paraId="7B660B44">
      <w:pPr>
        <w:keepNext w:val="0"/>
        <w:keepLines w:val="0"/>
        <w:pageBreakBefore w:val="0"/>
        <w:widowControl w:val="0"/>
        <w:shd w:val="clea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b w:val="0"/>
          <w:bCs w:val="0"/>
          <w:color w:val="auto"/>
          <w:spacing w:val="-2"/>
          <w:sz w:val="32"/>
          <w:szCs w:val="32"/>
          <w:highlight w:val="none"/>
        </w:rPr>
      </w:pPr>
      <w:r>
        <w:rPr>
          <w:rFonts w:hint="default" w:ascii="Times New Roman" w:hAnsi="Times New Roman" w:eastAsia="方正仿宋_GBK" w:cs="Times New Roman"/>
          <w:b w:val="0"/>
          <w:bCs w:val="0"/>
          <w:color w:val="auto"/>
          <w:spacing w:val="-2"/>
          <w:sz w:val="32"/>
          <w:szCs w:val="32"/>
          <w:highlight w:val="none"/>
          <w:lang w:val="zh-CN" w:eastAsia="zh-CN"/>
        </w:rPr>
        <w:t>三大门类</w:t>
      </w:r>
      <w:r>
        <w:rPr>
          <w:rFonts w:hint="default" w:ascii="Times New Roman" w:hAnsi="Times New Roman" w:eastAsia="方正仿宋_GBK" w:cs="Times New Roman"/>
          <w:b w:val="0"/>
          <w:bCs w:val="0"/>
          <w:color w:val="auto"/>
          <w:spacing w:val="-2"/>
          <w:sz w:val="32"/>
          <w:szCs w:val="32"/>
          <w:highlight w:val="none"/>
          <w:lang w:val="en-US" w:eastAsia="zh-CN"/>
        </w:rPr>
        <w:t>中</w:t>
      </w:r>
      <w:r>
        <w:rPr>
          <w:rFonts w:hint="default" w:ascii="Times New Roman" w:hAnsi="Times New Roman" w:eastAsia="方正仿宋_GBK" w:cs="Times New Roman"/>
          <w:b w:val="0"/>
          <w:bCs w:val="0"/>
          <w:color w:val="auto"/>
          <w:spacing w:val="-2"/>
          <w:sz w:val="32"/>
          <w:szCs w:val="32"/>
          <w:highlight w:val="none"/>
          <w:lang w:val="zh-CN" w:eastAsia="zh-CN"/>
        </w:rPr>
        <w:t>电力、热力燃气及水</w:t>
      </w:r>
      <w:r>
        <w:rPr>
          <w:rFonts w:hint="default" w:ascii="Times New Roman" w:hAnsi="Times New Roman" w:eastAsia="方正仿宋_GBK" w:cs="Times New Roman"/>
          <w:b w:val="0"/>
          <w:bCs w:val="0"/>
          <w:color w:val="auto"/>
          <w:spacing w:val="-2"/>
          <w:sz w:val="32"/>
          <w:szCs w:val="32"/>
          <w:highlight w:val="none"/>
          <w:lang w:val="en-US" w:eastAsia="zh-CN"/>
        </w:rPr>
        <w:t>的</w:t>
      </w:r>
      <w:r>
        <w:rPr>
          <w:rFonts w:hint="default" w:ascii="Times New Roman" w:hAnsi="Times New Roman" w:eastAsia="方正仿宋_GBK" w:cs="Times New Roman"/>
          <w:b w:val="0"/>
          <w:bCs w:val="0"/>
          <w:color w:val="auto"/>
          <w:spacing w:val="-2"/>
          <w:sz w:val="32"/>
          <w:szCs w:val="32"/>
          <w:highlight w:val="none"/>
          <w:lang w:val="zh-CN" w:eastAsia="zh-CN"/>
        </w:rPr>
        <w:t>生产和供应业贡献突出。电力、热力燃气及水生产和供应业增加值</w:t>
      </w:r>
      <w:r>
        <w:rPr>
          <w:rFonts w:hint="default" w:ascii="Times New Roman" w:hAnsi="Times New Roman" w:eastAsia="方正仿宋_GBK" w:cs="Times New Roman"/>
          <w:b w:val="0"/>
          <w:bCs w:val="0"/>
          <w:color w:val="auto"/>
          <w:spacing w:val="-2"/>
          <w:sz w:val="32"/>
          <w:szCs w:val="32"/>
          <w:highlight w:val="none"/>
          <w:lang w:val="en-US" w:eastAsia="zh-CN"/>
        </w:rPr>
        <w:t>1851万</w:t>
      </w:r>
      <w:r>
        <w:rPr>
          <w:rFonts w:hint="default" w:ascii="Times New Roman" w:hAnsi="Times New Roman" w:eastAsia="方正仿宋_GBK" w:cs="Times New Roman"/>
          <w:b w:val="0"/>
          <w:bCs w:val="0"/>
          <w:color w:val="auto"/>
          <w:spacing w:val="-2"/>
          <w:sz w:val="32"/>
          <w:szCs w:val="32"/>
          <w:highlight w:val="none"/>
          <w:lang w:val="zh-CN" w:eastAsia="zh-CN"/>
        </w:rPr>
        <w:t>元，占规上工业增加值的</w:t>
      </w:r>
      <w:r>
        <w:rPr>
          <w:rFonts w:hint="default" w:ascii="Times New Roman" w:hAnsi="Times New Roman" w:eastAsia="方正仿宋_GBK" w:cs="Times New Roman"/>
          <w:b w:val="0"/>
          <w:bCs w:val="0"/>
          <w:color w:val="auto"/>
          <w:spacing w:val="-2"/>
          <w:sz w:val="32"/>
          <w:szCs w:val="32"/>
          <w:highlight w:val="none"/>
          <w:lang w:val="en-US" w:eastAsia="zh-CN"/>
        </w:rPr>
        <w:t>9.3</w:t>
      </w:r>
      <w:r>
        <w:rPr>
          <w:rFonts w:hint="default" w:ascii="Times New Roman" w:hAnsi="Times New Roman" w:eastAsia="方正仿宋_GBK" w:cs="Times New Roman"/>
          <w:b w:val="0"/>
          <w:bCs w:val="0"/>
          <w:color w:val="auto"/>
          <w:spacing w:val="-2"/>
          <w:sz w:val="32"/>
          <w:szCs w:val="32"/>
          <w:highlight w:val="none"/>
          <w:lang w:val="zh-CN" w:eastAsia="zh-CN"/>
        </w:rPr>
        <w:t>%，同比增长</w:t>
      </w:r>
      <w:r>
        <w:rPr>
          <w:rFonts w:hint="default" w:ascii="Times New Roman" w:hAnsi="Times New Roman" w:eastAsia="方正仿宋_GBK" w:cs="Times New Roman"/>
          <w:b w:val="0"/>
          <w:bCs w:val="0"/>
          <w:color w:val="auto"/>
          <w:spacing w:val="-2"/>
          <w:sz w:val="32"/>
          <w:szCs w:val="32"/>
          <w:highlight w:val="none"/>
          <w:lang w:val="en-US" w:eastAsia="zh-CN"/>
        </w:rPr>
        <w:t>415.3</w:t>
      </w:r>
      <w:r>
        <w:rPr>
          <w:rFonts w:hint="default" w:ascii="Times New Roman" w:hAnsi="Times New Roman" w:eastAsia="方正仿宋_GBK" w:cs="Times New Roman"/>
          <w:b w:val="0"/>
          <w:bCs w:val="0"/>
          <w:color w:val="auto"/>
          <w:spacing w:val="-2"/>
          <w:sz w:val="32"/>
          <w:szCs w:val="32"/>
          <w:highlight w:val="none"/>
          <w:lang w:val="zh-CN" w:eastAsia="zh-CN"/>
        </w:rPr>
        <w:t>%，拉动规上工业增加值增长</w:t>
      </w:r>
      <w:r>
        <w:rPr>
          <w:rFonts w:hint="default" w:ascii="Times New Roman" w:hAnsi="Times New Roman" w:eastAsia="方正仿宋_GBK" w:cs="Times New Roman"/>
          <w:b w:val="0"/>
          <w:bCs w:val="0"/>
          <w:color w:val="auto"/>
          <w:spacing w:val="-2"/>
          <w:sz w:val="32"/>
          <w:szCs w:val="32"/>
          <w:highlight w:val="none"/>
          <w:lang w:val="en-US" w:eastAsia="zh-CN"/>
        </w:rPr>
        <w:t>7.4</w:t>
      </w:r>
      <w:r>
        <w:rPr>
          <w:rFonts w:hint="default" w:ascii="Times New Roman" w:hAnsi="Times New Roman" w:eastAsia="方正仿宋_GBK" w:cs="Times New Roman"/>
          <w:b w:val="0"/>
          <w:bCs w:val="0"/>
          <w:color w:val="auto"/>
          <w:spacing w:val="-2"/>
          <w:sz w:val="32"/>
          <w:szCs w:val="32"/>
          <w:highlight w:val="none"/>
          <w:lang w:val="zh-CN" w:eastAsia="zh-CN"/>
        </w:rPr>
        <w:t>个百分点。</w:t>
      </w:r>
    </w:p>
    <w:p w14:paraId="3DB99413">
      <w:pPr>
        <w:keepNext w:val="0"/>
        <w:keepLines w:val="0"/>
        <w:pageBreakBefore w:val="0"/>
        <w:widowControl w:val="0"/>
        <w:shd w:val="clea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b w:val="0"/>
          <w:bCs w:val="0"/>
          <w:color w:val="auto"/>
          <w:spacing w:val="-2"/>
          <w:sz w:val="32"/>
          <w:szCs w:val="32"/>
          <w:highlight w:val="none"/>
          <w:lang w:val="zh-CN" w:eastAsia="zh-CN"/>
        </w:rPr>
      </w:pPr>
      <w:r>
        <w:rPr>
          <w:rFonts w:hint="default" w:ascii="Times New Roman" w:hAnsi="Times New Roman" w:eastAsia="方正仿宋_GBK" w:cs="Times New Roman"/>
          <w:b w:val="0"/>
          <w:bCs w:val="0"/>
          <w:color w:val="auto"/>
          <w:spacing w:val="-2"/>
          <w:sz w:val="32"/>
          <w:szCs w:val="32"/>
          <w:highlight w:val="none"/>
          <w:lang w:val="en-US" w:eastAsia="zh-CN"/>
        </w:rPr>
        <w:t>全县22家规上工业企业中增速正增长的8家，完成工业增加值15895万元，</w:t>
      </w:r>
      <w:r>
        <w:rPr>
          <w:rFonts w:hint="default" w:ascii="Times New Roman" w:hAnsi="Times New Roman" w:eastAsia="方正仿宋_GBK" w:cs="Times New Roman"/>
          <w:b w:val="0"/>
          <w:bCs w:val="0"/>
          <w:color w:val="auto"/>
          <w:spacing w:val="-2"/>
          <w:sz w:val="32"/>
          <w:szCs w:val="32"/>
          <w:highlight w:val="none"/>
          <w:lang w:val="zh-CN" w:eastAsia="zh-CN"/>
        </w:rPr>
        <w:t>占规上工业增加值的</w:t>
      </w:r>
      <w:r>
        <w:rPr>
          <w:rFonts w:hint="default" w:ascii="Times New Roman" w:hAnsi="Times New Roman" w:eastAsia="方正仿宋_GBK" w:cs="Times New Roman"/>
          <w:b w:val="0"/>
          <w:bCs w:val="0"/>
          <w:color w:val="auto"/>
          <w:spacing w:val="-2"/>
          <w:sz w:val="32"/>
          <w:szCs w:val="32"/>
          <w:highlight w:val="none"/>
          <w:lang w:val="en-US" w:eastAsia="zh-CN"/>
        </w:rPr>
        <w:t>79.9</w:t>
      </w:r>
      <w:r>
        <w:rPr>
          <w:rFonts w:hint="default" w:ascii="Times New Roman" w:hAnsi="Times New Roman" w:eastAsia="方正仿宋_GBK" w:cs="Times New Roman"/>
          <w:b w:val="0"/>
          <w:bCs w:val="0"/>
          <w:color w:val="auto"/>
          <w:spacing w:val="-2"/>
          <w:sz w:val="32"/>
          <w:szCs w:val="32"/>
          <w:highlight w:val="none"/>
          <w:lang w:val="zh-CN" w:eastAsia="zh-CN"/>
        </w:rPr>
        <w:t>%，</w:t>
      </w:r>
      <w:r>
        <w:rPr>
          <w:rFonts w:hint="default" w:ascii="Times New Roman" w:hAnsi="Times New Roman" w:eastAsia="方正仿宋_GBK" w:cs="Times New Roman"/>
          <w:b w:val="0"/>
          <w:bCs w:val="0"/>
          <w:color w:val="auto"/>
          <w:spacing w:val="-2"/>
          <w:sz w:val="32"/>
          <w:szCs w:val="32"/>
          <w:highlight w:val="none"/>
          <w:lang w:val="en-US" w:eastAsia="zh-CN"/>
        </w:rPr>
        <w:t>同比增长24.1%，</w:t>
      </w:r>
      <w:r>
        <w:rPr>
          <w:rFonts w:hint="default" w:ascii="Times New Roman" w:hAnsi="Times New Roman" w:eastAsia="方正仿宋_GBK" w:cs="Times New Roman"/>
          <w:b w:val="0"/>
          <w:bCs w:val="0"/>
          <w:color w:val="auto"/>
          <w:spacing w:val="-2"/>
          <w:sz w:val="32"/>
          <w:szCs w:val="32"/>
          <w:highlight w:val="none"/>
          <w:lang w:val="zh-CN" w:eastAsia="zh-CN"/>
        </w:rPr>
        <w:t>拉动规上工业增加值增长</w:t>
      </w:r>
      <w:r>
        <w:rPr>
          <w:rFonts w:hint="default" w:ascii="Times New Roman" w:hAnsi="Times New Roman" w:eastAsia="方正仿宋_GBK" w:cs="Times New Roman"/>
          <w:b w:val="0"/>
          <w:bCs w:val="0"/>
          <w:color w:val="auto"/>
          <w:spacing w:val="-2"/>
          <w:sz w:val="32"/>
          <w:szCs w:val="32"/>
          <w:highlight w:val="none"/>
          <w:lang w:val="en-US" w:eastAsia="zh-CN"/>
        </w:rPr>
        <w:t>15.9</w:t>
      </w:r>
      <w:r>
        <w:rPr>
          <w:rFonts w:hint="default" w:ascii="Times New Roman" w:hAnsi="Times New Roman" w:eastAsia="方正仿宋_GBK" w:cs="Times New Roman"/>
          <w:b w:val="0"/>
          <w:bCs w:val="0"/>
          <w:color w:val="auto"/>
          <w:spacing w:val="-2"/>
          <w:sz w:val="32"/>
          <w:szCs w:val="32"/>
          <w:highlight w:val="none"/>
          <w:lang w:val="zh-CN" w:eastAsia="zh-CN"/>
        </w:rPr>
        <w:t>个百分点。</w:t>
      </w:r>
    </w:p>
    <w:p w14:paraId="65B4364C">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60" w:lineRule="exact"/>
        <w:ind w:firstLine="632" w:firstLineChars="200"/>
        <w:textAlignment w:val="auto"/>
        <w:rPr>
          <w:rFonts w:hint="default" w:ascii="Times New Roman" w:hAnsi="Times New Roman" w:eastAsia="方正仿宋_GBK" w:cs="Times New Roman"/>
          <w:b w:val="0"/>
          <w:bCs w:val="0"/>
          <w:color w:val="auto"/>
          <w:spacing w:val="-2"/>
          <w:kern w:val="0"/>
          <w:sz w:val="32"/>
          <w:szCs w:val="32"/>
          <w:highlight w:val="none"/>
          <w:lang w:val="en-US" w:eastAsia="zh-CN" w:bidi="ar-SA"/>
        </w:rPr>
      </w:pPr>
      <w:r>
        <w:rPr>
          <w:rFonts w:hint="default" w:ascii="Times New Roman" w:hAnsi="Times New Roman" w:eastAsia="方正仿宋_GBK" w:cs="Times New Roman"/>
          <w:b w:val="0"/>
          <w:bCs w:val="0"/>
          <w:color w:val="auto"/>
          <w:spacing w:val="-2"/>
          <w:kern w:val="0"/>
          <w:sz w:val="32"/>
          <w:szCs w:val="32"/>
          <w:highlight w:val="none"/>
          <w:lang w:val="en-US" w:eastAsia="zh-CN" w:bidi="ar-SA"/>
        </w:rPr>
        <w:t>大企业凭借自身实力发挥关键作用。1-10月累计产值5000万元以上的3家企业，合计实现增加值15453万元，占全县规上工业增加值的77.7%，同比增长5.2%，拉动规上工业增加值增长3.9个百分点</w:t>
      </w:r>
      <w:r>
        <w:rPr>
          <w:rFonts w:hint="default" w:ascii="Times New Roman" w:hAnsi="Times New Roman" w:eastAsia="方正仿宋_GBK" w:cs="Times New Roman"/>
          <w:color w:val="auto"/>
          <w:spacing w:val="-2"/>
          <w:kern w:val="0"/>
          <w:sz w:val="32"/>
          <w:szCs w:val="32"/>
          <w:highlight w:val="none"/>
          <w:lang w:val="en-US" w:eastAsia="zh-CN" w:bidi="ar-SA"/>
        </w:rPr>
        <w:t>，大抓工业，抓大工业成效明显</w:t>
      </w:r>
      <w:r>
        <w:rPr>
          <w:rFonts w:hint="default" w:ascii="Times New Roman" w:hAnsi="Times New Roman" w:eastAsia="方正仿宋_GBK" w:cs="Times New Roman"/>
          <w:b w:val="0"/>
          <w:bCs w:val="0"/>
          <w:color w:val="auto"/>
          <w:spacing w:val="-2"/>
          <w:kern w:val="0"/>
          <w:sz w:val="32"/>
          <w:szCs w:val="32"/>
          <w:highlight w:val="none"/>
          <w:lang w:val="en-US" w:eastAsia="zh-CN" w:bidi="ar-SA"/>
        </w:rPr>
        <w:t>。</w:t>
      </w:r>
    </w:p>
    <w:p w14:paraId="531BC9BD">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60" w:lineRule="exact"/>
        <w:ind w:firstLine="632" w:firstLineChars="200"/>
        <w:textAlignment w:val="auto"/>
        <w:rPr>
          <w:rFonts w:hint="default" w:ascii="Times New Roman" w:hAnsi="Times New Roman" w:eastAsia="方正仿宋_GBK" w:cs="Times New Roman"/>
          <w:b w:val="0"/>
          <w:color w:val="auto"/>
          <w:spacing w:val="-2"/>
          <w:kern w:val="2"/>
          <w:sz w:val="32"/>
          <w:szCs w:val="32"/>
          <w:highlight w:val="none"/>
          <w:lang w:val="en-US" w:eastAsia="zh-CN" w:bidi="ar-SA"/>
        </w:rPr>
      </w:pPr>
      <w:r>
        <w:rPr>
          <w:rFonts w:hint="default" w:ascii="Times New Roman" w:hAnsi="Times New Roman" w:eastAsia="方正仿宋_GBK" w:cs="Times New Roman"/>
          <w:b w:val="0"/>
          <w:color w:val="auto"/>
          <w:spacing w:val="-2"/>
          <w:kern w:val="2"/>
          <w:sz w:val="32"/>
          <w:szCs w:val="32"/>
          <w:highlight w:val="none"/>
          <w:lang w:val="en-US" w:eastAsia="zh-CN" w:bidi="ar-SA"/>
        </w:rPr>
        <w:t>新入统企业拉动作用明显。本年新增入库规上工业企业2家，完成增加值1940万元，占规上工业增加值9.8%，拉动规上工业增加值增长9.8个百分点，新增入库企业成为工业经济有力增长点，为工业经济发展注入新动能。</w:t>
      </w:r>
    </w:p>
    <w:p w14:paraId="66A73CC7">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240" w:lineRule="auto"/>
        <w:ind w:left="0" w:leftChars="0" w:firstLine="0" w:firstLineChars="0"/>
        <w:textAlignment w:val="auto"/>
        <w:rPr>
          <w:rFonts w:hint="eastAsia" w:ascii="Times New Roman" w:hAnsi="Times New Roman" w:eastAsia="方正仿宋_GBK" w:cs="Times New Roman"/>
          <w:b w:val="0"/>
          <w:color w:val="auto"/>
          <w:spacing w:val="-2"/>
          <w:kern w:val="2"/>
          <w:sz w:val="32"/>
          <w:szCs w:val="32"/>
          <w:highlight w:val="none"/>
          <w:lang w:val="en-US" w:eastAsia="zh-CN" w:bidi="ar-SA"/>
        </w:rPr>
      </w:pPr>
      <w:r>
        <w:drawing>
          <wp:inline distT="0" distB="0" distL="114300" distR="114300">
            <wp:extent cx="5629275" cy="3104515"/>
            <wp:effectExtent l="5080" t="4445" r="4445" b="1524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AE62408">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35" w:firstLineChars="200"/>
        <w:textAlignment w:val="auto"/>
        <w:rPr>
          <w:rFonts w:hint="eastAsia" w:ascii="方正楷体_GBK" w:hAnsi="方正楷体_GBK" w:eastAsia="方正楷体_GBK" w:cs="方正楷体_GBK"/>
          <w:b/>
          <w:bCs/>
          <w:color w:val="auto"/>
          <w:spacing w:val="-2"/>
          <w:kern w:val="0"/>
          <w:sz w:val="32"/>
          <w:szCs w:val="32"/>
          <w:highlight w:val="none"/>
          <w:lang w:val="en-US" w:eastAsia="zh-CN" w:bidi="ar"/>
        </w:rPr>
      </w:pPr>
      <w:r>
        <w:rPr>
          <w:rFonts w:hint="eastAsia" w:ascii="方正楷体_GBK" w:hAnsi="方正楷体_GBK" w:eastAsia="方正楷体_GBK" w:cs="方正楷体_GBK"/>
          <w:b/>
          <w:bCs/>
          <w:color w:val="auto"/>
          <w:spacing w:val="-2"/>
          <w:kern w:val="2"/>
          <w:sz w:val="32"/>
          <w:szCs w:val="32"/>
          <w:highlight w:val="none"/>
          <w:lang w:val="en-US" w:eastAsia="zh-CN" w:bidi="ar-SA"/>
        </w:rPr>
        <w:t>（二）</w:t>
      </w:r>
      <w:r>
        <w:rPr>
          <w:rFonts w:hint="eastAsia" w:ascii="方正楷体_GBK" w:hAnsi="方正楷体_GBK" w:eastAsia="方正楷体_GBK" w:cs="方正楷体_GBK"/>
          <w:b/>
          <w:bCs/>
          <w:color w:val="auto"/>
          <w:spacing w:val="-2"/>
          <w:kern w:val="0"/>
          <w:sz w:val="32"/>
          <w:szCs w:val="32"/>
          <w:highlight w:val="none"/>
          <w:lang w:val="en-US" w:eastAsia="zh-CN" w:bidi="ar"/>
        </w:rPr>
        <w:t>投资运行总体平稳</w:t>
      </w:r>
    </w:p>
    <w:p w14:paraId="24FC283D">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32" w:firstLineChars="200"/>
        <w:textAlignment w:val="auto"/>
        <w:rPr>
          <w:rFonts w:hint="default" w:ascii="Times New Roman" w:hAnsi="Times New Roman" w:eastAsia="方正仿宋_GBK" w:cs="Times New Roman"/>
          <w:color w:val="auto"/>
          <w:spacing w:val="-2"/>
          <w:kern w:val="2"/>
          <w:sz w:val="32"/>
          <w:szCs w:val="32"/>
          <w:highlight w:val="none"/>
          <w:lang w:val="en-US" w:eastAsia="zh-CN" w:bidi="ar-SA"/>
        </w:rPr>
      </w:pPr>
      <w:r>
        <w:rPr>
          <w:rFonts w:hint="default" w:ascii="Times New Roman" w:hAnsi="Times New Roman" w:eastAsia="方正仿宋_GBK" w:cs="Times New Roman"/>
          <w:color w:val="auto"/>
          <w:spacing w:val="-2"/>
          <w:sz w:val="32"/>
          <w:szCs w:val="32"/>
          <w:highlight w:val="none"/>
          <w:lang w:val="en-US" w:eastAsia="zh-CN"/>
        </w:rPr>
        <w:t>截止10月底，在库项目107个（含房地产项目15个），固定资产投资完成15.7</w:t>
      </w:r>
      <w:r>
        <w:rPr>
          <w:rFonts w:hint="eastAsia" w:ascii="Times New Roman" w:hAnsi="Times New Roman" w:eastAsia="方正仿宋_GBK" w:cs="Times New Roman"/>
          <w:color w:val="auto"/>
          <w:spacing w:val="-2"/>
          <w:sz w:val="32"/>
          <w:szCs w:val="32"/>
          <w:highlight w:val="none"/>
          <w:lang w:val="en-US" w:eastAsia="zh-CN"/>
        </w:rPr>
        <w:t>7</w:t>
      </w:r>
      <w:r>
        <w:rPr>
          <w:rFonts w:hint="default" w:ascii="Times New Roman" w:hAnsi="Times New Roman" w:eastAsia="方正仿宋_GBK" w:cs="Times New Roman"/>
          <w:color w:val="auto"/>
          <w:spacing w:val="-2"/>
          <w:sz w:val="32"/>
          <w:szCs w:val="32"/>
          <w:highlight w:val="none"/>
          <w:lang w:val="en-US" w:eastAsia="zh-CN"/>
        </w:rPr>
        <w:t>亿元，同比增长31.</w:t>
      </w:r>
      <w:r>
        <w:rPr>
          <w:rFonts w:hint="eastAsia" w:ascii="Times New Roman" w:hAnsi="Times New Roman" w:eastAsia="方正仿宋_GBK" w:cs="Times New Roman"/>
          <w:color w:val="auto"/>
          <w:spacing w:val="-2"/>
          <w:sz w:val="32"/>
          <w:szCs w:val="32"/>
          <w:highlight w:val="none"/>
          <w:lang w:val="en-US" w:eastAsia="zh-CN"/>
        </w:rPr>
        <w:t>4</w:t>
      </w:r>
      <w:r>
        <w:rPr>
          <w:rFonts w:hint="default" w:ascii="Times New Roman" w:hAnsi="Times New Roman" w:eastAsia="方正仿宋_GBK" w:cs="Times New Roman"/>
          <w:color w:val="auto"/>
          <w:spacing w:val="-2"/>
          <w:sz w:val="32"/>
          <w:szCs w:val="32"/>
          <w:highlight w:val="none"/>
          <w:lang w:val="en-US" w:eastAsia="zh-CN"/>
        </w:rPr>
        <w:t>%</w:t>
      </w:r>
      <w:r>
        <w:rPr>
          <w:rFonts w:hint="default" w:ascii="Times New Roman" w:hAnsi="Times New Roman" w:eastAsia="方正仿宋_GBK" w:cs="Times New Roman"/>
          <w:b w:val="0"/>
          <w:bCs w:val="0"/>
          <w:color w:val="auto"/>
          <w:spacing w:val="-2"/>
          <w:kern w:val="2"/>
          <w:sz w:val="32"/>
          <w:szCs w:val="32"/>
          <w:highlight w:val="none"/>
          <w:lang w:val="en-US" w:eastAsia="zh-CN" w:bidi="ar-SA"/>
        </w:rPr>
        <w:t>。</w:t>
      </w:r>
    </w:p>
    <w:p w14:paraId="0DD4C235">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32" w:firstLineChars="200"/>
        <w:textAlignment w:val="auto"/>
        <w:rPr>
          <w:rFonts w:hint="default" w:ascii="Times New Roman" w:hAnsi="Times New Roman" w:eastAsia="方正仿宋_GBK" w:cs="Times New Roman"/>
          <w:color w:val="auto"/>
          <w:spacing w:val="-2"/>
          <w:sz w:val="32"/>
          <w:szCs w:val="32"/>
          <w:highlight w:val="none"/>
          <w:lang w:val="en-US" w:eastAsia="zh-CN"/>
        </w:rPr>
      </w:pPr>
      <w:r>
        <w:rPr>
          <w:rFonts w:hint="default" w:ascii="Times New Roman" w:hAnsi="Times New Roman" w:eastAsia="方正仿宋_GBK" w:cs="Times New Roman"/>
          <w:color w:val="auto"/>
          <w:spacing w:val="-2"/>
          <w:kern w:val="2"/>
          <w:sz w:val="32"/>
          <w:szCs w:val="32"/>
          <w:highlight w:val="none"/>
          <w:lang w:val="en-US" w:eastAsia="zh-CN" w:bidi="ar-SA"/>
        </w:rPr>
        <w:t>分产业看，第一产业投资额9078万元，</w:t>
      </w:r>
      <w:r>
        <w:rPr>
          <w:rFonts w:hint="default" w:ascii="Times New Roman" w:hAnsi="Times New Roman" w:eastAsia="方正仿宋_GBK" w:cs="Times New Roman"/>
          <w:b w:val="0"/>
          <w:bCs w:val="0"/>
          <w:color w:val="auto"/>
          <w:spacing w:val="0"/>
          <w:kern w:val="2"/>
          <w:sz w:val="32"/>
          <w:szCs w:val="32"/>
          <w:highlight w:val="none"/>
          <w:lang w:val="en-US" w:eastAsia="zh-CN" w:bidi="ar-SA"/>
        </w:rPr>
        <w:t>占本年完成投资</w:t>
      </w:r>
      <w:r>
        <w:rPr>
          <w:rFonts w:hint="default" w:ascii="Times New Roman" w:hAnsi="Times New Roman" w:eastAsia="方正仿宋_GBK" w:cs="Times New Roman"/>
          <w:color w:val="auto"/>
          <w:spacing w:val="-2"/>
          <w:kern w:val="2"/>
          <w:sz w:val="32"/>
          <w:szCs w:val="32"/>
          <w:highlight w:val="none"/>
          <w:lang w:val="en-US" w:eastAsia="zh-CN" w:bidi="ar-SA"/>
        </w:rPr>
        <w:t>的</w:t>
      </w:r>
      <w:r>
        <w:rPr>
          <w:rFonts w:hint="default" w:ascii="Times New Roman" w:hAnsi="Times New Roman" w:eastAsia="方正仿宋_GBK" w:cs="Times New Roman"/>
          <w:color w:val="auto"/>
          <w:spacing w:val="-2"/>
          <w:sz w:val="32"/>
          <w:szCs w:val="32"/>
          <w:highlight w:val="none"/>
          <w:lang w:val="en-US" w:eastAsia="zh-CN"/>
        </w:rPr>
        <w:t>5.8%；第二产业投资额79023万元，</w:t>
      </w:r>
      <w:r>
        <w:rPr>
          <w:rFonts w:hint="default" w:ascii="Times New Roman" w:hAnsi="Times New Roman" w:eastAsia="方正仿宋_GBK" w:cs="Times New Roman"/>
          <w:b w:val="0"/>
          <w:bCs w:val="0"/>
          <w:color w:val="auto"/>
          <w:spacing w:val="0"/>
          <w:kern w:val="2"/>
          <w:sz w:val="32"/>
          <w:szCs w:val="32"/>
          <w:highlight w:val="none"/>
          <w:lang w:val="en-US" w:eastAsia="zh-CN" w:bidi="ar-SA"/>
        </w:rPr>
        <w:t>占本年完成投资</w:t>
      </w:r>
      <w:r>
        <w:rPr>
          <w:rFonts w:hint="default" w:ascii="Times New Roman" w:hAnsi="Times New Roman" w:eastAsia="方正仿宋_GBK" w:cs="Times New Roman"/>
          <w:color w:val="auto"/>
          <w:spacing w:val="-2"/>
          <w:sz w:val="32"/>
          <w:szCs w:val="32"/>
          <w:highlight w:val="none"/>
          <w:lang w:val="en-US" w:eastAsia="zh-CN"/>
        </w:rPr>
        <w:t>的50.</w:t>
      </w:r>
      <w:r>
        <w:rPr>
          <w:rFonts w:hint="eastAsia" w:ascii="Times New Roman" w:hAnsi="Times New Roman" w:eastAsia="方正仿宋_GBK" w:cs="Times New Roman"/>
          <w:color w:val="auto"/>
          <w:spacing w:val="-2"/>
          <w:sz w:val="32"/>
          <w:szCs w:val="32"/>
          <w:highlight w:val="none"/>
          <w:lang w:val="en-US" w:eastAsia="zh-CN"/>
        </w:rPr>
        <w:t>1</w:t>
      </w:r>
      <w:r>
        <w:rPr>
          <w:rFonts w:hint="default" w:ascii="Times New Roman" w:hAnsi="Times New Roman" w:eastAsia="方正仿宋_GBK" w:cs="Times New Roman"/>
          <w:color w:val="auto"/>
          <w:spacing w:val="-2"/>
          <w:sz w:val="32"/>
          <w:szCs w:val="32"/>
          <w:highlight w:val="none"/>
          <w:lang w:val="en-US" w:eastAsia="zh-CN"/>
        </w:rPr>
        <w:t>%；第三产业投资额69</w:t>
      </w:r>
      <w:r>
        <w:rPr>
          <w:rFonts w:hint="eastAsia" w:ascii="Times New Roman" w:hAnsi="Times New Roman" w:eastAsia="方正仿宋_GBK" w:cs="Times New Roman"/>
          <w:color w:val="auto"/>
          <w:spacing w:val="-2"/>
          <w:sz w:val="32"/>
          <w:szCs w:val="32"/>
          <w:highlight w:val="none"/>
          <w:lang w:val="en-US" w:eastAsia="zh-CN"/>
        </w:rPr>
        <w:t>554</w:t>
      </w:r>
      <w:r>
        <w:rPr>
          <w:rFonts w:hint="default" w:ascii="Times New Roman" w:hAnsi="Times New Roman" w:eastAsia="方正仿宋_GBK" w:cs="Times New Roman"/>
          <w:color w:val="auto"/>
          <w:spacing w:val="-2"/>
          <w:sz w:val="32"/>
          <w:szCs w:val="32"/>
          <w:highlight w:val="none"/>
          <w:lang w:val="en-US" w:eastAsia="zh-CN"/>
        </w:rPr>
        <w:t>万元，</w:t>
      </w:r>
      <w:r>
        <w:rPr>
          <w:rFonts w:hint="default" w:ascii="Times New Roman" w:hAnsi="Times New Roman" w:eastAsia="方正仿宋_GBK" w:cs="Times New Roman"/>
          <w:b w:val="0"/>
          <w:bCs w:val="0"/>
          <w:color w:val="auto"/>
          <w:spacing w:val="0"/>
          <w:kern w:val="2"/>
          <w:sz w:val="32"/>
          <w:szCs w:val="32"/>
          <w:highlight w:val="none"/>
          <w:lang w:val="en-US" w:eastAsia="zh-CN" w:bidi="ar-SA"/>
        </w:rPr>
        <w:t>占本年完成投资</w:t>
      </w:r>
      <w:r>
        <w:rPr>
          <w:rFonts w:hint="default" w:ascii="Times New Roman" w:hAnsi="Times New Roman" w:eastAsia="方正仿宋_GBK" w:cs="Times New Roman"/>
          <w:color w:val="auto"/>
          <w:spacing w:val="-2"/>
          <w:sz w:val="32"/>
          <w:szCs w:val="32"/>
          <w:highlight w:val="none"/>
          <w:lang w:val="en-US" w:eastAsia="zh-CN"/>
        </w:rPr>
        <w:t>的44.</w:t>
      </w:r>
      <w:r>
        <w:rPr>
          <w:rFonts w:hint="eastAsia" w:ascii="Times New Roman" w:hAnsi="Times New Roman" w:eastAsia="方正仿宋_GBK" w:cs="Times New Roman"/>
          <w:color w:val="auto"/>
          <w:spacing w:val="-2"/>
          <w:sz w:val="32"/>
          <w:szCs w:val="32"/>
          <w:highlight w:val="none"/>
          <w:lang w:val="en-US" w:eastAsia="zh-CN"/>
        </w:rPr>
        <w:t>1</w:t>
      </w:r>
      <w:r>
        <w:rPr>
          <w:rFonts w:hint="default" w:ascii="Times New Roman" w:hAnsi="Times New Roman" w:eastAsia="方正仿宋_GBK" w:cs="Times New Roman"/>
          <w:color w:val="auto"/>
          <w:spacing w:val="-2"/>
          <w:sz w:val="32"/>
          <w:szCs w:val="32"/>
          <w:highlight w:val="none"/>
          <w:lang w:val="en-US" w:eastAsia="zh-CN"/>
        </w:rPr>
        <w:t>%。</w:t>
      </w:r>
    </w:p>
    <w:p w14:paraId="23B54246">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40" w:firstLineChars="200"/>
        <w:textAlignment w:val="auto"/>
        <w:rPr>
          <w:rFonts w:hint="default" w:ascii="Times New Roman" w:hAnsi="Times New Roman" w:eastAsia="方正仿宋_GBK" w:cs="Times New Roman"/>
          <w:b w:val="0"/>
          <w:bCs w:val="0"/>
          <w:color w:val="auto"/>
          <w:spacing w:val="0"/>
          <w:kern w:val="2"/>
          <w:sz w:val="32"/>
          <w:szCs w:val="32"/>
          <w:highlight w:val="none"/>
          <w:lang w:val="en-US" w:eastAsia="zh-CN" w:bidi="ar-SA"/>
        </w:rPr>
      </w:pPr>
      <w:r>
        <w:rPr>
          <w:rFonts w:hint="default" w:ascii="Times New Roman" w:hAnsi="Times New Roman" w:eastAsia="方正仿宋_GBK" w:cs="Times New Roman"/>
          <w:b w:val="0"/>
          <w:bCs w:val="0"/>
          <w:color w:val="auto"/>
          <w:spacing w:val="0"/>
          <w:kern w:val="2"/>
          <w:sz w:val="32"/>
          <w:szCs w:val="32"/>
          <w:highlight w:val="none"/>
          <w:lang w:val="zh-CN" w:eastAsia="zh-CN" w:bidi="ar-SA"/>
        </w:rPr>
        <w:t>按构成分，建筑安装工程完成投资额</w:t>
      </w:r>
      <w:r>
        <w:rPr>
          <w:rFonts w:hint="default" w:ascii="Times New Roman" w:hAnsi="Times New Roman" w:eastAsia="方正仿宋_GBK" w:cs="Times New Roman"/>
          <w:b w:val="0"/>
          <w:bCs w:val="0"/>
          <w:color w:val="auto"/>
          <w:spacing w:val="0"/>
          <w:kern w:val="2"/>
          <w:sz w:val="32"/>
          <w:szCs w:val="32"/>
          <w:highlight w:val="none"/>
          <w:lang w:val="en-US" w:eastAsia="zh-CN" w:bidi="ar-SA"/>
        </w:rPr>
        <w:t>118</w:t>
      </w:r>
      <w:r>
        <w:rPr>
          <w:rFonts w:hint="eastAsia" w:ascii="Times New Roman" w:hAnsi="Times New Roman" w:eastAsia="方正仿宋_GBK" w:cs="Times New Roman"/>
          <w:b w:val="0"/>
          <w:bCs w:val="0"/>
          <w:color w:val="auto"/>
          <w:spacing w:val="0"/>
          <w:kern w:val="2"/>
          <w:sz w:val="32"/>
          <w:szCs w:val="32"/>
          <w:highlight w:val="none"/>
          <w:lang w:val="en-US" w:eastAsia="zh-CN" w:bidi="ar-SA"/>
        </w:rPr>
        <w:t>484</w:t>
      </w:r>
      <w:r>
        <w:rPr>
          <w:rFonts w:hint="default" w:ascii="Times New Roman" w:hAnsi="Times New Roman" w:eastAsia="方正仿宋_GBK" w:cs="Times New Roman"/>
          <w:b w:val="0"/>
          <w:bCs w:val="0"/>
          <w:color w:val="auto"/>
          <w:spacing w:val="0"/>
          <w:kern w:val="2"/>
          <w:sz w:val="32"/>
          <w:szCs w:val="32"/>
          <w:highlight w:val="none"/>
          <w:lang w:val="zh-CN" w:eastAsia="zh-CN" w:bidi="ar-SA"/>
        </w:rPr>
        <w:t>万元，</w:t>
      </w:r>
      <w:r>
        <w:rPr>
          <w:rFonts w:hint="default" w:ascii="Times New Roman" w:hAnsi="Times New Roman" w:eastAsia="方正仿宋_GBK" w:cs="Times New Roman"/>
          <w:b w:val="0"/>
          <w:bCs w:val="0"/>
          <w:color w:val="auto"/>
          <w:spacing w:val="0"/>
          <w:kern w:val="2"/>
          <w:sz w:val="32"/>
          <w:szCs w:val="32"/>
          <w:highlight w:val="none"/>
          <w:lang w:val="en-US" w:eastAsia="zh-CN" w:bidi="ar-SA"/>
        </w:rPr>
        <w:t>占本年完成投资</w:t>
      </w:r>
      <w:r>
        <w:rPr>
          <w:rFonts w:hint="default" w:ascii="Times New Roman" w:hAnsi="Times New Roman" w:eastAsia="方正仿宋_GBK" w:cs="Times New Roman"/>
          <w:b w:val="0"/>
          <w:bCs w:val="0"/>
          <w:color w:val="auto"/>
          <w:spacing w:val="0"/>
          <w:kern w:val="2"/>
          <w:sz w:val="32"/>
          <w:szCs w:val="32"/>
          <w:highlight w:val="none"/>
          <w:lang w:val="zh-CN" w:eastAsia="zh-CN" w:bidi="ar-SA"/>
        </w:rPr>
        <w:t>的</w:t>
      </w:r>
      <w:r>
        <w:rPr>
          <w:rFonts w:hint="default" w:ascii="Times New Roman" w:hAnsi="Times New Roman" w:eastAsia="方正仿宋_GBK" w:cs="Times New Roman"/>
          <w:b w:val="0"/>
          <w:bCs w:val="0"/>
          <w:color w:val="auto"/>
          <w:spacing w:val="0"/>
          <w:kern w:val="2"/>
          <w:sz w:val="32"/>
          <w:szCs w:val="32"/>
          <w:highlight w:val="none"/>
          <w:lang w:val="en-US" w:eastAsia="zh-CN" w:bidi="ar-SA"/>
        </w:rPr>
        <w:t>75.</w:t>
      </w:r>
      <w:r>
        <w:rPr>
          <w:rFonts w:hint="eastAsia" w:ascii="Times New Roman" w:hAnsi="Times New Roman" w:eastAsia="方正仿宋_GBK" w:cs="Times New Roman"/>
          <w:b w:val="0"/>
          <w:bCs w:val="0"/>
          <w:color w:val="auto"/>
          <w:spacing w:val="0"/>
          <w:kern w:val="2"/>
          <w:sz w:val="32"/>
          <w:szCs w:val="32"/>
          <w:highlight w:val="none"/>
          <w:lang w:val="en-US" w:eastAsia="zh-CN" w:bidi="ar-SA"/>
        </w:rPr>
        <w:t>2</w:t>
      </w:r>
      <w:r>
        <w:rPr>
          <w:rFonts w:hint="default" w:ascii="Times New Roman" w:hAnsi="Times New Roman" w:eastAsia="方正仿宋_GBK" w:cs="Times New Roman"/>
          <w:b w:val="0"/>
          <w:bCs w:val="0"/>
          <w:color w:val="auto"/>
          <w:spacing w:val="0"/>
          <w:kern w:val="2"/>
          <w:sz w:val="32"/>
          <w:szCs w:val="32"/>
          <w:highlight w:val="none"/>
          <w:lang w:val="zh-CN" w:eastAsia="zh-CN" w:bidi="ar-SA"/>
        </w:rPr>
        <w:t>%，</w:t>
      </w:r>
      <w:r>
        <w:rPr>
          <w:rFonts w:hint="default" w:ascii="Times New Roman" w:hAnsi="Times New Roman" w:eastAsia="方正仿宋_GBK" w:cs="Times New Roman"/>
          <w:b w:val="0"/>
          <w:bCs w:val="0"/>
          <w:color w:val="auto"/>
          <w:spacing w:val="0"/>
          <w:kern w:val="2"/>
          <w:sz w:val="32"/>
          <w:szCs w:val="32"/>
          <w:highlight w:val="none"/>
          <w:lang w:val="en-US" w:eastAsia="zh-CN" w:bidi="ar-SA"/>
        </w:rPr>
        <w:t>同比增长</w:t>
      </w:r>
      <w:r>
        <w:rPr>
          <w:rFonts w:hint="eastAsia" w:ascii="Times New Roman" w:hAnsi="Times New Roman" w:eastAsia="方正仿宋_GBK" w:cs="Times New Roman"/>
          <w:b w:val="0"/>
          <w:bCs w:val="0"/>
          <w:color w:val="auto"/>
          <w:spacing w:val="0"/>
          <w:kern w:val="2"/>
          <w:sz w:val="32"/>
          <w:szCs w:val="32"/>
          <w:highlight w:val="none"/>
          <w:lang w:val="en-US" w:eastAsia="zh-CN" w:bidi="ar-SA"/>
        </w:rPr>
        <w:t>5</w:t>
      </w:r>
      <w:r>
        <w:rPr>
          <w:rFonts w:hint="default" w:ascii="Times New Roman" w:hAnsi="Times New Roman" w:eastAsia="方正仿宋_GBK" w:cs="Times New Roman"/>
          <w:b w:val="0"/>
          <w:bCs w:val="0"/>
          <w:color w:val="auto"/>
          <w:spacing w:val="0"/>
          <w:kern w:val="2"/>
          <w:sz w:val="32"/>
          <w:szCs w:val="32"/>
          <w:highlight w:val="none"/>
          <w:lang w:val="en-US" w:eastAsia="zh-CN" w:bidi="ar-SA"/>
        </w:rPr>
        <w:t>%</w:t>
      </w:r>
      <w:r>
        <w:rPr>
          <w:rFonts w:hint="default" w:ascii="Times New Roman" w:hAnsi="Times New Roman" w:eastAsia="方正仿宋_GBK" w:cs="Times New Roman"/>
          <w:b w:val="0"/>
          <w:bCs w:val="0"/>
          <w:color w:val="auto"/>
          <w:spacing w:val="0"/>
          <w:kern w:val="2"/>
          <w:sz w:val="32"/>
          <w:szCs w:val="32"/>
          <w:highlight w:val="none"/>
          <w:lang w:val="zh-CN" w:eastAsia="zh-CN" w:bidi="ar-SA"/>
        </w:rPr>
        <w:t>；设备工器具购置完成投资额30427万元，</w:t>
      </w:r>
      <w:r>
        <w:rPr>
          <w:rFonts w:hint="default" w:ascii="Times New Roman" w:hAnsi="Times New Roman" w:eastAsia="方正仿宋_GBK" w:cs="Times New Roman"/>
          <w:b w:val="0"/>
          <w:bCs w:val="0"/>
          <w:color w:val="auto"/>
          <w:spacing w:val="0"/>
          <w:kern w:val="2"/>
          <w:sz w:val="32"/>
          <w:szCs w:val="32"/>
          <w:highlight w:val="none"/>
          <w:lang w:val="en-US" w:eastAsia="zh-CN" w:bidi="ar-SA"/>
        </w:rPr>
        <w:t>占本年完成投资</w:t>
      </w:r>
      <w:r>
        <w:rPr>
          <w:rFonts w:hint="default" w:ascii="Times New Roman" w:hAnsi="Times New Roman" w:eastAsia="方正仿宋_GBK" w:cs="Times New Roman"/>
          <w:b w:val="0"/>
          <w:bCs w:val="0"/>
          <w:color w:val="auto"/>
          <w:spacing w:val="0"/>
          <w:kern w:val="2"/>
          <w:sz w:val="32"/>
          <w:szCs w:val="32"/>
          <w:highlight w:val="none"/>
          <w:lang w:val="zh-CN" w:eastAsia="zh-CN" w:bidi="ar-SA"/>
        </w:rPr>
        <w:t>的</w:t>
      </w:r>
      <w:r>
        <w:rPr>
          <w:rFonts w:hint="default" w:ascii="Times New Roman" w:hAnsi="Times New Roman" w:eastAsia="方正仿宋_GBK" w:cs="Times New Roman"/>
          <w:b w:val="0"/>
          <w:bCs w:val="0"/>
          <w:color w:val="auto"/>
          <w:spacing w:val="0"/>
          <w:kern w:val="2"/>
          <w:sz w:val="32"/>
          <w:szCs w:val="32"/>
          <w:highlight w:val="none"/>
          <w:lang w:val="en-US" w:eastAsia="zh-CN" w:bidi="ar-SA"/>
        </w:rPr>
        <w:t>19.3</w:t>
      </w:r>
      <w:r>
        <w:rPr>
          <w:rFonts w:hint="default" w:ascii="Times New Roman" w:hAnsi="Times New Roman" w:eastAsia="方正仿宋_GBK" w:cs="Times New Roman"/>
          <w:b w:val="0"/>
          <w:bCs w:val="0"/>
          <w:color w:val="auto"/>
          <w:spacing w:val="0"/>
          <w:kern w:val="2"/>
          <w:sz w:val="32"/>
          <w:szCs w:val="32"/>
          <w:highlight w:val="none"/>
          <w:lang w:val="zh-CN" w:eastAsia="zh-CN" w:bidi="ar-SA"/>
        </w:rPr>
        <w:t>%，</w:t>
      </w:r>
      <w:r>
        <w:rPr>
          <w:rFonts w:hint="default" w:ascii="Times New Roman" w:hAnsi="Times New Roman" w:eastAsia="方正仿宋_GBK" w:cs="Times New Roman"/>
          <w:b w:val="0"/>
          <w:bCs w:val="0"/>
          <w:color w:val="auto"/>
          <w:spacing w:val="0"/>
          <w:kern w:val="2"/>
          <w:sz w:val="32"/>
          <w:szCs w:val="32"/>
          <w:highlight w:val="none"/>
          <w:lang w:val="en-US" w:eastAsia="zh-CN" w:bidi="ar-SA"/>
        </w:rPr>
        <w:t>同比增长766.9%</w:t>
      </w:r>
      <w:r>
        <w:rPr>
          <w:rFonts w:hint="default" w:ascii="Times New Roman" w:hAnsi="Times New Roman" w:eastAsia="方正仿宋_GBK" w:cs="Times New Roman"/>
          <w:b w:val="0"/>
          <w:bCs w:val="0"/>
          <w:color w:val="auto"/>
          <w:spacing w:val="0"/>
          <w:kern w:val="2"/>
          <w:sz w:val="32"/>
          <w:szCs w:val="32"/>
          <w:highlight w:val="none"/>
          <w:lang w:val="zh-CN" w:eastAsia="zh-CN" w:bidi="ar-SA"/>
        </w:rPr>
        <w:t>；其他费用完成投资额</w:t>
      </w:r>
      <w:r>
        <w:rPr>
          <w:rFonts w:hint="default" w:ascii="Times New Roman" w:hAnsi="Times New Roman" w:eastAsia="方正仿宋_GBK" w:cs="Times New Roman"/>
          <w:b w:val="0"/>
          <w:bCs w:val="0"/>
          <w:color w:val="auto"/>
          <w:spacing w:val="0"/>
          <w:kern w:val="2"/>
          <w:sz w:val="32"/>
          <w:szCs w:val="32"/>
          <w:highlight w:val="none"/>
          <w:lang w:val="en-US" w:eastAsia="zh-CN" w:bidi="ar-SA"/>
        </w:rPr>
        <w:t>8744</w:t>
      </w:r>
      <w:r>
        <w:rPr>
          <w:rFonts w:hint="default" w:ascii="Times New Roman" w:hAnsi="Times New Roman" w:eastAsia="方正仿宋_GBK" w:cs="Times New Roman"/>
          <w:b w:val="0"/>
          <w:bCs w:val="0"/>
          <w:color w:val="auto"/>
          <w:spacing w:val="0"/>
          <w:kern w:val="2"/>
          <w:sz w:val="32"/>
          <w:szCs w:val="32"/>
          <w:highlight w:val="none"/>
          <w:lang w:val="zh-CN" w:eastAsia="zh-CN" w:bidi="ar-SA"/>
        </w:rPr>
        <w:t>万元，</w:t>
      </w:r>
      <w:r>
        <w:rPr>
          <w:rFonts w:hint="default" w:ascii="Times New Roman" w:hAnsi="Times New Roman" w:eastAsia="方正仿宋_GBK" w:cs="Times New Roman"/>
          <w:b w:val="0"/>
          <w:bCs w:val="0"/>
          <w:color w:val="auto"/>
          <w:spacing w:val="0"/>
          <w:kern w:val="2"/>
          <w:sz w:val="32"/>
          <w:szCs w:val="32"/>
          <w:highlight w:val="none"/>
          <w:lang w:val="en-US" w:eastAsia="zh-CN" w:bidi="ar-SA"/>
        </w:rPr>
        <w:t>占本年完成投资</w:t>
      </w:r>
      <w:r>
        <w:rPr>
          <w:rFonts w:hint="default" w:ascii="Times New Roman" w:hAnsi="Times New Roman" w:eastAsia="方正仿宋_GBK" w:cs="Times New Roman"/>
          <w:b w:val="0"/>
          <w:bCs w:val="0"/>
          <w:color w:val="auto"/>
          <w:spacing w:val="0"/>
          <w:kern w:val="2"/>
          <w:sz w:val="32"/>
          <w:szCs w:val="32"/>
          <w:highlight w:val="none"/>
          <w:lang w:val="zh-CN" w:eastAsia="zh-CN" w:bidi="ar-SA"/>
        </w:rPr>
        <w:t>的</w:t>
      </w:r>
      <w:r>
        <w:rPr>
          <w:rFonts w:hint="default" w:ascii="Times New Roman" w:hAnsi="Times New Roman" w:eastAsia="方正仿宋_GBK" w:cs="Times New Roman"/>
          <w:b w:val="0"/>
          <w:bCs w:val="0"/>
          <w:color w:val="auto"/>
          <w:spacing w:val="0"/>
          <w:kern w:val="2"/>
          <w:sz w:val="32"/>
          <w:szCs w:val="32"/>
          <w:highlight w:val="none"/>
          <w:lang w:val="en-US" w:eastAsia="zh-CN" w:bidi="ar-SA"/>
        </w:rPr>
        <w:t>5.</w:t>
      </w:r>
      <w:r>
        <w:rPr>
          <w:rFonts w:hint="eastAsia" w:ascii="Times New Roman" w:hAnsi="Times New Roman" w:eastAsia="方正仿宋_GBK" w:cs="Times New Roman"/>
          <w:b w:val="0"/>
          <w:bCs w:val="0"/>
          <w:color w:val="auto"/>
          <w:spacing w:val="0"/>
          <w:kern w:val="2"/>
          <w:sz w:val="32"/>
          <w:szCs w:val="32"/>
          <w:highlight w:val="none"/>
          <w:lang w:val="en-US" w:eastAsia="zh-CN" w:bidi="ar-SA"/>
        </w:rPr>
        <w:t>5</w:t>
      </w:r>
      <w:r>
        <w:rPr>
          <w:rFonts w:hint="default" w:ascii="Times New Roman" w:hAnsi="Times New Roman" w:eastAsia="方正仿宋_GBK" w:cs="Times New Roman"/>
          <w:b w:val="0"/>
          <w:bCs w:val="0"/>
          <w:color w:val="auto"/>
          <w:spacing w:val="0"/>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spacing w:val="0"/>
          <w:kern w:val="2"/>
          <w:sz w:val="32"/>
          <w:szCs w:val="32"/>
          <w:highlight w:val="none"/>
          <w:lang w:val="zh-CN" w:eastAsia="zh-CN" w:bidi="ar-SA"/>
        </w:rPr>
        <w:t>%，</w:t>
      </w:r>
      <w:r>
        <w:rPr>
          <w:rFonts w:hint="default" w:ascii="Times New Roman" w:hAnsi="Times New Roman" w:eastAsia="方正仿宋_GBK" w:cs="Times New Roman"/>
          <w:b w:val="0"/>
          <w:bCs w:val="0"/>
          <w:color w:val="auto"/>
          <w:spacing w:val="0"/>
          <w:kern w:val="2"/>
          <w:sz w:val="32"/>
          <w:szCs w:val="32"/>
          <w:highlight w:val="none"/>
          <w:lang w:val="en-US" w:eastAsia="zh-CN" w:bidi="ar-SA"/>
        </w:rPr>
        <w:t>同比增长</w:t>
      </w:r>
      <w:r>
        <w:rPr>
          <w:rFonts w:hint="eastAsia" w:ascii="Times New Roman" w:hAnsi="Times New Roman" w:eastAsia="方正仿宋_GBK" w:cs="Times New Roman"/>
          <w:b w:val="0"/>
          <w:bCs w:val="0"/>
          <w:color w:val="auto"/>
          <w:spacing w:val="0"/>
          <w:kern w:val="2"/>
          <w:sz w:val="32"/>
          <w:szCs w:val="32"/>
          <w:highlight w:val="none"/>
          <w:lang w:val="en-US" w:eastAsia="zh-CN" w:bidi="ar-SA"/>
        </w:rPr>
        <w:t>139.2</w:t>
      </w:r>
      <w:r>
        <w:rPr>
          <w:rFonts w:hint="default" w:ascii="Times New Roman" w:hAnsi="Times New Roman" w:eastAsia="方正仿宋_GBK" w:cs="Times New Roman"/>
          <w:b w:val="0"/>
          <w:bCs w:val="0"/>
          <w:color w:val="auto"/>
          <w:spacing w:val="0"/>
          <w:kern w:val="2"/>
          <w:sz w:val="32"/>
          <w:szCs w:val="32"/>
          <w:highlight w:val="none"/>
          <w:lang w:val="en-US" w:eastAsia="zh-CN" w:bidi="ar-SA"/>
        </w:rPr>
        <w:t>%。</w:t>
      </w:r>
    </w:p>
    <w:p w14:paraId="1B801605">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32" w:firstLineChars="200"/>
        <w:textAlignment w:val="auto"/>
        <w:rPr>
          <w:rFonts w:hint="default" w:ascii="Times New Roman" w:hAnsi="Times New Roman" w:eastAsia="方正仿宋_GBK" w:cs="Times New Roman"/>
          <w:color w:val="auto"/>
          <w:spacing w:val="-2"/>
          <w:kern w:val="2"/>
          <w:sz w:val="32"/>
          <w:szCs w:val="32"/>
          <w:highlight w:val="none"/>
          <w:lang w:val="en-US" w:eastAsia="zh-CN" w:bidi="ar-SA"/>
        </w:rPr>
      </w:pPr>
      <w:r>
        <w:rPr>
          <w:rFonts w:hint="default" w:ascii="Times New Roman" w:hAnsi="Times New Roman" w:eastAsia="方正仿宋_GBK" w:cs="Times New Roman"/>
          <w:color w:val="auto"/>
          <w:spacing w:val="-2"/>
          <w:sz w:val="32"/>
          <w:szCs w:val="32"/>
          <w:highlight w:val="none"/>
          <w:lang w:val="en-US" w:eastAsia="zh-CN"/>
        </w:rPr>
        <w:t>从投资来源看，</w:t>
      </w:r>
      <w:r>
        <w:rPr>
          <w:rFonts w:hint="default" w:ascii="Times New Roman" w:hAnsi="Times New Roman" w:eastAsia="方正仿宋_GBK" w:cs="Times New Roman"/>
          <w:color w:val="auto"/>
          <w:spacing w:val="-2"/>
          <w:kern w:val="2"/>
          <w:sz w:val="32"/>
          <w:szCs w:val="32"/>
          <w:highlight w:val="none"/>
          <w:lang w:val="en-US" w:eastAsia="zh-CN" w:bidi="ar-SA"/>
        </w:rPr>
        <w:t>民间投资完成83107万元，同比增长630.6%，</w:t>
      </w:r>
      <w:r>
        <w:rPr>
          <w:rFonts w:hint="default" w:ascii="Times New Roman" w:hAnsi="Times New Roman" w:eastAsia="方正仿宋_GBK" w:cs="Times New Roman"/>
          <w:b w:val="0"/>
          <w:bCs w:val="0"/>
          <w:color w:val="auto"/>
          <w:spacing w:val="0"/>
          <w:kern w:val="2"/>
          <w:sz w:val="32"/>
          <w:szCs w:val="32"/>
          <w:highlight w:val="none"/>
          <w:lang w:val="en-US" w:eastAsia="zh-CN" w:bidi="ar-SA"/>
        </w:rPr>
        <w:t>占本年完成投资</w:t>
      </w:r>
      <w:r>
        <w:rPr>
          <w:rFonts w:hint="default" w:ascii="Times New Roman" w:hAnsi="Times New Roman" w:eastAsia="方正仿宋_GBK" w:cs="Times New Roman"/>
          <w:color w:val="auto"/>
          <w:spacing w:val="-2"/>
          <w:kern w:val="2"/>
          <w:sz w:val="32"/>
          <w:szCs w:val="32"/>
          <w:highlight w:val="none"/>
          <w:lang w:val="en-US" w:eastAsia="zh-CN" w:bidi="ar-SA"/>
        </w:rPr>
        <w:t>的52.</w:t>
      </w:r>
      <w:r>
        <w:rPr>
          <w:rFonts w:hint="eastAsia" w:ascii="Times New Roman" w:hAnsi="Times New Roman" w:eastAsia="方正仿宋_GBK" w:cs="Times New Roman"/>
          <w:color w:val="auto"/>
          <w:spacing w:val="-2"/>
          <w:kern w:val="2"/>
          <w:sz w:val="32"/>
          <w:szCs w:val="32"/>
          <w:highlight w:val="none"/>
          <w:lang w:val="en-US" w:eastAsia="zh-CN" w:bidi="ar-SA"/>
        </w:rPr>
        <w:t>7</w:t>
      </w:r>
      <w:r>
        <w:rPr>
          <w:rFonts w:hint="default" w:ascii="Times New Roman" w:hAnsi="Times New Roman" w:eastAsia="方正仿宋_GBK" w:cs="Times New Roman"/>
          <w:color w:val="auto"/>
          <w:spacing w:val="-2"/>
          <w:kern w:val="2"/>
          <w:sz w:val="32"/>
          <w:szCs w:val="32"/>
          <w:highlight w:val="none"/>
          <w:lang w:val="en-US" w:eastAsia="zh-CN" w:bidi="ar-SA"/>
        </w:rPr>
        <w:t>%，拉动投资增长59.8个百分点。</w:t>
      </w:r>
    </w:p>
    <w:p w14:paraId="30E16ACB">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240" w:lineRule="auto"/>
        <w:ind w:left="0" w:leftChars="0" w:firstLine="0" w:firstLineChars="0"/>
        <w:textAlignment w:val="auto"/>
        <w:rPr>
          <w:rFonts w:hint="default" w:ascii="Times New Roman" w:hAnsi="Times New Roman" w:eastAsia="方正仿宋_GBK" w:cs="Times New Roman"/>
          <w:color w:val="auto"/>
          <w:spacing w:val="-2"/>
          <w:kern w:val="2"/>
          <w:sz w:val="32"/>
          <w:szCs w:val="32"/>
          <w:highlight w:val="none"/>
          <w:lang w:val="en-US" w:eastAsia="zh-CN" w:bidi="ar-SA"/>
        </w:rPr>
      </w:pPr>
      <w:r>
        <w:drawing>
          <wp:inline distT="0" distB="0" distL="114300" distR="114300">
            <wp:extent cx="5606415" cy="3398520"/>
            <wp:effectExtent l="4445" t="4445" r="8890" b="698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79F8E6E">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32" w:firstLineChars="200"/>
        <w:textAlignment w:val="auto"/>
        <w:rPr>
          <w:rFonts w:hint="default" w:ascii="Times New Roman" w:hAnsi="Times New Roman" w:eastAsia="方正仿宋_GBK" w:cs="Times New Roman"/>
          <w:color w:val="auto"/>
          <w:spacing w:val="-2"/>
          <w:kern w:val="2"/>
          <w:sz w:val="32"/>
          <w:szCs w:val="32"/>
          <w:highlight w:val="none"/>
          <w:lang w:val="en-US" w:eastAsia="zh-CN" w:bidi="ar-SA"/>
        </w:rPr>
      </w:pPr>
      <w:r>
        <w:rPr>
          <w:rFonts w:hint="default" w:ascii="Times New Roman" w:hAnsi="Times New Roman" w:eastAsia="方正仿宋_GBK" w:cs="Times New Roman"/>
          <w:color w:val="auto"/>
          <w:spacing w:val="-2"/>
          <w:kern w:val="2"/>
          <w:sz w:val="32"/>
          <w:szCs w:val="32"/>
          <w:highlight w:val="none"/>
          <w:lang w:val="en-US" w:eastAsia="zh-CN" w:bidi="ar-SA"/>
        </w:rPr>
        <w:t>房地产开发投资持续发力。房地产开发企业投资额28868万元，同比增长599.8%，占本年完成投资的18.3%。销售面积和销售额双增长，本年商品房销售面积41903平方米，较上年同期增加7494平方米</w:t>
      </w:r>
      <w:r>
        <w:rPr>
          <w:rFonts w:hint="eastAsia" w:ascii="Times New Roman" w:hAnsi="Times New Roman" w:eastAsia="方正仿宋_GBK" w:cs="Times New Roman"/>
          <w:color w:val="auto"/>
          <w:spacing w:val="-2"/>
          <w:kern w:val="2"/>
          <w:sz w:val="32"/>
          <w:szCs w:val="32"/>
          <w:highlight w:val="none"/>
          <w:lang w:val="en-US" w:eastAsia="zh-CN" w:bidi="ar-SA"/>
        </w:rPr>
        <w:t>，</w:t>
      </w:r>
      <w:r>
        <w:rPr>
          <w:rFonts w:hint="default" w:ascii="Times New Roman" w:hAnsi="Times New Roman" w:eastAsia="方正仿宋_GBK" w:cs="Times New Roman"/>
          <w:color w:val="auto"/>
          <w:spacing w:val="-2"/>
          <w:kern w:val="2"/>
          <w:sz w:val="32"/>
          <w:szCs w:val="32"/>
          <w:highlight w:val="none"/>
          <w:lang w:val="en-US" w:eastAsia="zh-CN" w:bidi="ar-SA"/>
        </w:rPr>
        <w:t>同比增长21.8%；本年商品房销售额18818万元，较上年同期增加3553万元，同比增长23.3%。</w:t>
      </w:r>
    </w:p>
    <w:p w14:paraId="0F90D895">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35" w:firstLineChars="200"/>
        <w:textAlignment w:val="auto"/>
        <w:rPr>
          <w:rFonts w:hint="eastAsia" w:ascii="方正楷体_GBK" w:hAnsi="方正楷体_GBK" w:eastAsia="方正楷体_GBK" w:cs="方正楷体_GBK"/>
          <w:b/>
          <w:bCs/>
          <w:color w:val="auto"/>
          <w:spacing w:val="-2"/>
          <w:kern w:val="0"/>
          <w:sz w:val="32"/>
          <w:szCs w:val="32"/>
          <w:highlight w:val="none"/>
          <w:lang w:val="en-US" w:eastAsia="zh-CN" w:bidi="ar"/>
        </w:rPr>
      </w:pPr>
      <w:r>
        <w:rPr>
          <w:rFonts w:hint="eastAsia" w:ascii="方正楷体_GBK" w:hAnsi="方正楷体_GBK" w:eastAsia="方正楷体_GBK" w:cs="方正楷体_GBK"/>
          <w:b/>
          <w:bCs/>
          <w:color w:val="auto"/>
          <w:spacing w:val="-2"/>
          <w:kern w:val="2"/>
          <w:sz w:val="32"/>
          <w:szCs w:val="32"/>
          <w:highlight w:val="none"/>
          <w:lang w:val="en-US" w:eastAsia="zh-CN" w:bidi="ar-SA"/>
        </w:rPr>
        <w:t>（三）</w:t>
      </w:r>
      <w:r>
        <w:rPr>
          <w:rFonts w:hint="eastAsia" w:ascii="方正楷体_GBK" w:hAnsi="方正楷体_GBK" w:eastAsia="方正楷体_GBK" w:cs="方正楷体_GBK"/>
          <w:b/>
          <w:bCs/>
          <w:color w:val="auto"/>
          <w:spacing w:val="-2"/>
          <w:kern w:val="0"/>
          <w:sz w:val="32"/>
          <w:szCs w:val="32"/>
          <w:highlight w:val="none"/>
          <w:lang w:val="en-US" w:eastAsia="zh-CN" w:bidi="ar"/>
        </w:rPr>
        <w:t>商品零售额快速增长</w:t>
      </w:r>
    </w:p>
    <w:p w14:paraId="0111196C">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32" w:firstLineChars="200"/>
        <w:textAlignment w:val="auto"/>
        <w:rPr>
          <w:rFonts w:hint="default" w:ascii="Times New Roman" w:hAnsi="Times New Roman" w:eastAsia="方正仿宋_GBK" w:cs="Times New Roman"/>
          <w:color w:val="auto"/>
          <w:spacing w:val="-2"/>
          <w:kern w:val="2"/>
          <w:sz w:val="32"/>
          <w:szCs w:val="32"/>
          <w:highlight w:val="none"/>
          <w:lang w:val="en-US" w:eastAsia="zh-CN" w:bidi="ar-SA"/>
        </w:rPr>
      </w:pPr>
      <w:r>
        <w:rPr>
          <w:rFonts w:hint="default" w:ascii="Times New Roman" w:hAnsi="Times New Roman" w:eastAsia="方正仿宋_GBK" w:cs="Times New Roman"/>
          <w:b w:val="0"/>
          <w:bCs w:val="0"/>
          <w:color w:val="auto"/>
          <w:spacing w:val="-2"/>
          <w:sz w:val="32"/>
          <w:szCs w:val="32"/>
          <w:highlight w:val="none"/>
        </w:rPr>
        <w:t>限额以上社会消费品零售总额</w:t>
      </w:r>
      <w:r>
        <w:rPr>
          <w:rFonts w:hint="default" w:ascii="Times New Roman" w:hAnsi="Times New Roman" w:eastAsia="方正仿宋_GBK" w:cs="Times New Roman"/>
          <w:b w:val="0"/>
          <w:bCs w:val="0"/>
          <w:color w:val="auto"/>
          <w:spacing w:val="-2"/>
          <w:sz w:val="32"/>
          <w:szCs w:val="32"/>
          <w:highlight w:val="none"/>
          <w:shd w:val="clear"/>
          <w:lang w:val="en-US" w:eastAsia="zh-CN"/>
        </w:rPr>
        <w:t>9</w:t>
      </w:r>
      <w:r>
        <w:rPr>
          <w:rFonts w:hint="eastAsia" w:ascii="Times New Roman" w:hAnsi="Times New Roman" w:eastAsia="方正仿宋_GBK" w:cs="Times New Roman"/>
          <w:b w:val="0"/>
          <w:bCs w:val="0"/>
          <w:color w:val="auto"/>
          <w:spacing w:val="-2"/>
          <w:sz w:val="32"/>
          <w:szCs w:val="32"/>
          <w:highlight w:val="none"/>
          <w:shd w:val="clear"/>
          <w:lang w:val="en-US" w:eastAsia="zh-CN"/>
        </w:rPr>
        <w:t>300.3</w:t>
      </w:r>
      <w:r>
        <w:rPr>
          <w:rFonts w:hint="default" w:ascii="Times New Roman" w:hAnsi="Times New Roman" w:eastAsia="方正仿宋_GBK" w:cs="Times New Roman"/>
          <w:b w:val="0"/>
          <w:bCs w:val="0"/>
          <w:color w:val="auto"/>
          <w:spacing w:val="-2"/>
          <w:sz w:val="32"/>
          <w:szCs w:val="32"/>
          <w:highlight w:val="none"/>
          <w:lang w:val="en-US" w:eastAsia="zh-CN"/>
        </w:rPr>
        <w:t>万</w:t>
      </w:r>
      <w:r>
        <w:rPr>
          <w:rFonts w:hint="default" w:ascii="Times New Roman" w:hAnsi="Times New Roman" w:eastAsia="方正仿宋_GBK" w:cs="Times New Roman"/>
          <w:b w:val="0"/>
          <w:bCs w:val="0"/>
          <w:color w:val="auto"/>
          <w:spacing w:val="-2"/>
          <w:sz w:val="32"/>
          <w:szCs w:val="32"/>
          <w:highlight w:val="none"/>
        </w:rPr>
        <w:t>元，同比增长</w:t>
      </w:r>
      <w:r>
        <w:rPr>
          <w:rFonts w:hint="default" w:ascii="Times New Roman" w:hAnsi="Times New Roman" w:eastAsia="方正仿宋_GBK" w:cs="Times New Roman"/>
          <w:b w:val="0"/>
          <w:bCs w:val="0"/>
          <w:color w:val="auto"/>
          <w:spacing w:val="-2"/>
          <w:sz w:val="32"/>
          <w:szCs w:val="32"/>
          <w:highlight w:val="none"/>
          <w:lang w:val="en-US" w:eastAsia="zh-CN"/>
        </w:rPr>
        <w:t>28.4</w:t>
      </w:r>
      <w:r>
        <w:rPr>
          <w:rFonts w:hint="default" w:ascii="Times New Roman" w:hAnsi="Times New Roman" w:eastAsia="方正仿宋_GBK" w:cs="Times New Roman"/>
          <w:b w:val="0"/>
          <w:bCs w:val="0"/>
          <w:color w:val="auto"/>
          <w:spacing w:val="-2"/>
          <w:sz w:val="32"/>
          <w:szCs w:val="32"/>
          <w:highlight w:val="none"/>
        </w:rPr>
        <w:t>%</w:t>
      </w:r>
      <w:r>
        <w:rPr>
          <w:rFonts w:hint="default" w:ascii="Times New Roman" w:hAnsi="Times New Roman" w:eastAsia="方正仿宋_GBK" w:cs="Times New Roman"/>
          <w:color w:val="auto"/>
          <w:spacing w:val="-2"/>
          <w:kern w:val="2"/>
          <w:sz w:val="32"/>
          <w:szCs w:val="32"/>
          <w:highlight w:val="none"/>
          <w:lang w:val="en-US" w:eastAsia="zh-CN" w:bidi="ar-SA"/>
        </w:rPr>
        <w:t>。餐饮收入160</w:t>
      </w:r>
      <w:r>
        <w:rPr>
          <w:rFonts w:hint="eastAsia" w:ascii="Times New Roman" w:hAnsi="Times New Roman" w:eastAsia="方正仿宋_GBK" w:cs="Times New Roman"/>
          <w:color w:val="auto"/>
          <w:spacing w:val="-2"/>
          <w:kern w:val="2"/>
          <w:sz w:val="32"/>
          <w:szCs w:val="32"/>
          <w:highlight w:val="none"/>
          <w:lang w:val="en-US" w:eastAsia="zh-CN" w:bidi="ar-SA"/>
        </w:rPr>
        <w:t>9.8</w:t>
      </w:r>
      <w:r>
        <w:rPr>
          <w:rFonts w:hint="default" w:ascii="Times New Roman" w:hAnsi="Times New Roman" w:eastAsia="方正仿宋_GBK" w:cs="Times New Roman"/>
          <w:color w:val="auto"/>
          <w:spacing w:val="-2"/>
          <w:kern w:val="2"/>
          <w:sz w:val="32"/>
          <w:szCs w:val="32"/>
          <w:highlight w:val="none"/>
          <w:lang w:val="en-US" w:eastAsia="zh-CN" w:bidi="ar-SA"/>
        </w:rPr>
        <w:t>万元，同比增长</w:t>
      </w:r>
      <w:r>
        <w:rPr>
          <w:rFonts w:hint="eastAsia" w:ascii="Times New Roman" w:hAnsi="Times New Roman" w:eastAsia="方正仿宋_GBK" w:cs="Times New Roman"/>
          <w:color w:val="auto"/>
          <w:spacing w:val="-2"/>
          <w:kern w:val="2"/>
          <w:sz w:val="32"/>
          <w:szCs w:val="32"/>
          <w:highlight w:val="none"/>
          <w:lang w:val="en-US" w:eastAsia="zh-CN" w:bidi="ar-SA"/>
        </w:rPr>
        <w:t>9.2</w:t>
      </w:r>
      <w:r>
        <w:rPr>
          <w:rFonts w:hint="default" w:ascii="Times New Roman" w:hAnsi="Times New Roman" w:eastAsia="方正仿宋_GBK" w:cs="Times New Roman"/>
          <w:color w:val="auto"/>
          <w:spacing w:val="-2"/>
          <w:kern w:val="2"/>
          <w:sz w:val="32"/>
          <w:szCs w:val="32"/>
          <w:highlight w:val="none"/>
          <w:lang w:val="en-US" w:eastAsia="zh-CN" w:bidi="ar-SA"/>
        </w:rPr>
        <w:t>%，增速较1-9月（-0.5%）提升</w:t>
      </w:r>
      <w:r>
        <w:rPr>
          <w:rFonts w:hint="eastAsia" w:ascii="Times New Roman" w:hAnsi="Times New Roman" w:eastAsia="方正仿宋_GBK" w:cs="Times New Roman"/>
          <w:color w:val="auto"/>
          <w:spacing w:val="-2"/>
          <w:kern w:val="2"/>
          <w:sz w:val="32"/>
          <w:szCs w:val="32"/>
          <w:highlight w:val="none"/>
          <w:lang w:val="en-US" w:eastAsia="zh-CN" w:bidi="ar-SA"/>
        </w:rPr>
        <w:t>9.7</w:t>
      </w:r>
      <w:r>
        <w:rPr>
          <w:rFonts w:hint="default" w:ascii="Times New Roman" w:hAnsi="Times New Roman" w:eastAsia="方正仿宋_GBK" w:cs="Times New Roman"/>
          <w:color w:val="auto"/>
          <w:spacing w:val="-2"/>
          <w:kern w:val="2"/>
          <w:sz w:val="32"/>
          <w:szCs w:val="32"/>
          <w:highlight w:val="none"/>
          <w:lang w:val="en-US" w:eastAsia="zh-CN" w:bidi="ar-SA"/>
        </w:rPr>
        <w:t>个百分点，占</w:t>
      </w:r>
      <w:r>
        <w:rPr>
          <w:rFonts w:hint="default" w:ascii="Times New Roman" w:hAnsi="Times New Roman" w:eastAsia="方正仿宋_GBK" w:cs="Times New Roman"/>
          <w:b w:val="0"/>
          <w:bCs w:val="0"/>
          <w:color w:val="auto"/>
          <w:spacing w:val="-2"/>
          <w:sz w:val="32"/>
          <w:szCs w:val="32"/>
          <w:highlight w:val="none"/>
        </w:rPr>
        <w:t>限额以上社会消费品零售总额</w:t>
      </w:r>
      <w:r>
        <w:rPr>
          <w:rFonts w:hint="default" w:ascii="Times New Roman" w:hAnsi="Times New Roman" w:eastAsia="方正仿宋_GBK" w:cs="Times New Roman"/>
          <w:b w:val="0"/>
          <w:bCs w:val="0"/>
          <w:color w:val="auto"/>
          <w:spacing w:val="-2"/>
          <w:sz w:val="32"/>
          <w:szCs w:val="32"/>
          <w:highlight w:val="none"/>
          <w:lang w:val="en-US" w:eastAsia="zh-CN"/>
        </w:rPr>
        <w:t>的17.3%</w:t>
      </w:r>
      <w:r>
        <w:rPr>
          <w:rFonts w:hint="default" w:ascii="Times New Roman" w:hAnsi="Times New Roman" w:eastAsia="方正仿宋_GBK" w:cs="Times New Roman"/>
          <w:color w:val="auto"/>
          <w:spacing w:val="-2"/>
          <w:kern w:val="2"/>
          <w:sz w:val="32"/>
          <w:szCs w:val="32"/>
          <w:highlight w:val="none"/>
          <w:lang w:val="en-US" w:eastAsia="zh-CN" w:bidi="ar-SA"/>
        </w:rPr>
        <w:t>。商品零售额7690.5万元，同比增长33.3%，占</w:t>
      </w:r>
      <w:r>
        <w:rPr>
          <w:rFonts w:hint="default" w:ascii="Times New Roman" w:hAnsi="Times New Roman" w:eastAsia="方正仿宋_GBK" w:cs="Times New Roman"/>
          <w:b w:val="0"/>
          <w:bCs w:val="0"/>
          <w:color w:val="auto"/>
          <w:spacing w:val="-2"/>
          <w:sz w:val="32"/>
          <w:szCs w:val="32"/>
          <w:highlight w:val="none"/>
        </w:rPr>
        <w:t>限额以上社会消费品零售总额</w:t>
      </w:r>
      <w:r>
        <w:rPr>
          <w:rFonts w:hint="default" w:ascii="Times New Roman" w:hAnsi="Times New Roman" w:eastAsia="方正仿宋_GBK" w:cs="Times New Roman"/>
          <w:b w:val="0"/>
          <w:bCs w:val="0"/>
          <w:color w:val="auto"/>
          <w:spacing w:val="-2"/>
          <w:sz w:val="32"/>
          <w:szCs w:val="32"/>
          <w:highlight w:val="none"/>
          <w:lang w:val="en-US" w:eastAsia="zh-CN"/>
        </w:rPr>
        <w:t>的82.7%</w:t>
      </w:r>
      <w:r>
        <w:rPr>
          <w:rFonts w:hint="default" w:ascii="Times New Roman" w:hAnsi="Times New Roman" w:eastAsia="方正仿宋_GBK" w:cs="Times New Roman"/>
          <w:color w:val="auto"/>
          <w:spacing w:val="-2"/>
          <w:kern w:val="2"/>
          <w:sz w:val="32"/>
          <w:szCs w:val="32"/>
          <w:highlight w:val="none"/>
          <w:lang w:val="en-US" w:eastAsia="zh-CN" w:bidi="ar-SA"/>
        </w:rPr>
        <w:t>。</w:t>
      </w:r>
    </w:p>
    <w:p w14:paraId="745DE7C5">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240" w:lineRule="auto"/>
        <w:ind w:left="0" w:leftChars="0" w:firstLine="0" w:firstLineChars="0"/>
        <w:textAlignment w:val="auto"/>
        <w:rPr>
          <w:rFonts w:hint="default" w:ascii="Times New Roman" w:hAnsi="Times New Roman" w:eastAsia="方正仿宋_GBK" w:cs="Times New Roman"/>
          <w:color w:val="auto"/>
          <w:spacing w:val="-2"/>
          <w:kern w:val="2"/>
          <w:sz w:val="32"/>
          <w:szCs w:val="32"/>
          <w:highlight w:val="none"/>
          <w:lang w:val="en-US" w:eastAsia="zh-CN" w:bidi="ar-SA"/>
        </w:rPr>
      </w:pPr>
      <w:r>
        <w:drawing>
          <wp:inline distT="0" distB="0" distL="114300" distR="114300">
            <wp:extent cx="5613400" cy="3161030"/>
            <wp:effectExtent l="4445" t="4445" r="20955" b="1587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3A749C">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35" w:firstLineChars="200"/>
        <w:textAlignment w:val="auto"/>
        <w:rPr>
          <w:rFonts w:hint="default" w:ascii="方正楷体_GBK" w:hAnsi="方正楷体_GBK" w:eastAsia="方正楷体_GBK" w:cs="方正楷体_GBK"/>
          <w:b/>
          <w:bCs/>
          <w:color w:val="auto"/>
          <w:spacing w:val="-2"/>
          <w:kern w:val="0"/>
          <w:sz w:val="32"/>
          <w:szCs w:val="32"/>
          <w:highlight w:val="none"/>
          <w:lang w:val="en-US" w:eastAsia="zh-CN" w:bidi="ar"/>
        </w:rPr>
      </w:pPr>
      <w:r>
        <w:rPr>
          <w:rFonts w:hint="default" w:ascii="方正楷体_GBK" w:hAnsi="方正楷体_GBK" w:eastAsia="方正楷体_GBK" w:cs="方正楷体_GBK"/>
          <w:b/>
          <w:bCs/>
          <w:color w:val="auto"/>
          <w:spacing w:val="-2"/>
          <w:kern w:val="0"/>
          <w:sz w:val="32"/>
          <w:szCs w:val="32"/>
          <w:highlight w:val="none"/>
          <w:lang w:val="en-US" w:eastAsia="zh-CN" w:bidi="ar"/>
        </w:rPr>
        <w:t>（四）财政、金融平稳运行</w:t>
      </w:r>
    </w:p>
    <w:p w14:paraId="05B120DD">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35" w:firstLineChars="200"/>
        <w:textAlignment w:val="auto"/>
        <w:rPr>
          <w:rFonts w:hint="default" w:ascii="Times New Roman" w:hAnsi="Times New Roman" w:eastAsia="方正仿宋_GBK" w:cs="Times New Roman"/>
          <w:b w:val="0"/>
          <w:bCs w:val="0"/>
          <w:color w:val="auto"/>
          <w:spacing w:val="-2"/>
          <w:sz w:val="32"/>
          <w:szCs w:val="32"/>
          <w:highlight w:val="none"/>
          <w:lang w:val="en-US" w:eastAsia="zh-CN"/>
        </w:rPr>
      </w:pPr>
      <w:r>
        <w:rPr>
          <w:rFonts w:hint="default" w:ascii="Times New Roman" w:hAnsi="Times New Roman" w:eastAsia="方正仿宋_GBK" w:cs="Times New Roman"/>
          <w:b/>
          <w:bCs/>
          <w:color w:val="auto"/>
          <w:spacing w:val="-2"/>
          <w:sz w:val="32"/>
          <w:szCs w:val="32"/>
          <w:highlight w:val="none"/>
        </w:rPr>
        <w:t>一般公共预算收入</w:t>
      </w:r>
      <w:r>
        <w:rPr>
          <w:rFonts w:hint="default" w:ascii="Times New Roman" w:hAnsi="Times New Roman" w:eastAsia="方正仿宋_GBK" w:cs="Times New Roman"/>
          <w:b w:val="0"/>
          <w:bCs w:val="0"/>
          <w:color w:val="auto"/>
          <w:spacing w:val="-2"/>
          <w:sz w:val="32"/>
          <w:szCs w:val="32"/>
          <w:highlight w:val="none"/>
          <w:lang w:val="en-US" w:eastAsia="zh-CN"/>
        </w:rPr>
        <w:t>完成29921万元</w:t>
      </w:r>
      <w:r>
        <w:rPr>
          <w:rFonts w:hint="default" w:ascii="Times New Roman" w:hAnsi="Times New Roman" w:eastAsia="方正仿宋_GBK" w:cs="Times New Roman"/>
          <w:b w:val="0"/>
          <w:bCs w:val="0"/>
          <w:color w:val="auto"/>
          <w:spacing w:val="-2"/>
          <w:sz w:val="32"/>
          <w:szCs w:val="32"/>
          <w:highlight w:val="none"/>
        </w:rPr>
        <w:t>，同比增长</w:t>
      </w:r>
      <w:r>
        <w:rPr>
          <w:rFonts w:hint="default" w:ascii="Times New Roman" w:hAnsi="Times New Roman" w:eastAsia="方正仿宋_GBK" w:cs="Times New Roman"/>
          <w:b w:val="0"/>
          <w:bCs w:val="0"/>
          <w:color w:val="auto"/>
          <w:spacing w:val="-2"/>
          <w:sz w:val="32"/>
          <w:szCs w:val="32"/>
          <w:highlight w:val="none"/>
          <w:lang w:val="en-US" w:eastAsia="zh-CN"/>
        </w:rPr>
        <w:t>12.21</w:t>
      </w:r>
      <w:r>
        <w:rPr>
          <w:rFonts w:hint="default" w:ascii="Times New Roman" w:hAnsi="Times New Roman" w:eastAsia="方正仿宋_GBK" w:cs="Times New Roman"/>
          <w:b w:val="0"/>
          <w:bCs w:val="0"/>
          <w:color w:val="auto"/>
          <w:spacing w:val="-2"/>
          <w:sz w:val="32"/>
          <w:szCs w:val="32"/>
          <w:highlight w:val="none"/>
        </w:rPr>
        <w:t>%</w:t>
      </w:r>
      <w:r>
        <w:rPr>
          <w:rFonts w:hint="default" w:ascii="Times New Roman" w:hAnsi="Times New Roman" w:eastAsia="方正仿宋_GBK" w:cs="Times New Roman"/>
          <w:b w:val="0"/>
          <w:bCs w:val="0"/>
          <w:color w:val="auto"/>
          <w:spacing w:val="-2"/>
          <w:sz w:val="32"/>
          <w:szCs w:val="32"/>
          <w:highlight w:val="none"/>
          <w:lang w:val="en-US" w:eastAsia="zh-CN"/>
        </w:rPr>
        <w:t>。</w:t>
      </w:r>
      <w:r>
        <w:rPr>
          <w:rFonts w:hint="default" w:ascii="Times New Roman" w:hAnsi="Times New Roman" w:eastAsia="方正仿宋_GBK" w:cs="Times New Roman"/>
          <w:b w:val="0"/>
          <w:bCs w:val="0"/>
          <w:color w:val="auto"/>
          <w:spacing w:val="-2"/>
          <w:sz w:val="32"/>
          <w:szCs w:val="32"/>
          <w:highlight w:val="none"/>
        </w:rPr>
        <w:t>税收收入和非税收入“双提高”。从财政收入构成看，税收收入</w:t>
      </w:r>
      <w:r>
        <w:rPr>
          <w:rFonts w:hint="default" w:ascii="Times New Roman" w:hAnsi="Times New Roman" w:eastAsia="方正仿宋_GBK" w:cs="Times New Roman"/>
          <w:b w:val="0"/>
          <w:bCs w:val="0"/>
          <w:color w:val="auto"/>
          <w:spacing w:val="-2"/>
          <w:sz w:val="32"/>
          <w:szCs w:val="32"/>
          <w:highlight w:val="none"/>
          <w:lang w:val="en-US" w:eastAsia="zh-CN"/>
        </w:rPr>
        <w:t>12666万元</w:t>
      </w:r>
      <w:r>
        <w:rPr>
          <w:rFonts w:hint="default" w:ascii="Times New Roman" w:hAnsi="Times New Roman" w:eastAsia="方正仿宋_GBK" w:cs="Times New Roman"/>
          <w:b w:val="0"/>
          <w:bCs w:val="0"/>
          <w:color w:val="auto"/>
          <w:spacing w:val="-2"/>
          <w:sz w:val="32"/>
          <w:szCs w:val="32"/>
          <w:highlight w:val="none"/>
        </w:rPr>
        <w:t>，占一般公共预算收入的</w:t>
      </w:r>
      <w:r>
        <w:rPr>
          <w:rFonts w:hint="default" w:ascii="Times New Roman" w:hAnsi="Times New Roman" w:eastAsia="方正仿宋_GBK" w:cs="Times New Roman"/>
          <w:b w:val="0"/>
          <w:bCs w:val="0"/>
          <w:color w:val="auto"/>
          <w:spacing w:val="-2"/>
          <w:sz w:val="32"/>
          <w:szCs w:val="32"/>
          <w:highlight w:val="none"/>
          <w:lang w:val="en-US" w:eastAsia="zh-CN"/>
        </w:rPr>
        <w:t>42.3</w:t>
      </w:r>
      <w:r>
        <w:rPr>
          <w:rFonts w:hint="default" w:ascii="Times New Roman" w:hAnsi="Times New Roman" w:eastAsia="方正仿宋_GBK" w:cs="Times New Roman"/>
          <w:b w:val="0"/>
          <w:bCs w:val="0"/>
          <w:color w:val="auto"/>
          <w:spacing w:val="-2"/>
          <w:sz w:val="32"/>
          <w:szCs w:val="32"/>
          <w:highlight w:val="none"/>
        </w:rPr>
        <w:t>%，增收</w:t>
      </w:r>
      <w:r>
        <w:rPr>
          <w:rFonts w:hint="default" w:ascii="Times New Roman" w:hAnsi="Times New Roman" w:eastAsia="方正仿宋_GBK" w:cs="Times New Roman"/>
          <w:b w:val="0"/>
          <w:bCs w:val="0"/>
          <w:color w:val="auto"/>
          <w:spacing w:val="-2"/>
          <w:sz w:val="32"/>
          <w:szCs w:val="32"/>
          <w:highlight w:val="none"/>
          <w:lang w:val="en-US" w:eastAsia="zh-CN"/>
        </w:rPr>
        <w:t>1646万元</w:t>
      </w:r>
      <w:r>
        <w:rPr>
          <w:rFonts w:hint="default" w:ascii="Times New Roman" w:hAnsi="Times New Roman" w:eastAsia="方正仿宋_GBK" w:cs="Times New Roman"/>
          <w:b w:val="0"/>
          <w:bCs w:val="0"/>
          <w:color w:val="auto"/>
          <w:spacing w:val="-2"/>
          <w:sz w:val="32"/>
          <w:szCs w:val="32"/>
          <w:highlight w:val="none"/>
        </w:rPr>
        <w:t>，</w:t>
      </w:r>
      <w:r>
        <w:rPr>
          <w:rFonts w:hint="default" w:ascii="Times New Roman" w:hAnsi="Times New Roman" w:eastAsia="方正仿宋_GBK" w:cs="Times New Roman"/>
          <w:b w:val="0"/>
          <w:bCs w:val="0"/>
          <w:color w:val="auto"/>
          <w:spacing w:val="-2"/>
          <w:sz w:val="32"/>
          <w:szCs w:val="32"/>
          <w:highlight w:val="none"/>
          <w:lang w:val="en-US" w:eastAsia="zh-CN"/>
        </w:rPr>
        <w:t>同比增</w:t>
      </w:r>
      <w:r>
        <w:rPr>
          <w:rFonts w:hint="default" w:ascii="Times New Roman" w:hAnsi="Times New Roman" w:eastAsia="方正仿宋_GBK" w:cs="Times New Roman"/>
          <w:b w:val="0"/>
          <w:bCs w:val="0"/>
          <w:color w:val="auto"/>
          <w:spacing w:val="-2"/>
          <w:sz w:val="32"/>
          <w:szCs w:val="32"/>
          <w:highlight w:val="none"/>
        </w:rPr>
        <w:t>长</w:t>
      </w:r>
      <w:r>
        <w:rPr>
          <w:rFonts w:hint="default" w:ascii="Times New Roman" w:hAnsi="Times New Roman" w:eastAsia="方正仿宋_GBK" w:cs="Times New Roman"/>
          <w:b w:val="0"/>
          <w:bCs w:val="0"/>
          <w:color w:val="auto"/>
          <w:spacing w:val="-2"/>
          <w:sz w:val="32"/>
          <w:szCs w:val="32"/>
          <w:highlight w:val="none"/>
          <w:lang w:val="en-US" w:eastAsia="zh-CN"/>
        </w:rPr>
        <w:t>14.9</w:t>
      </w:r>
      <w:r>
        <w:rPr>
          <w:rFonts w:hint="default" w:ascii="Times New Roman" w:hAnsi="Times New Roman" w:eastAsia="方正仿宋_GBK" w:cs="Times New Roman"/>
          <w:b w:val="0"/>
          <w:bCs w:val="0"/>
          <w:color w:val="auto"/>
          <w:spacing w:val="-2"/>
          <w:sz w:val="32"/>
          <w:szCs w:val="32"/>
          <w:highlight w:val="none"/>
        </w:rPr>
        <w:t>8%，拉动一般公共预算收入增长</w:t>
      </w:r>
      <w:r>
        <w:rPr>
          <w:rFonts w:hint="default" w:ascii="Times New Roman" w:hAnsi="Times New Roman" w:eastAsia="方正仿宋_GBK" w:cs="Times New Roman"/>
          <w:b w:val="0"/>
          <w:bCs w:val="0"/>
          <w:color w:val="auto"/>
          <w:spacing w:val="-2"/>
          <w:sz w:val="32"/>
          <w:szCs w:val="32"/>
          <w:highlight w:val="none"/>
          <w:lang w:val="en-US" w:eastAsia="zh-CN"/>
        </w:rPr>
        <w:t>6.17</w:t>
      </w:r>
      <w:r>
        <w:rPr>
          <w:rFonts w:hint="default" w:ascii="Times New Roman" w:hAnsi="Times New Roman" w:eastAsia="方正仿宋_GBK" w:cs="Times New Roman"/>
          <w:b w:val="0"/>
          <w:bCs w:val="0"/>
          <w:color w:val="auto"/>
          <w:spacing w:val="-2"/>
          <w:sz w:val="32"/>
          <w:szCs w:val="32"/>
          <w:highlight w:val="none"/>
        </w:rPr>
        <w:t>个百分点；非税收入</w:t>
      </w:r>
      <w:r>
        <w:rPr>
          <w:rFonts w:hint="default" w:ascii="Times New Roman" w:hAnsi="Times New Roman" w:eastAsia="方正仿宋_GBK" w:cs="Times New Roman"/>
          <w:b w:val="0"/>
          <w:bCs w:val="0"/>
          <w:color w:val="auto"/>
          <w:spacing w:val="-2"/>
          <w:sz w:val="32"/>
          <w:szCs w:val="32"/>
          <w:highlight w:val="none"/>
          <w:lang w:val="en-US" w:eastAsia="zh-CN"/>
        </w:rPr>
        <w:t>17255万元</w:t>
      </w:r>
      <w:r>
        <w:rPr>
          <w:rFonts w:hint="default" w:ascii="Times New Roman" w:hAnsi="Times New Roman" w:eastAsia="方正仿宋_GBK" w:cs="Times New Roman"/>
          <w:b w:val="0"/>
          <w:bCs w:val="0"/>
          <w:color w:val="auto"/>
          <w:spacing w:val="-2"/>
          <w:sz w:val="32"/>
          <w:szCs w:val="32"/>
          <w:highlight w:val="none"/>
        </w:rPr>
        <w:t>，占一般公共预算收入的</w:t>
      </w:r>
      <w:r>
        <w:rPr>
          <w:rFonts w:hint="default" w:ascii="Times New Roman" w:hAnsi="Times New Roman" w:eastAsia="方正仿宋_GBK" w:cs="Times New Roman"/>
          <w:b w:val="0"/>
          <w:bCs w:val="0"/>
          <w:color w:val="auto"/>
          <w:spacing w:val="-2"/>
          <w:sz w:val="32"/>
          <w:szCs w:val="32"/>
          <w:highlight w:val="none"/>
          <w:lang w:val="en-US" w:eastAsia="zh-CN"/>
        </w:rPr>
        <w:t>57.7</w:t>
      </w:r>
      <w:r>
        <w:rPr>
          <w:rFonts w:hint="default" w:ascii="Times New Roman" w:hAnsi="Times New Roman" w:eastAsia="方正仿宋_GBK" w:cs="Times New Roman"/>
          <w:b w:val="0"/>
          <w:bCs w:val="0"/>
          <w:color w:val="auto"/>
          <w:spacing w:val="-2"/>
          <w:sz w:val="32"/>
          <w:szCs w:val="32"/>
          <w:highlight w:val="none"/>
        </w:rPr>
        <w:t>%，增收</w:t>
      </w:r>
      <w:r>
        <w:rPr>
          <w:rFonts w:hint="default" w:ascii="Times New Roman" w:hAnsi="Times New Roman" w:eastAsia="方正仿宋_GBK" w:cs="Times New Roman"/>
          <w:b w:val="0"/>
          <w:bCs w:val="0"/>
          <w:color w:val="auto"/>
          <w:spacing w:val="-2"/>
          <w:sz w:val="32"/>
          <w:szCs w:val="32"/>
          <w:highlight w:val="none"/>
          <w:lang w:val="en-US" w:eastAsia="zh-CN"/>
        </w:rPr>
        <w:t>1611万元</w:t>
      </w:r>
      <w:r>
        <w:rPr>
          <w:rFonts w:hint="default" w:ascii="Times New Roman" w:hAnsi="Times New Roman" w:eastAsia="方正仿宋_GBK" w:cs="Times New Roman"/>
          <w:b w:val="0"/>
          <w:bCs w:val="0"/>
          <w:color w:val="auto"/>
          <w:spacing w:val="-2"/>
          <w:sz w:val="32"/>
          <w:szCs w:val="32"/>
          <w:highlight w:val="none"/>
        </w:rPr>
        <w:t>，</w:t>
      </w:r>
      <w:r>
        <w:rPr>
          <w:rFonts w:hint="default" w:ascii="Times New Roman" w:hAnsi="Times New Roman" w:eastAsia="方正仿宋_GBK" w:cs="Times New Roman"/>
          <w:b w:val="0"/>
          <w:bCs w:val="0"/>
          <w:color w:val="auto"/>
          <w:spacing w:val="-2"/>
          <w:sz w:val="32"/>
          <w:szCs w:val="32"/>
          <w:highlight w:val="none"/>
          <w:lang w:val="en-US" w:eastAsia="zh-CN"/>
        </w:rPr>
        <w:t>同比</w:t>
      </w:r>
      <w:r>
        <w:rPr>
          <w:rFonts w:hint="default" w:ascii="Times New Roman" w:hAnsi="Times New Roman" w:eastAsia="方正仿宋_GBK" w:cs="Times New Roman"/>
          <w:b w:val="0"/>
          <w:bCs w:val="0"/>
          <w:color w:val="auto"/>
          <w:spacing w:val="-2"/>
          <w:sz w:val="32"/>
          <w:szCs w:val="32"/>
          <w:highlight w:val="none"/>
        </w:rPr>
        <w:t>增长</w:t>
      </w:r>
      <w:r>
        <w:rPr>
          <w:rFonts w:hint="default" w:ascii="Times New Roman" w:hAnsi="Times New Roman" w:eastAsia="方正仿宋_GBK" w:cs="Times New Roman"/>
          <w:b w:val="0"/>
          <w:bCs w:val="0"/>
          <w:color w:val="auto"/>
          <w:spacing w:val="-2"/>
          <w:sz w:val="32"/>
          <w:szCs w:val="32"/>
          <w:highlight w:val="none"/>
          <w:lang w:val="en-US" w:eastAsia="zh-CN"/>
        </w:rPr>
        <w:t>10.3</w:t>
      </w:r>
      <w:r>
        <w:rPr>
          <w:rFonts w:hint="default" w:ascii="Times New Roman" w:hAnsi="Times New Roman" w:eastAsia="方正仿宋_GBK" w:cs="Times New Roman"/>
          <w:b w:val="0"/>
          <w:bCs w:val="0"/>
          <w:color w:val="auto"/>
          <w:spacing w:val="-2"/>
          <w:sz w:val="32"/>
          <w:szCs w:val="32"/>
          <w:highlight w:val="none"/>
        </w:rPr>
        <w:t>%，拉动增长</w:t>
      </w:r>
      <w:r>
        <w:rPr>
          <w:rFonts w:hint="default" w:ascii="Times New Roman" w:hAnsi="Times New Roman" w:eastAsia="方正仿宋_GBK" w:cs="Times New Roman"/>
          <w:b w:val="0"/>
          <w:bCs w:val="0"/>
          <w:color w:val="auto"/>
          <w:spacing w:val="-2"/>
          <w:sz w:val="32"/>
          <w:szCs w:val="32"/>
          <w:highlight w:val="none"/>
          <w:lang w:val="en-US" w:eastAsia="zh-CN"/>
        </w:rPr>
        <w:t>6.04</w:t>
      </w:r>
      <w:r>
        <w:rPr>
          <w:rFonts w:hint="default" w:ascii="Times New Roman" w:hAnsi="Times New Roman" w:eastAsia="方正仿宋_GBK" w:cs="Times New Roman"/>
          <w:b w:val="0"/>
          <w:bCs w:val="0"/>
          <w:color w:val="auto"/>
          <w:spacing w:val="-2"/>
          <w:sz w:val="32"/>
          <w:szCs w:val="32"/>
          <w:highlight w:val="none"/>
        </w:rPr>
        <w:t>个百分点。</w:t>
      </w:r>
      <w:r>
        <w:rPr>
          <w:rFonts w:hint="default" w:ascii="Times New Roman" w:hAnsi="Times New Roman" w:eastAsia="方正仿宋_GBK" w:cs="Times New Roman"/>
          <w:b/>
          <w:bCs/>
          <w:color w:val="auto"/>
          <w:kern w:val="2"/>
          <w:sz w:val="32"/>
          <w:szCs w:val="32"/>
          <w:highlight w:val="none"/>
          <w:lang w:val="zh-CN" w:eastAsia="zh-CN" w:bidi="ar-SA"/>
        </w:rPr>
        <w:t>一般公共预算支出</w:t>
      </w:r>
      <w:r>
        <w:rPr>
          <w:rFonts w:hint="default" w:ascii="Times New Roman" w:hAnsi="Times New Roman" w:eastAsia="方正仿宋_GBK" w:cs="Times New Roman"/>
          <w:sz w:val="32"/>
          <w:szCs w:val="32"/>
          <w:highlight w:val="none"/>
          <w:lang w:val="en-US" w:eastAsia="zh-CN"/>
        </w:rPr>
        <w:t>390611</w:t>
      </w:r>
      <w:r>
        <w:rPr>
          <w:rFonts w:hint="default" w:ascii="Times New Roman" w:hAnsi="Times New Roman" w:eastAsia="方正仿宋_GBK" w:cs="Times New Roman"/>
          <w:color w:val="auto"/>
          <w:kern w:val="2"/>
          <w:sz w:val="32"/>
          <w:szCs w:val="32"/>
          <w:highlight w:val="none"/>
          <w:lang w:val="en-US" w:eastAsia="zh-CN" w:bidi="ar-SA"/>
        </w:rPr>
        <w:t>万元</w:t>
      </w:r>
      <w:r>
        <w:rPr>
          <w:rFonts w:hint="default" w:ascii="Times New Roman" w:hAnsi="Times New Roman" w:eastAsia="方正仿宋_GBK" w:cs="Times New Roman"/>
          <w:color w:val="auto"/>
          <w:kern w:val="2"/>
          <w:sz w:val="32"/>
          <w:szCs w:val="32"/>
          <w:highlight w:val="none"/>
          <w:lang w:val="zh-CN" w:eastAsia="zh-CN" w:bidi="ar-SA"/>
        </w:rPr>
        <w:t>，同比</w:t>
      </w:r>
      <w:r>
        <w:rPr>
          <w:rFonts w:hint="default" w:ascii="Times New Roman" w:hAnsi="Times New Roman" w:eastAsia="方正仿宋_GBK" w:cs="Times New Roman"/>
          <w:color w:val="auto"/>
          <w:kern w:val="2"/>
          <w:sz w:val="32"/>
          <w:szCs w:val="32"/>
          <w:highlight w:val="none"/>
          <w:lang w:val="en-US" w:eastAsia="zh-CN" w:bidi="ar-SA"/>
        </w:rPr>
        <w:t>下降</w:t>
      </w:r>
      <w:r>
        <w:rPr>
          <w:rFonts w:hint="default" w:ascii="Times New Roman" w:hAnsi="Times New Roman" w:eastAsia="方正仿宋_GBK" w:cs="Times New Roman"/>
          <w:sz w:val="32"/>
          <w:szCs w:val="32"/>
          <w:highlight w:val="none"/>
          <w:lang w:val="en-US" w:eastAsia="zh-CN"/>
        </w:rPr>
        <w:t>1.05</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en-US" w:eastAsia="zh-CN" w:bidi="ar-SA"/>
        </w:rPr>
        <w:t>较1-9月（-6.12</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en-US" w:eastAsia="zh-CN" w:bidi="ar-SA"/>
        </w:rPr>
        <w:t>降幅收窄5.07个百分点</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b/>
          <w:bCs/>
          <w:color w:val="auto"/>
          <w:spacing w:val="-2"/>
          <w:sz w:val="32"/>
          <w:szCs w:val="32"/>
          <w:highlight w:val="none"/>
          <w:lang w:val="en-US" w:eastAsia="zh-CN"/>
        </w:rPr>
        <w:t>政府性基金收入</w:t>
      </w:r>
      <w:r>
        <w:rPr>
          <w:rFonts w:hint="default" w:ascii="Times New Roman" w:hAnsi="Times New Roman" w:eastAsia="方正仿宋_GBK" w:cs="Times New Roman"/>
          <w:b w:val="0"/>
          <w:bCs w:val="0"/>
          <w:color w:val="auto"/>
          <w:spacing w:val="-2"/>
          <w:sz w:val="32"/>
          <w:szCs w:val="32"/>
          <w:highlight w:val="none"/>
          <w:lang w:val="en-US" w:eastAsia="zh-CN"/>
        </w:rPr>
        <w:t>7930万元，同比增长7.76%；政府性基金支出51625万元，同比增长27.39%。</w:t>
      </w:r>
      <w:r>
        <w:rPr>
          <w:rFonts w:hint="default" w:ascii="Times New Roman" w:hAnsi="Times New Roman" w:eastAsia="方正仿宋_GBK" w:cs="Times New Roman"/>
          <w:b/>
          <w:bCs/>
          <w:color w:val="auto"/>
          <w:spacing w:val="-2"/>
          <w:sz w:val="32"/>
          <w:szCs w:val="32"/>
          <w:highlight w:val="none"/>
          <w:lang w:val="en-US" w:eastAsia="zh-CN"/>
        </w:rPr>
        <w:t>国有资本经营预算收入</w:t>
      </w:r>
      <w:r>
        <w:rPr>
          <w:rFonts w:hint="default" w:ascii="Times New Roman" w:hAnsi="Times New Roman" w:eastAsia="方正仿宋_GBK" w:cs="Times New Roman"/>
          <w:b w:val="0"/>
          <w:bCs w:val="0"/>
          <w:color w:val="auto"/>
          <w:spacing w:val="-2"/>
          <w:sz w:val="32"/>
          <w:szCs w:val="32"/>
          <w:highlight w:val="none"/>
          <w:lang w:val="en-US" w:eastAsia="zh-CN"/>
        </w:rPr>
        <w:t>18万元，同比增长100%；国有资本经营预算支出2万元，与上年持平。</w:t>
      </w:r>
    </w:p>
    <w:p w14:paraId="2804259F">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35" w:firstLineChars="200"/>
        <w:textAlignment w:val="auto"/>
        <w:rPr>
          <w:rFonts w:hint="default" w:ascii="Times New Roman" w:hAnsi="Times New Roman" w:eastAsia="方正仿宋_GBK" w:cs="Times New Roman"/>
          <w:b w:val="0"/>
          <w:bCs w:val="0"/>
          <w:color w:val="auto"/>
          <w:spacing w:val="-2"/>
          <w:sz w:val="32"/>
          <w:szCs w:val="32"/>
          <w:highlight w:val="none"/>
          <w:shd w:val="clear" w:color="auto" w:fill="FFFFFF"/>
          <w:lang w:val="en-US" w:eastAsia="zh-CN" w:bidi="ar"/>
        </w:rPr>
      </w:pPr>
      <w:r>
        <w:rPr>
          <w:rFonts w:hint="default" w:ascii="Times New Roman" w:hAnsi="Times New Roman" w:eastAsia="方正仿宋_GBK" w:cs="Times New Roman"/>
          <w:b/>
          <w:bCs/>
          <w:color w:val="auto"/>
          <w:spacing w:val="-2"/>
          <w:sz w:val="32"/>
          <w:szCs w:val="32"/>
          <w:highlight w:val="none"/>
          <w:lang w:val="zh-CN"/>
        </w:rPr>
        <w:t>金融机构各项存款余额</w:t>
      </w:r>
      <w:r>
        <w:rPr>
          <w:rFonts w:hint="default" w:ascii="Times New Roman" w:hAnsi="Times New Roman" w:eastAsia="方正仿宋_GBK" w:cs="Times New Roman"/>
          <w:b w:val="0"/>
          <w:bCs w:val="0"/>
          <w:color w:val="auto"/>
          <w:spacing w:val="-2"/>
          <w:sz w:val="32"/>
          <w:szCs w:val="32"/>
          <w:highlight w:val="none"/>
          <w:lang w:val="en-US" w:eastAsia="zh-CN"/>
        </w:rPr>
        <w:t>50.99</w:t>
      </w:r>
      <w:r>
        <w:rPr>
          <w:rFonts w:hint="default" w:ascii="Times New Roman" w:hAnsi="Times New Roman" w:eastAsia="方正仿宋_GBK" w:cs="Times New Roman"/>
          <w:b w:val="0"/>
          <w:bCs w:val="0"/>
          <w:color w:val="auto"/>
          <w:spacing w:val="-2"/>
          <w:sz w:val="32"/>
          <w:szCs w:val="32"/>
          <w:highlight w:val="none"/>
          <w:lang w:val="zh-CN"/>
        </w:rPr>
        <w:t>亿元，同比增长</w:t>
      </w:r>
      <w:r>
        <w:rPr>
          <w:rFonts w:hint="default" w:ascii="Times New Roman" w:hAnsi="Times New Roman" w:eastAsia="方正仿宋_GBK" w:cs="Times New Roman"/>
          <w:b w:val="0"/>
          <w:bCs w:val="0"/>
          <w:color w:val="auto"/>
          <w:spacing w:val="-2"/>
          <w:sz w:val="32"/>
          <w:szCs w:val="32"/>
          <w:highlight w:val="none"/>
          <w:lang w:val="en-US" w:eastAsia="zh-CN"/>
        </w:rPr>
        <w:t>10.1</w:t>
      </w:r>
      <w:r>
        <w:rPr>
          <w:rFonts w:hint="default" w:ascii="Times New Roman" w:hAnsi="Times New Roman" w:eastAsia="方正仿宋_GBK" w:cs="Times New Roman"/>
          <w:b w:val="0"/>
          <w:bCs w:val="0"/>
          <w:color w:val="auto"/>
          <w:spacing w:val="-2"/>
          <w:sz w:val="32"/>
          <w:szCs w:val="32"/>
          <w:highlight w:val="none"/>
          <w:lang w:val="zh-CN"/>
        </w:rPr>
        <w:t>%，</w:t>
      </w:r>
      <w:r>
        <w:rPr>
          <w:rFonts w:hint="default" w:ascii="Times New Roman" w:hAnsi="Times New Roman" w:eastAsia="方正仿宋_GBK" w:cs="Times New Roman"/>
          <w:b w:val="0"/>
          <w:bCs w:val="0"/>
          <w:color w:val="auto"/>
          <w:spacing w:val="-2"/>
          <w:sz w:val="32"/>
          <w:szCs w:val="32"/>
          <w:highlight w:val="none"/>
          <w:lang w:val="en-US" w:eastAsia="zh-CN"/>
        </w:rPr>
        <w:t>其中：住户存款34.25亿元，同比增长15.5%；非金融企业存款8.98亿元；广义政府存款7.76亿元。</w:t>
      </w:r>
      <w:r>
        <w:rPr>
          <w:rFonts w:hint="default" w:ascii="Times New Roman" w:hAnsi="Times New Roman" w:eastAsia="方正仿宋_GBK" w:cs="Times New Roman"/>
          <w:b w:val="0"/>
          <w:bCs w:val="0"/>
          <w:color w:val="auto"/>
          <w:spacing w:val="-2"/>
          <w:sz w:val="32"/>
          <w:szCs w:val="32"/>
          <w:highlight w:val="none"/>
          <w:lang w:val="zh-CN"/>
        </w:rPr>
        <w:t>金融机构各项贷款余额</w:t>
      </w:r>
      <w:r>
        <w:rPr>
          <w:rFonts w:hint="default" w:ascii="Times New Roman" w:hAnsi="Times New Roman" w:eastAsia="方正仿宋_GBK" w:cs="Times New Roman"/>
          <w:b w:val="0"/>
          <w:bCs w:val="0"/>
          <w:color w:val="auto"/>
          <w:spacing w:val="-2"/>
          <w:sz w:val="32"/>
          <w:szCs w:val="32"/>
          <w:highlight w:val="none"/>
          <w:lang w:val="en-US" w:eastAsia="zh-CN"/>
        </w:rPr>
        <w:t>44.54</w:t>
      </w:r>
      <w:r>
        <w:rPr>
          <w:rFonts w:hint="default" w:ascii="Times New Roman" w:hAnsi="Times New Roman" w:eastAsia="方正仿宋_GBK" w:cs="Times New Roman"/>
          <w:b w:val="0"/>
          <w:bCs w:val="0"/>
          <w:color w:val="auto"/>
          <w:spacing w:val="-2"/>
          <w:sz w:val="32"/>
          <w:szCs w:val="32"/>
          <w:highlight w:val="none"/>
          <w:lang w:val="zh-CN"/>
        </w:rPr>
        <w:t>亿</w:t>
      </w:r>
      <w:r>
        <w:rPr>
          <w:rFonts w:hint="default" w:ascii="Times New Roman" w:hAnsi="Times New Roman" w:eastAsia="方正仿宋_GBK" w:cs="Times New Roman"/>
          <w:b w:val="0"/>
          <w:bCs w:val="0"/>
          <w:color w:val="auto"/>
          <w:spacing w:val="-2"/>
          <w:sz w:val="32"/>
          <w:szCs w:val="32"/>
          <w:highlight w:val="none"/>
          <w:shd w:val="clear" w:color="auto" w:fill="FFFFFF"/>
          <w:lang w:val="zh-CN" w:bidi="ar"/>
        </w:rPr>
        <w:t>元，同比增长</w:t>
      </w:r>
      <w:r>
        <w:rPr>
          <w:rFonts w:hint="default" w:ascii="Times New Roman" w:hAnsi="Times New Roman" w:eastAsia="方正仿宋_GBK" w:cs="Times New Roman"/>
          <w:b w:val="0"/>
          <w:bCs w:val="0"/>
          <w:color w:val="auto"/>
          <w:spacing w:val="-2"/>
          <w:sz w:val="32"/>
          <w:szCs w:val="32"/>
          <w:highlight w:val="none"/>
          <w:shd w:val="clear" w:color="auto" w:fill="FFFFFF"/>
          <w:lang w:val="en-US" w:eastAsia="zh-CN" w:bidi="ar"/>
        </w:rPr>
        <w:t>19.7</w:t>
      </w:r>
      <w:r>
        <w:rPr>
          <w:rFonts w:hint="default" w:ascii="Times New Roman" w:hAnsi="Times New Roman" w:eastAsia="方正仿宋_GBK" w:cs="Times New Roman"/>
          <w:b w:val="0"/>
          <w:bCs w:val="0"/>
          <w:color w:val="auto"/>
          <w:spacing w:val="-2"/>
          <w:sz w:val="32"/>
          <w:szCs w:val="32"/>
          <w:highlight w:val="none"/>
          <w:shd w:val="clear" w:color="auto" w:fill="FFFFFF"/>
          <w:lang w:val="zh-CN" w:bidi="ar"/>
        </w:rPr>
        <w:t>%，</w:t>
      </w:r>
      <w:r>
        <w:rPr>
          <w:rFonts w:hint="default" w:ascii="Times New Roman" w:hAnsi="Times New Roman" w:eastAsia="方正仿宋_GBK" w:cs="Times New Roman"/>
          <w:b w:val="0"/>
          <w:bCs w:val="0"/>
          <w:color w:val="auto"/>
          <w:spacing w:val="-2"/>
          <w:sz w:val="32"/>
          <w:szCs w:val="32"/>
          <w:highlight w:val="none"/>
          <w:lang w:val="en-US" w:eastAsia="zh-CN"/>
        </w:rPr>
        <w:t>其中：住户贷款29.38亿元，同比增长23%；企（事）业贷款15.15亿元，同比增长13.7%</w:t>
      </w:r>
      <w:r>
        <w:rPr>
          <w:rFonts w:hint="default" w:ascii="Times New Roman" w:hAnsi="Times New Roman" w:eastAsia="方正仿宋_GBK" w:cs="Times New Roman"/>
          <w:b w:val="0"/>
          <w:bCs w:val="0"/>
          <w:color w:val="auto"/>
          <w:spacing w:val="-2"/>
          <w:sz w:val="32"/>
          <w:szCs w:val="32"/>
          <w:highlight w:val="none"/>
          <w:shd w:val="clear" w:color="auto" w:fill="FFFFFF"/>
          <w:lang w:val="zh-CN" w:bidi="ar"/>
        </w:rPr>
        <w:t>。</w:t>
      </w:r>
      <w:r>
        <w:rPr>
          <w:rFonts w:hint="default" w:ascii="Times New Roman" w:hAnsi="Times New Roman" w:eastAsia="方正仿宋_GBK" w:cs="Times New Roman"/>
          <w:b w:val="0"/>
          <w:bCs w:val="0"/>
          <w:color w:val="auto"/>
          <w:spacing w:val="-2"/>
          <w:sz w:val="32"/>
          <w:szCs w:val="32"/>
          <w:highlight w:val="none"/>
          <w:shd w:val="clear" w:color="auto" w:fill="FFFFFF"/>
          <w:lang w:val="en-US" w:eastAsia="zh-CN" w:bidi="ar"/>
        </w:rPr>
        <w:t>存贷比为87.</w:t>
      </w:r>
      <w:r>
        <w:rPr>
          <w:rFonts w:hint="eastAsia" w:ascii="Times New Roman" w:hAnsi="Times New Roman" w:eastAsia="方正仿宋_GBK" w:cs="Times New Roman"/>
          <w:b w:val="0"/>
          <w:bCs w:val="0"/>
          <w:color w:val="auto"/>
          <w:spacing w:val="-2"/>
          <w:sz w:val="32"/>
          <w:szCs w:val="32"/>
          <w:highlight w:val="none"/>
          <w:shd w:val="clear" w:color="auto" w:fill="FFFFFF"/>
          <w:lang w:val="en-US" w:eastAsia="zh-CN" w:bidi="ar"/>
        </w:rPr>
        <w:t>4</w:t>
      </w:r>
      <w:r>
        <w:rPr>
          <w:rFonts w:hint="default" w:ascii="Times New Roman" w:hAnsi="Times New Roman" w:eastAsia="方正仿宋_GBK" w:cs="Times New Roman"/>
          <w:b w:val="0"/>
          <w:bCs w:val="0"/>
          <w:color w:val="auto"/>
          <w:spacing w:val="-2"/>
          <w:sz w:val="32"/>
          <w:szCs w:val="32"/>
          <w:highlight w:val="none"/>
          <w:shd w:val="clear" w:color="auto" w:fill="FFFFFF"/>
          <w:lang w:val="en-US" w:eastAsia="zh-CN" w:bidi="ar"/>
        </w:rPr>
        <w:t>%，较1-9月（87.2%）提升0.</w:t>
      </w:r>
      <w:r>
        <w:rPr>
          <w:rFonts w:hint="eastAsia" w:ascii="Times New Roman" w:hAnsi="Times New Roman" w:eastAsia="方正仿宋_GBK" w:cs="Times New Roman"/>
          <w:b w:val="0"/>
          <w:bCs w:val="0"/>
          <w:color w:val="auto"/>
          <w:spacing w:val="-2"/>
          <w:sz w:val="32"/>
          <w:szCs w:val="32"/>
          <w:highlight w:val="none"/>
          <w:shd w:val="clear" w:color="auto" w:fill="FFFFFF"/>
          <w:lang w:val="en-US" w:eastAsia="zh-CN" w:bidi="ar"/>
        </w:rPr>
        <w:t>2</w:t>
      </w:r>
      <w:r>
        <w:rPr>
          <w:rFonts w:hint="default" w:ascii="Times New Roman" w:hAnsi="Times New Roman" w:eastAsia="方正仿宋_GBK" w:cs="Times New Roman"/>
          <w:b w:val="0"/>
          <w:bCs w:val="0"/>
          <w:color w:val="auto"/>
          <w:spacing w:val="-2"/>
          <w:sz w:val="32"/>
          <w:szCs w:val="32"/>
          <w:highlight w:val="none"/>
          <w:shd w:val="clear" w:color="auto" w:fill="FFFFFF"/>
          <w:lang w:val="en-US" w:eastAsia="zh-CN" w:bidi="ar"/>
        </w:rPr>
        <w:t>个百分点，较上年同期（80.3%）提升</w:t>
      </w:r>
      <w:r>
        <w:rPr>
          <w:rFonts w:hint="eastAsia" w:ascii="Times New Roman" w:hAnsi="Times New Roman" w:eastAsia="方正仿宋_GBK" w:cs="Times New Roman"/>
          <w:b w:val="0"/>
          <w:bCs w:val="0"/>
          <w:color w:val="auto"/>
          <w:spacing w:val="-2"/>
          <w:sz w:val="32"/>
          <w:szCs w:val="32"/>
          <w:highlight w:val="none"/>
          <w:shd w:val="clear" w:color="auto" w:fill="FFFFFF"/>
          <w:lang w:val="en-US" w:eastAsia="zh-CN" w:bidi="ar"/>
        </w:rPr>
        <w:t>7.1</w:t>
      </w:r>
      <w:r>
        <w:rPr>
          <w:rFonts w:hint="default" w:ascii="Times New Roman" w:hAnsi="Times New Roman" w:eastAsia="方正仿宋_GBK" w:cs="Times New Roman"/>
          <w:b w:val="0"/>
          <w:bCs w:val="0"/>
          <w:color w:val="auto"/>
          <w:spacing w:val="-2"/>
          <w:sz w:val="32"/>
          <w:szCs w:val="32"/>
          <w:highlight w:val="none"/>
          <w:shd w:val="clear" w:color="auto" w:fill="FFFFFF"/>
          <w:lang w:val="en-US" w:eastAsia="zh-CN" w:bidi="ar"/>
        </w:rPr>
        <w:t>个百分点。</w:t>
      </w:r>
    </w:p>
    <w:p w14:paraId="0218267D">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35" w:firstLineChars="200"/>
        <w:textAlignment w:val="auto"/>
        <w:rPr>
          <w:rFonts w:hint="default" w:ascii="方正楷体_GBK" w:hAnsi="方正楷体_GBK" w:eastAsia="方正楷体_GBK" w:cs="方正楷体_GBK"/>
          <w:b/>
          <w:bCs/>
          <w:color w:val="auto"/>
          <w:spacing w:val="-2"/>
          <w:kern w:val="0"/>
          <w:sz w:val="32"/>
          <w:szCs w:val="32"/>
          <w:highlight w:val="none"/>
          <w:lang w:val="en-US" w:eastAsia="zh-CN" w:bidi="ar"/>
        </w:rPr>
      </w:pPr>
      <w:r>
        <w:rPr>
          <w:rFonts w:hint="default" w:ascii="方正楷体_GBK" w:hAnsi="方正楷体_GBK" w:eastAsia="方正楷体_GBK" w:cs="方正楷体_GBK"/>
          <w:b/>
          <w:bCs/>
          <w:color w:val="auto"/>
          <w:spacing w:val="-2"/>
          <w:kern w:val="0"/>
          <w:sz w:val="32"/>
          <w:szCs w:val="32"/>
          <w:highlight w:val="none"/>
          <w:lang w:val="en-US" w:eastAsia="zh-CN" w:bidi="ar"/>
        </w:rPr>
        <w:t>（五）先行指标活力彰显</w:t>
      </w:r>
    </w:p>
    <w:p w14:paraId="04FCF5E6">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43"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旅游业</w:t>
      </w:r>
      <w:r>
        <w:rPr>
          <w:rFonts w:hint="eastAsia" w:ascii="Times New Roman" w:hAnsi="Times New Roman" w:eastAsia="方正仿宋_GBK" w:cs="Times New Roman"/>
          <w:b w:val="0"/>
          <w:bCs w:val="0"/>
          <w:sz w:val="32"/>
          <w:szCs w:val="32"/>
          <w:highlight w:val="none"/>
          <w:lang w:val="en-US" w:eastAsia="zh-CN"/>
        </w:rPr>
        <w:t>累计</w:t>
      </w:r>
      <w:r>
        <w:rPr>
          <w:rFonts w:hint="default" w:ascii="Times New Roman" w:hAnsi="Times New Roman" w:eastAsia="方正仿宋_GBK" w:cs="Times New Roman"/>
          <w:sz w:val="32"/>
          <w:szCs w:val="32"/>
          <w:highlight w:val="none"/>
        </w:rPr>
        <w:t>接待国内游客</w:t>
      </w:r>
      <w:r>
        <w:rPr>
          <w:rFonts w:hint="default" w:ascii="Times New Roman" w:hAnsi="Times New Roman" w:eastAsia="方正仿宋_GBK" w:cs="Times New Roman"/>
          <w:sz w:val="32"/>
          <w:szCs w:val="32"/>
          <w:highlight w:val="none"/>
          <w:lang w:val="en-US" w:eastAsia="zh-CN"/>
        </w:rPr>
        <w:t>501.16</w:t>
      </w:r>
      <w:r>
        <w:rPr>
          <w:rFonts w:hint="default" w:ascii="Times New Roman" w:hAnsi="Times New Roman" w:eastAsia="方正仿宋_GBK" w:cs="Times New Roman"/>
          <w:sz w:val="32"/>
          <w:szCs w:val="32"/>
          <w:highlight w:val="none"/>
        </w:rPr>
        <w:t>万人次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同比增长</w:t>
      </w:r>
      <w:r>
        <w:rPr>
          <w:rFonts w:hint="default" w:ascii="Times New Roman" w:hAnsi="Times New Roman" w:eastAsia="方正仿宋_GBK" w:cs="Times New Roman"/>
          <w:sz w:val="32"/>
          <w:szCs w:val="32"/>
          <w:highlight w:val="none"/>
          <w:lang w:val="en-US" w:eastAsia="zh-CN"/>
        </w:rPr>
        <w:t>23.85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color w:val="auto"/>
          <w:sz w:val="32"/>
          <w:szCs w:val="32"/>
          <w:highlight w:val="none"/>
          <w:lang w:val="en-US" w:eastAsia="zh-CN"/>
        </w:rPr>
        <w:t>，高于全年目标任务（20%）3.85个百分点</w:t>
      </w:r>
      <w:r>
        <w:rPr>
          <w:rFonts w:hint="default" w:ascii="Times New Roman" w:hAnsi="Times New Roman" w:eastAsia="方正仿宋_GBK" w:cs="Times New Roman"/>
          <w:b w:val="0"/>
          <w:bCs w:val="0"/>
          <w:spacing w:val="-2"/>
          <w:kern w:val="2"/>
          <w:sz w:val="32"/>
          <w:szCs w:val="32"/>
          <w:highlight w:val="none"/>
          <w:lang w:val="en-US" w:eastAsia="zh-CN" w:bidi="ar-SA"/>
        </w:rPr>
        <w:t>，</w:t>
      </w:r>
      <w:r>
        <w:rPr>
          <w:rFonts w:hint="default" w:ascii="Times New Roman" w:hAnsi="Times New Roman" w:eastAsia="方正仿宋_GBK" w:cs="Times New Roman"/>
          <w:b w:val="0"/>
          <w:bCs w:val="0"/>
          <w:color w:val="auto"/>
          <w:spacing w:val="-2"/>
          <w:sz w:val="32"/>
          <w:szCs w:val="32"/>
          <w:highlight w:val="none"/>
          <w:lang w:val="en-US" w:eastAsia="zh-CN"/>
        </w:rPr>
        <w:t>完成全年目标任务521.12万人次的96.2%。</w:t>
      </w:r>
      <w:r>
        <w:rPr>
          <w:rFonts w:hint="default" w:ascii="Times New Roman" w:hAnsi="Times New Roman" w:eastAsia="方正仿宋_GBK" w:cs="Times New Roman"/>
          <w:sz w:val="32"/>
          <w:szCs w:val="32"/>
          <w:highlight w:val="none"/>
        </w:rPr>
        <w:t>实现旅游收入</w:t>
      </w:r>
      <w:r>
        <w:rPr>
          <w:rFonts w:hint="default" w:ascii="Times New Roman" w:hAnsi="Times New Roman" w:eastAsia="方正仿宋_GBK" w:cs="Times New Roman"/>
          <w:sz w:val="32"/>
          <w:szCs w:val="32"/>
          <w:highlight w:val="none"/>
          <w:lang w:val="en-US" w:eastAsia="zh-CN"/>
        </w:rPr>
        <w:t>17.61亿元，</w:t>
      </w:r>
      <w:r>
        <w:rPr>
          <w:rFonts w:hint="default" w:ascii="Times New Roman" w:hAnsi="Times New Roman" w:eastAsia="方正仿宋_GBK" w:cs="Times New Roman"/>
          <w:sz w:val="32"/>
          <w:szCs w:val="32"/>
          <w:highlight w:val="none"/>
        </w:rPr>
        <w:t>同比增长</w:t>
      </w:r>
      <w:r>
        <w:rPr>
          <w:rFonts w:hint="default" w:ascii="Times New Roman" w:hAnsi="Times New Roman" w:eastAsia="方正仿宋_GBK" w:cs="Times New Roman"/>
          <w:sz w:val="32"/>
          <w:szCs w:val="32"/>
          <w:highlight w:val="none"/>
          <w:lang w:val="en-US" w:eastAsia="zh-CN"/>
        </w:rPr>
        <w:t>29.81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高于全年目标任务（25%）4.81个百分点</w:t>
      </w:r>
      <w:r>
        <w:rPr>
          <w:rFonts w:hint="default" w:ascii="Times New Roman" w:hAnsi="Times New Roman" w:eastAsia="方正仿宋_GBK" w:cs="Times New Roman"/>
          <w:b w:val="0"/>
          <w:bCs w:val="0"/>
          <w:spacing w:val="-2"/>
          <w:kern w:val="2"/>
          <w:sz w:val="32"/>
          <w:szCs w:val="32"/>
          <w:highlight w:val="none"/>
          <w:lang w:val="en-US" w:eastAsia="zh-CN" w:bidi="ar-SA"/>
        </w:rPr>
        <w:t>，</w:t>
      </w:r>
      <w:r>
        <w:rPr>
          <w:rFonts w:hint="default" w:ascii="Times New Roman" w:hAnsi="Times New Roman" w:eastAsia="方正仿宋_GBK" w:cs="Times New Roman"/>
          <w:b w:val="0"/>
          <w:bCs w:val="0"/>
          <w:color w:val="auto"/>
          <w:spacing w:val="-2"/>
          <w:sz w:val="32"/>
          <w:szCs w:val="32"/>
          <w:highlight w:val="none"/>
          <w:lang w:val="en-US" w:eastAsia="zh-CN"/>
        </w:rPr>
        <w:t>完成全年目标任务17.88亿元的98.5%。</w:t>
      </w:r>
      <w:r>
        <w:rPr>
          <w:rFonts w:hint="default" w:ascii="Times New Roman" w:hAnsi="Times New Roman" w:eastAsia="方正仿宋_GBK" w:cs="Times New Roman"/>
          <w:sz w:val="32"/>
          <w:szCs w:val="32"/>
          <w:highlight w:val="none"/>
          <w:lang w:val="en-US" w:eastAsia="zh-CN"/>
        </w:rPr>
        <w:t>人均花费351.32元。</w:t>
      </w:r>
    </w:p>
    <w:p w14:paraId="0F6C7D42">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35" w:firstLineChars="200"/>
        <w:textAlignment w:val="auto"/>
        <w:rPr>
          <w:rFonts w:hint="default" w:ascii="Times New Roman" w:hAnsi="Times New Roman" w:eastAsia="方正仿宋_GBK" w:cs="Times New Roman"/>
          <w:b w:val="0"/>
          <w:bCs w:val="0"/>
          <w:color w:val="auto"/>
          <w:spacing w:val="-2"/>
          <w:sz w:val="32"/>
          <w:szCs w:val="32"/>
          <w:highlight w:val="none"/>
          <w:lang w:val="en-US" w:eastAsia="zh-CN"/>
        </w:rPr>
      </w:pPr>
      <w:r>
        <w:rPr>
          <w:rFonts w:hint="default" w:ascii="Times New Roman" w:hAnsi="Times New Roman" w:eastAsia="方正仿宋_GBK" w:cs="Times New Roman"/>
          <w:b/>
          <w:bCs/>
          <w:color w:val="auto"/>
          <w:spacing w:val="-2"/>
          <w:sz w:val="32"/>
          <w:szCs w:val="32"/>
          <w:highlight w:val="none"/>
          <w:lang w:val="en-US" w:eastAsia="zh-CN"/>
        </w:rPr>
        <w:t>全县共有市场经营主体</w:t>
      </w:r>
      <w:r>
        <w:rPr>
          <w:rFonts w:hint="default" w:ascii="Times New Roman" w:hAnsi="Times New Roman" w:eastAsia="方正仿宋_GBK" w:cs="Times New Roman"/>
          <w:b w:val="0"/>
          <w:bCs w:val="0"/>
          <w:color w:val="auto"/>
          <w:spacing w:val="-2"/>
          <w:sz w:val="32"/>
          <w:szCs w:val="32"/>
          <w:highlight w:val="none"/>
          <w:lang w:val="en-US" w:eastAsia="zh-CN"/>
        </w:rPr>
        <w:t>22894个，同比增长4.7%，较上年同期增加1037户。其中：企业2702户，同比增长7.0%，较上年同期增加177户；个体工商户19161户，同比增长5.0%，较上年同期增加911户。2025年1-10月新登记1500户，其中：企业297户，个体工商户1203户。</w:t>
      </w:r>
    </w:p>
    <w:p w14:paraId="7E371DD3">
      <w:pPr>
        <w:pStyle w:val="24"/>
        <w:keepNext w:val="0"/>
        <w:keepLines w:val="0"/>
        <w:pageBreakBefore w:val="0"/>
        <w:widowControl w:val="0"/>
        <w:numPr>
          <w:ilvl w:val="0"/>
          <w:numId w:val="0"/>
        </w:numPr>
        <w:pBdr>
          <w:bottom w:val="single" w:color="FFFFFF" w:sz="4" w:space="31"/>
        </w:pBdr>
        <w:kinsoku/>
        <w:wordWrap/>
        <w:overflowPunct w:val="0"/>
        <w:topLinePunct w:val="0"/>
        <w:autoSpaceDE/>
        <w:autoSpaceDN/>
        <w:bidi w:val="0"/>
        <w:adjustRightInd w:val="0"/>
        <w:snapToGrid/>
        <w:spacing w:line="570" w:lineRule="exact"/>
        <w:ind w:firstLine="635" w:firstLineChars="200"/>
        <w:textAlignment w:val="auto"/>
        <w:rPr>
          <w:rFonts w:hint="default" w:ascii="Times New Roman" w:hAnsi="Times New Roman" w:eastAsia="方正仿宋_GBK" w:cs="Times New Roman"/>
          <w:b w:val="0"/>
          <w:bCs w:val="0"/>
          <w:color w:val="auto"/>
          <w:spacing w:val="-2"/>
          <w:sz w:val="32"/>
          <w:szCs w:val="32"/>
          <w:highlight w:val="none"/>
          <w:lang w:val="en-US" w:eastAsia="zh-CN"/>
        </w:rPr>
      </w:pPr>
      <w:r>
        <w:rPr>
          <w:rFonts w:hint="default" w:ascii="Times New Roman" w:hAnsi="Times New Roman" w:eastAsia="方正仿宋_GBK" w:cs="Times New Roman"/>
          <w:b/>
          <w:bCs/>
          <w:color w:val="auto"/>
          <w:spacing w:val="-2"/>
          <w:kern w:val="2"/>
          <w:sz w:val="32"/>
          <w:szCs w:val="32"/>
          <w:highlight w:val="none"/>
          <w:lang w:val="en-US" w:eastAsia="zh-CN" w:bidi="ar-SA"/>
        </w:rPr>
        <w:t>全社会用电量</w:t>
      </w:r>
      <w:r>
        <w:rPr>
          <w:rFonts w:hint="default" w:ascii="Times New Roman" w:hAnsi="Times New Roman" w:eastAsia="方正仿宋_GBK" w:cs="Times New Roman"/>
          <w:b w:val="0"/>
          <w:bCs w:val="0"/>
          <w:color w:val="auto"/>
          <w:spacing w:val="-2"/>
          <w:kern w:val="2"/>
          <w:sz w:val="32"/>
          <w:szCs w:val="32"/>
          <w:highlight w:val="none"/>
          <w:lang w:val="en-US" w:eastAsia="zh-CN" w:bidi="ar-SA"/>
        </w:rPr>
        <w:t xml:space="preserve">56708.37万千瓦时，同比增长5.15%。其中：第一产业用电量694.82万千瓦时，第二产业用电量20926.92万千瓦时，第三产业用电量22472.63万千瓦时。城乡居民生活用电量12613.99万千瓦时，同比增长3.03%。工业用电20375.87万千瓦时，同比下降7.78%，较1-9月（-8.88%）降幅收窄1.1个百分点。       </w:t>
      </w:r>
    </w:p>
    <w:sectPr>
      <w:footerReference r:id="rId3" w:type="default"/>
      <w:pgSz w:w="11906" w:h="16838"/>
      <w:pgMar w:top="2098" w:right="1531" w:bottom="1984"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6EFC7">
    <w:pPr>
      <w:pStyle w:val="10"/>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500F9BC1">
                          <w:pPr>
                            <w:pStyle w:val="10"/>
                            <w:rPr>
                              <w:rFonts w:hint="eastAsia" w:ascii="Times New Roman" w:hAnsi="Times New Roman" w:eastAsia="宋体"/>
                              <w:sz w:val="28"/>
                              <w:szCs w:val="28"/>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center;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MzMV0QAAAAMBAAAPAAAAAAAAAAEAIAAAACIAAABkcnMv&#10;ZG93bnJldi54bWxQSwECFAAUAAAACACHTuJAr0gE7goCAAACBAAADgAAAAAAAAABACAAAAAgAQAA&#10;ZHJzL2Uyb0RvYy54bWxQSwUGAAAAAAYABgBZAQAAnAUAAAAA&#10;">
              <v:fill on="f" focussize="0,0"/>
              <v:stroke on="f"/>
              <v:imagedata o:title=""/>
              <o:lock v:ext="edit" aspectratio="f"/>
              <v:textbox inset="0mm,0mm,0mm,0mm" style="mso-fit-shape-to-text:t;">
                <w:txbxContent>
                  <w:p w14:paraId="500F9BC1">
                    <w:pPr>
                      <w:pStyle w:val="10"/>
                      <w:rPr>
                        <w:rFonts w:hint="eastAsia" w:ascii="Times New Roman" w:hAnsi="Times New Roman" w:eastAsia="宋体"/>
                        <w:sz w:val="28"/>
                        <w:szCs w:val="28"/>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MjNkYjVmZWQ2OTZhMTIzM2Q0N2EwOWRhYTM1NmMifQ=="/>
  </w:docVars>
  <w:rsids>
    <w:rsidRoot w:val="00172A27"/>
    <w:rsid w:val="000026FC"/>
    <w:rsid w:val="00005B0F"/>
    <w:rsid w:val="00007DDE"/>
    <w:rsid w:val="0001692C"/>
    <w:rsid w:val="00021C70"/>
    <w:rsid w:val="00027448"/>
    <w:rsid w:val="00041A36"/>
    <w:rsid w:val="000533A0"/>
    <w:rsid w:val="000573D2"/>
    <w:rsid w:val="00057F81"/>
    <w:rsid w:val="00074E81"/>
    <w:rsid w:val="0009102A"/>
    <w:rsid w:val="000A5069"/>
    <w:rsid w:val="000C47D3"/>
    <w:rsid w:val="000D18A5"/>
    <w:rsid w:val="000D4A67"/>
    <w:rsid w:val="00101951"/>
    <w:rsid w:val="0010696D"/>
    <w:rsid w:val="00107616"/>
    <w:rsid w:val="001378E0"/>
    <w:rsid w:val="00140C0D"/>
    <w:rsid w:val="001544D5"/>
    <w:rsid w:val="0016321F"/>
    <w:rsid w:val="001718FB"/>
    <w:rsid w:val="00172A27"/>
    <w:rsid w:val="00181E08"/>
    <w:rsid w:val="001860A1"/>
    <w:rsid w:val="00187910"/>
    <w:rsid w:val="00187FDE"/>
    <w:rsid w:val="0019455E"/>
    <w:rsid w:val="001954B2"/>
    <w:rsid w:val="001977C7"/>
    <w:rsid w:val="001A11A6"/>
    <w:rsid w:val="001C53CB"/>
    <w:rsid w:val="001E3087"/>
    <w:rsid w:val="001E35C3"/>
    <w:rsid w:val="001E4E39"/>
    <w:rsid w:val="001F6463"/>
    <w:rsid w:val="00205769"/>
    <w:rsid w:val="00207F61"/>
    <w:rsid w:val="002126A2"/>
    <w:rsid w:val="002158E9"/>
    <w:rsid w:val="002449F7"/>
    <w:rsid w:val="002665CC"/>
    <w:rsid w:val="0028564B"/>
    <w:rsid w:val="0029270B"/>
    <w:rsid w:val="00297740"/>
    <w:rsid w:val="002A2E2F"/>
    <w:rsid w:val="002C160C"/>
    <w:rsid w:val="002C3103"/>
    <w:rsid w:val="002E092D"/>
    <w:rsid w:val="002E1BD2"/>
    <w:rsid w:val="002F5E76"/>
    <w:rsid w:val="00311BCB"/>
    <w:rsid w:val="00327547"/>
    <w:rsid w:val="00330ECA"/>
    <w:rsid w:val="00331F03"/>
    <w:rsid w:val="00332733"/>
    <w:rsid w:val="00343AE9"/>
    <w:rsid w:val="003440BC"/>
    <w:rsid w:val="003672F7"/>
    <w:rsid w:val="00367C68"/>
    <w:rsid w:val="003B5286"/>
    <w:rsid w:val="003B52C6"/>
    <w:rsid w:val="003C336B"/>
    <w:rsid w:val="003D38AA"/>
    <w:rsid w:val="003D3B9A"/>
    <w:rsid w:val="003D7F77"/>
    <w:rsid w:val="003F0CB1"/>
    <w:rsid w:val="004269BD"/>
    <w:rsid w:val="00442E82"/>
    <w:rsid w:val="0045313C"/>
    <w:rsid w:val="004808AE"/>
    <w:rsid w:val="004946DD"/>
    <w:rsid w:val="004A6C0F"/>
    <w:rsid w:val="004B582D"/>
    <w:rsid w:val="004B79BB"/>
    <w:rsid w:val="004D365D"/>
    <w:rsid w:val="004D603A"/>
    <w:rsid w:val="005014D0"/>
    <w:rsid w:val="00502FDD"/>
    <w:rsid w:val="005031B4"/>
    <w:rsid w:val="00510F1A"/>
    <w:rsid w:val="00513C52"/>
    <w:rsid w:val="005176E8"/>
    <w:rsid w:val="005318ED"/>
    <w:rsid w:val="00532D40"/>
    <w:rsid w:val="00543D18"/>
    <w:rsid w:val="0054445B"/>
    <w:rsid w:val="00545044"/>
    <w:rsid w:val="005454DE"/>
    <w:rsid w:val="00554AA9"/>
    <w:rsid w:val="00557E86"/>
    <w:rsid w:val="00561E72"/>
    <w:rsid w:val="00583188"/>
    <w:rsid w:val="00594715"/>
    <w:rsid w:val="005A1CF8"/>
    <w:rsid w:val="005A2348"/>
    <w:rsid w:val="005A54B1"/>
    <w:rsid w:val="005B7D03"/>
    <w:rsid w:val="005C1762"/>
    <w:rsid w:val="005C2E29"/>
    <w:rsid w:val="005D7921"/>
    <w:rsid w:val="005E781F"/>
    <w:rsid w:val="005F0A8B"/>
    <w:rsid w:val="005F2353"/>
    <w:rsid w:val="00603A87"/>
    <w:rsid w:val="0064524D"/>
    <w:rsid w:val="00660C15"/>
    <w:rsid w:val="006779F6"/>
    <w:rsid w:val="006817EC"/>
    <w:rsid w:val="00695DA2"/>
    <w:rsid w:val="00695DE7"/>
    <w:rsid w:val="006A39D3"/>
    <w:rsid w:val="006A438C"/>
    <w:rsid w:val="006A4907"/>
    <w:rsid w:val="006A5BD2"/>
    <w:rsid w:val="006C39A4"/>
    <w:rsid w:val="006D10DB"/>
    <w:rsid w:val="006D5214"/>
    <w:rsid w:val="006E01A8"/>
    <w:rsid w:val="006E5D35"/>
    <w:rsid w:val="00722490"/>
    <w:rsid w:val="007239B1"/>
    <w:rsid w:val="007327E6"/>
    <w:rsid w:val="00737B7B"/>
    <w:rsid w:val="00756528"/>
    <w:rsid w:val="007705C0"/>
    <w:rsid w:val="00771D3D"/>
    <w:rsid w:val="007727C9"/>
    <w:rsid w:val="00780791"/>
    <w:rsid w:val="00783766"/>
    <w:rsid w:val="0078761C"/>
    <w:rsid w:val="00792DC8"/>
    <w:rsid w:val="00793339"/>
    <w:rsid w:val="007A5044"/>
    <w:rsid w:val="007B3502"/>
    <w:rsid w:val="007B5501"/>
    <w:rsid w:val="007C0040"/>
    <w:rsid w:val="007C7D61"/>
    <w:rsid w:val="007D516A"/>
    <w:rsid w:val="007E5A6A"/>
    <w:rsid w:val="00815B89"/>
    <w:rsid w:val="00815D57"/>
    <w:rsid w:val="008163E2"/>
    <w:rsid w:val="0082056A"/>
    <w:rsid w:val="00820DB3"/>
    <w:rsid w:val="008302D1"/>
    <w:rsid w:val="00847E95"/>
    <w:rsid w:val="008604B9"/>
    <w:rsid w:val="008B2D22"/>
    <w:rsid w:val="008B3225"/>
    <w:rsid w:val="008D618F"/>
    <w:rsid w:val="008E7191"/>
    <w:rsid w:val="00903410"/>
    <w:rsid w:val="00916C54"/>
    <w:rsid w:val="0092280A"/>
    <w:rsid w:val="009275DD"/>
    <w:rsid w:val="009460B7"/>
    <w:rsid w:val="009838F0"/>
    <w:rsid w:val="009928C3"/>
    <w:rsid w:val="009B6DC5"/>
    <w:rsid w:val="009D0B25"/>
    <w:rsid w:val="009D19AD"/>
    <w:rsid w:val="009D3BC3"/>
    <w:rsid w:val="00A07580"/>
    <w:rsid w:val="00A250BF"/>
    <w:rsid w:val="00A53E5F"/>
    <w:rsid w:val="00A6635F"/>
    <w:rsid w:val="00A904AE"/>
    <w:rsid w:val="00A915B1"/>
    <w:rsid w:val="00A91772"/>
    <w:rsid w:val="00A92AAA"/>
    <w:rsid w:val="00A944A7"/>
    <w:rsid w:val="00A95CBD"/>
    <w:rsid w:val="00AB3A8A"/>
    <w:rsid w:val="00AC6800"/>
    <w:rsid w:val="00AD31C2"/>
    <w:rsid w:val="00AD733A"/>
    <w:rsid w:val="00B05B83"/>
    <w:rsid w:val="00B12B41"/>
    <w:rsid w:val="00B172B2"/>
    <w:rsid w:val="00B43CA6"/>
    <w:rsid w:val="00B46F5A"/>
    <w:rsid w:val="00B64E09"/>
    <w:rsid w:val="00B66384"/>
    <w:rsid w:val="00B7053C"/>
    <w:rsid w:val="00B73A7B"/>
    <w:rsid w:val="00B76849"/>
    <w:rsid w:val="00B82320"/>
    <w:rsid w:val="00B970B2"/>
    <w:rsid w:val="00B9721B"/>
    <w:rsid w:val="00BA2B9C"/>
    <w:rsid w:val="00BA34A0"/>
    <w:rsid w:val="00BB7D0C"/>
    <w:rsid w:val="00BE0157"/>
    <w:rsid w:val="00BF2A93"/>
    <w:rsid w:val="00C01531"/>
    <w:rsid w:val="00C03994"/>
    <w:rsid w:val="00C10049"/>
    <w:rsid w:val="00C12EE0"/>
    <w:rsid w:val="00C56284"/>
    <w:rsid w:val="00C619A3"/>
    <w:rsid w:val="00C727BA"/>
    <w:rsid w:val="00C82977"/>
    <w:rsid w:val="00CA5C23"/>
    <w:rsid w:val="00CF2F9B"/>
    <w:rsid w:val="00D018D2"/>
    <w:rsid w:val="00D0321A"/>
    <w:rsid w:val="00D05E5A"/>
    <w:rsid w:val="00D109E5"/>
    <w:rsid w:val="00D212B1"/>
    <w:rsid w:val="00D32C61"/>
    <w:rsid w:val="00D348E1"/>
    <w:rsid w:val="00D356D2"/>
    <w:rsid w:val="00D40506"/>
    <w:rsid w:val="00D43523"/>
    <w:rsid w:val="00D6691A"/>
    <w:rsid w:val="00D80CB3"/>
    <w:rsid w:val="00D86157"/>
    <w:rsid w:val="00D94737"/>
    <w:rsid w:val="00DC247D"/>
    <w:rsid w:val="00DD052C"/>
    <w:rsid w:val="00DE548E"/>
    <w:rsid w:val="00DF6374"/>
    <w:rsid w:val="00E11997"/>
    <w:rsid w:val="00E20E85"/>
    <w:rsid w:val="00E35FB6"/>
    <w:rsid w:val="00E432F4"/>
    <w:rsid w:val="00E47603"/>
    <w:rsid w:val="00E5189F"/>
    <w:rsid w:val="00E62A17"/>
    <w:rsid w:val="00E63775"/>
    <w:rsid w:val="00E65B7F"/>
    <w:rsid w:val="00E70FB5"/>
    <w:rsid w:val="00E85A53"/>
    <w:rsid w:val="00E959F6"/>
    <w:rsid w:val="00EA2644"/>
    <w:rsid w:val="00EC7AFE"/>
    <w:rsid w:val="00EF004D"/>
    <w:rsid w:val="00EF6D00"/>
    <w:rsid w:val="00F04149"/>
    <w:rsid w:val="00F067CE"/>
    <w:rsid w:val="00F134B8"/>
    <w:rsid w:val="00F268B2"/>
    <w:rsid w:val="00F411E7"/>
    <w:rsid w:val="00F4191D"/>
    <w:rsid w:val="00F50F45"/>
    <w:rsid w:val="00F549F1"/>
    <w:rsid w:val="00F811C7"/>
    <w:rsid w:val="00F900D1"/>
    <w:rsid w:val="00F913AC"/>
    <w:rsid w:val="00F9461F"/>
    <w:rsid w:val="00FC11B5"/>
    <w:rsid w:val="00FD1960"/>
    <w:rsid w:val="00FD43A8"/>
    <w:rsid w:val="00FD51C7"/>
    <w:rsid w:val="00FE39FE"/>
    <w:rsid w:val="00FE50DE"/>
    <w:rsid w:val="00FF0D8A"/>
    <w:rsid w:val="00FF15BC"/>
    <w:rsid w:val="01210EE8"/>
    <w:rsid w:val="015A51F8"/>
    <w:rsid w:val="017D5C65"/>
    <w:rsid w:val="017D7710"/>
    <w:rsid w:val="01BB1E5C"/>
    <w:rsid w:val="01D643F2"/>
    <w:rsid w:val="01EE5124"/>
    <w:rsid w:val="0220456D"/>
    <w:rsid w:val="027E47E4"/>
    <w:rsid w:val="02DC07C0"/>
    <w:rsid w:val="030930FF"/>
    <w:rsid w:val="032D05EA"/>
    <w:rsid w:val="037B6693"/>
    <w:rsid w:val="038F2A37"/>
    <w:rsid w:val="03986975"/>
    <w:rsid w:val="03AC77C5"/>
    <w:rsid w:val="04502F4F"/>
    <w:rsid w:val="04C22C05"/>
    <w:rsid w:val="04CF19B5"/>
    <w:rsid w:val="04DC462F"/>
    <w:rsid w:val="04DE1CB7"/>
    <w:rsid w:val="056A48AB"/>
    <w:rsid w:val="05E9713E"/>
    <w:rsid w:val="062425B3"/>
    <w:rsid w:val="06530616"/>
    <w:rsid w:val="06A2280B"/>
    <w:rsid w:val="06B02534"/>
    <w:rsid w:val="06B44635"/>
    <w:rsid w:val="06E80F80"/>
    <w:rsid w:val="07295DC6"/>
    <w:rsid w:val="074360AE"/>
    <w:rsid w:val="07480A77"/>
    <w:rsid w:val="07657E33"/>
    <w:rsid w:val="077F42F4"/>
    <w:rsid w:val="0793334C"/>
    <w:rsid w:val="07AE001A"/>
    <w:rsid w:val="07F65C7C"/>
    <w:rsid w:val="082F1C9E"/>
    <w:rsid w:val="08B93C82"/>
    <w:rsid w:val="097952E5"/>
    <w:rsid w:val="098B0432"/>
    <w:rsid w:val="09A00EE1"/>
    <w:rsid w:val="09D76595"/>
    <w:rsid w:val="0A40113D"/>
    <w:rsid w:val="0A48332C"/>
    <w:rsid w:val="0A4A5045"/>
    <w:rsid w:val="0A6C1438"/>
    <w:rsid w:val="0A855860"/>
    <w:rsid w:val="0B104F9C"/>
    <w:rsid w:val="0B48719A"/>
    <w:rsid w:val="0B7F7B23"/>
    <w:rsid w:val="0C0061F5"/>
    <w:rsid w:val="0C023530"/>
    <w:rsid w:val="0C9B6D21"/>
    <w:rsid w:val="0CF63369"/>
    <w:rsid w:val="0D0B39F3"/>
    <w:rsid w:val="0D535080"/>
    <w:rsid w:val="0D97638F"/>
    <w:rsid w:val="0DC23E69"/>
    <w:rsid w:val="0DD04A36"/>
    <w:rsid w:val="0E9575A7"/>
    <w:rsid w:val="0EA35402"/>
    <w:rsid w:val="0F825701"/>
    <w:rsid w:val="0F8F029B"/>
    <w:rsid w:val="0F9417D5"/>
    <w:rsid w:val="0FC82809"/>
    <w:rsid w:val="0FE52838"/>
    <w:rsid w:val="100B7123"/>
    <w:rsid w:val="1013459F"/>
    <w:rsid w:val="105418C5"/>
    <w:rsid w:val="107406C2"/>
    <w:rsid w:val="10857989"/>
    <w:rsid w:val="10B603DE"/>
    <w:rsid w:val="111B1EF3"/>
    <w:rsid w:val="113960AD"/>
    <w:rsid w:val="113E7191"/>
    <w:rsid w:val="1144024F"/>
    <w:rsid w:val="11760FC0"/>
    <w:rsid w:val="11B1633B"/>
    <w:rsid w:val="11E25329"/>
    <w:rsid w:val="125422A6"/>
    <w:rsid w:val="126C0647"/>
    <w:rsid w:val="12F45BB5"/>
    <w:rsid w:val="1318613D"/>
    <w:rsid w:val="13651BB5"/>
    <w:rsid w:val="14177DCD"/>
    <w:rsid w:val="141B0CB7"/>
    <w:rsid w:val="14295885"/>
    <w:rsid w:val="14C95F28"/>
    <w:rsid w:val="152B5175"/>
    <w:rsid w:val="15310E16"/>
    <w:rsid w:val="154B51FC"/>
    <w:rsid w:val="161363A4"/>
    <w:rsid w:val="163455FA"/>
    <w:rsid w:val="175D2437"/>
    <w:rsid w:val="176F77FA"/>
    <w:rsid w:val="17F9049F"/>
    <w:rsid w:val="18055854"/>
    <w:rsid w:val="185B7E31"/>
    <w:rsid w:val="189C21A5"/>
    <w:rsid w:val="1A3C0FEF"/>
    <w:rsid w:val="1A8E256B"/>
    <w:rsid w:val="1A9C039A"/>
    <w:rsid w:val="1AB26BD6"/>
    <w:rsid w:val="1AC6490F"/>
    <w:rsid w:val="1AEB2C3A"/>
    <w:rsid w:val="1B2E076F"/>
    <w:rsid w:val="1B2E5199"/>
    <w:rsid w:val="1B692DB5"/>
    <w:rsid w:val="1BB8664B"/>
    <w:rsid w:val="1C1568E5"/>
    <w:rsid w:val="1C565FA5"/>
    <w:rsid w:val="1C781EC2"/>
    <w:rsid w:val="1C8D367C"/>
    <w:rsid w:val="1CF63C9C"/>
    <w:rsid w:val="1CFF359F"/>
    <w:rsid w:val="1D21105E"/>
    <w:rsid w:val="1DA241B5"/>
    <w:rsid w:val="1DA27BA8"/>
    <w:rsid w:val="1DAA3B81"/>
    <w:rsid w:val="1DC345ED"/>
    <w:rsid w:val="1E091A01"/>
    <w:rsid w:val="1E283921"/>
    <w:rsid w:val="1E733B6C"/>
    <w:rsid w:val="1E7D42E8"/>
    <w:rsid w:val="1EBE7263"/>
    <w:rsid w:val="1EF42767"/>
    <w:rsid w:val="1F073C5F"/>
    <w:rsid w:val="1F7652AC"/>
    <w:rsid w:val="1FB60294"/>
    <w:rsid w:val="1FC04427"/>
    <w:rsid w:val="1FE324DE"/>
    <w:rsid w:val="1FE842E7"/>
    <w:rsid w:val="200C7ED9"/>
    <w:rsid w:val="201054AB"/>
    <w:rsid w:val="207D4383"/>
    <w:rsid w:val="20AC5AC4"/>
    <w:rsid w:val="214C396E"/>
    <w:rsid w:val="21AD0675"/>
    <w:rsid w:val="21D02A2F"/>
    <w:rsid w:val="22C7194F"/>
    <w:rsid w:val="230F1BD5"/>
    <w:rsid w:val="23264FA4"/>
    <w:rsid w:val="237A63C1"/>
    <w:rsid w:val="23D91EBD"/>
    <w:rsid w:val="24523848"/>
    <w:rsid w:val="24AA740A"/>
    <w:rsid w:val="24FD0ABB"/>
    <w:rsid w:val="252735C4"/>
    <w:rsid w:val="253F7325"/>
    <w:rsid w:val="256571E6"/>
    <w:rsid w:val="259C602E"/>
    <w:rsid w:val="25B2364D"/>
    <w:rsid w:val="26AF5F03"/>
    <w:rsid w:val="26FF507E"/>
    <w:rsid w:val="2719483E"/>
    <w:rsid w:val="27577803"/>
    <w:rsid w:val="27C7705F"/>
    <w:rsid w:val="27CC311E"/>
    <w:rsid w:val="27CD5767"/>
    <w:rsid w:val="283D4857"/>
    <w:rsid w:val="283D5249"/>
    <w:rsid w:val="285D2747"/>
    <w:rsid w:val="28724053"/>
    <w:rsid w:val="289E1032"/>
    <w:rsid w:val="28C05F4B"/>
    <w:rsid w:val="291F2805"/>
    <w:rsid w:val="29300FB4"/>
    <w:rsid w:val="2988704A"/>
    <w:rsid w:val="29A66A46"/>
    <w:rsid w:val="29A87B23"/>
    <w:rsid w:val="29CC039F"/>
    <w:rsid w:val="29CF4BA7"/>
    <w:rsid w:val="2AE04A18"/>
    <w:rsid w:val="2AEF0DF9"/>
    <w:rsid w:val="2BB65EEA"/>
    <w:rsid w:val="2C5944E6"/>
    <w:rsid w:val="2C8F3AFB"/>
    <w:rsid w:val="2CE857FE"/>
    <w:rsid w:val="2D106519"/>
    <w:rsid w:val="2D796EA8"/>
    <w:rsid w:val="2DAA06FA"/>
    <w:rsid w:val="2DB33CD1"/>
    <w:rsid w:val="2DED0CC5"/>
    <w:rsid w:val="2E730C16"/>
    <w:rsid w:val="2E781943"/>
    <w:rsid w:val="2EA1663B"/>
    <w:rsid w:val="2EC44FA4"/>
    <w:rsid w:val="2ED95569"/>
    <w:rsid w:val="2F437592"/>
    <w:rsid w:val="2F91488F"/>
    <w:rsid w:val="2FD12296"/>
    <w:rsid w:val="303D4918"/>
    <w:rsid w:val="30620390"/>
    <w:rsid w:val="306E5495"/>
    <w:rsid w:val="31076336"/>
    <w:rsid w:val="31CB22EB"/>
    <w:rsid w:val="31CF1309"/>
    <w:rsid w:val="32982106"/>
    <w:rsid w:val="32A11698"/>
    <w:rsid w:val="335370B1"/>
    <w:rsid w:val="33841197"/>
    <w:rsid w:val="338651DA"/>
    <w:rsid w:val="339A7E43"/>
    <w:rsid w:val="346F10D9"/>
    <w:rsid w:val="3492390B"/>
    <w:rsid w:val="34A10D79"/>
    <w:rsid w:val="34D0270B"/>
    <w:rsid w:val="34DF4064"/>
    <w:rsid w:val="35635123"/>
    <w:rsid w:val="35867F75"/>
    <w:rsid w:val="35B02B5B"/>
    <w:rsid w:val="35BC20B3"/>
    <w:rsid w:val="35CF507F"/>
    <w:rsid w:val="35EE398A"/>
    <w:rsid w:val="360E472E"/>
    <w:rsid w:val="36321C82"/>
    <w:rsid w:val="3639172D"/>
    <w:rsid w:val="36661DFA"/>
    <w:rsid w:val="36666DF7"/>
    <w:rsid w:val="36BC24D5"/>
    <w:rsid w:val="36DC7D4C"/>
    <w:rsid w:val="36DE0247"/>
    <w:rsid w:val="370A76AB"/>
    <w:rsid w:val="3713489C"/>
    <w:rsid w:val="373303EB"/>
    <w:rsid w:val="374E21AC"/>
    <w:rsid w:val="378B26A7"/>
    <w:rsid w:val="37940DC7"/>
    <w:rsid w:val="37954DF1"/>
    <w:rsid w:val="37C10485"/>
    <w:rsid w:val="381D216D"/>
    <w:rsid w:val="38652304"/>
    <w:rsid w:val="38851901"/>
    <w:rsid w:val="38A12256"/>
    <w:rsid w:val="38AA3C86"/>
    <w:rsid w:val="38DF470F"/>
    <w:rsid w:val="38F93A77"/>
    <w:rsid w:val="3967459D"/>
    <w:rsid w:val="39751AED"/>
    <w:rsid w:val="39B16A37"/>
    <w:rsid w:val="39D110B7"/>
    <w:rsid w:val="3A0F3900"/>
    <w:rsid w:val="3A1F7B8D"/>
    <w:rsid w:val="3A261448"/>
    <w:rsid w:val="3A3F6475"/>
    <w:rsid w:val="3A475E45"/>
    <w:rsid w:val="3A8E6458"/>
    <w:rsid w:val="3A9B12FE"/>
    <w:rsid w:val="3ADE03FF"/>
    <w:rsid w:val="3B1D452A"/>
    <w:rsid w:val="3B7130AC"/>
    <w:rsid w:val="3B7670E3"/>
    <w:rsid w:val="3BBC13F8"/>
    <w:rsid w:val="3BDB0F49"/>
    <w:rsid w:val="3C00564C"/>
    <w:rsid w:val="3CF2238C"/>
    <w:rsid w:val="3CF62F90"/>
    <w:rsid w:val="3D547435"/>
    <w:rsid w:val="3D9E0B72"/>
    <w:rsid w:val="3E2273F7"/>
    <w:rsid w:val="3E3F7BB6"/>
    <w:rsid w:val="3E53192F"/>
    <w:rsid w:val="3EAE2440"/>
    <w:rsid w:val="3EB06465"/>
    <w:rsid w:val="3EFC5D06"/>
    <w:rsid w:val="3F05139A"/>
    <w:rsid w:val="3F6D3B1A"/>
    <w:rsid w:val="3F946D29"/>
    <w:rsid w:val="3FF840DE"/>
    <w:rsid w:val="4077563A"/>
    <w:rsid w:val="409B7D62"/>
    <w:rsid w:val="40D837A2"/>
    <w:rsid w:val="416B0C58"/>
    <w:rsid w:val="41920ACE"/>
    <w:rsid w:val="41AC4D6B"/>
    <w:rsid w:val="41EC1716"/>
    <w:rsid w:val="41F4017C"/>
    <w:rsid w:val="42480C26"/>
    <w:rsid w:val="426B00A8"/>
    <w:rsid w:val="42C46D89"/>
    <w:rsid w:val="43626736"/>
    <w:rsid w:val="43911261"/>
    <w:rsid w:val="43AD4497"/>
    <w:rsid w:val="43AF1B3B"/>
    <w:rsid w:val="440905BC"/>
    <w:rsid w:val="445F5DBB"/>
    <w:rsid w:val="44727C49"/>
    <w:rsid w:val="4490400C"/>
    <w:rsid w:val="44B276A6"/>
    <w:rsid w:val="44D12877"/>
    <w:rsid w:val="45152DCE"/>
    <w:rsid w:val="45451C33"/>
    <w:rsid w:val="45F10078"/>
    <w:rsid w:val="461E69B3"/>
    <w:rsid w:val="464C2CFA"/>
    <w:rsid w:val="47397935"/>
    <w:rsid w:val="478538F7"/>
    <w:rsid w:val="47AC33E4"/>
    <w:rsid w:val="47BE4F54"/>
    <w:rsid w:val="47DF738E"/>
    <w:rsid w:val="47E861D7"/>
    <w:rsid w:val="47EB3D8E"/>
    <w:rsid w:val="48522EF0"/>
    <w:rsid w:val="48707757"/>
    <w:rsid w:val="492856C4"/>
    <w:rsid w:val="49B71C04"/>
    <w:rsid w:val="4A24004F"/>
    <w:rsid w:val="4A7D444A"/>
    <w:rsid w:val="4A8F4BE0"/>
    <w:rsid w:val="4B2B4AD6"/>
    <w:rsid w:val="4B37474F"/>
    <w:rsid w:val="4B5C428B"/>
    <w:rsid w:val="4B7808AB"/>
    <w:rsid w:val="4B8B53D3"/>
    <w:rsid w:val="4BB54005"/>
    <w:rsid w:val="4C0D7050"/>
    <w:rsid w:val="4C413E9A"/>
    <w:rsid w:val="4C646282"/>
    <w:rsid w:val="4CB62AA3"/>
    <w:rsid w:val="4CC212F9"/>
    <w:rsid w:val="4D150C8B"/>
    <w:rsid w:val="4D680B67"/>
    <w:rsid w:val="4DF62110"/>
    <w:rsid w:val="4E750ADA"/>
    <w:rsid w:val="4F0B18BC"/>
    <w:rsid w:val="4F391CEA"/>
    <w:rsid w:val="4F5451AE"/>
    <w:rsid w:val="4F617676"/>
    <w:rsid w:val="4F73583B"/>
    <w:rsid w:val="501034EC"/>
    <w:rsid w:val="5077244E"/>
    <w:rsid w:val="50BE0E6C"/>
    <w:rsid w:val="516F6B28"/>
    <w:rsid w:val="523F51DE"/>
    <w:rsid w:val="52607736"/>
    <w:rsid w:val="529B1A7C"/>
    <w:rsid w:val="52D32AAE"/>
    <w:rsid w:val="534F5D39"/>
    <w:rsid w:val="53BB3D1D"/>
    <w:rsid w:val="53C63333"/>
    <w:rsid w:val="53F32429"/>
    <w:rsid w:val="54B50FD0"/>
    <w:rsid w:val="54CF1C62"/>
    <w:rsid w:val="54E85AC4"/>
    <w:rsid w:val="55B36A57"/>
    <w:rsid w:val="55F12535"/>
    <w:rsid w:val="56A65021"/>
    <w:rsid w:val="56FB7FA7"/>
    <w:rsid w:val="570064CA"/>
    <w:rsid w:val="57013CDB"/>
    <w:rsid w:val="57030BD5"/>
    <w:rsid w:val="57C9366A"/>
    <w:rsid w:val="581B6AF7"/>
    <w:rsid w:val="58601C3E"/>
    <w:rsid w:val="58621D52"/>
    <w:rsid w:val="58664B17"/>
    <w:rsid w:val="58E91D9C"/>
    <w:rsid w:val="5924639B"/>
    <w:rsid w:val="59843C11"/>
    <w:rsid w:val="5A2065F9"/>
    <w:rsid w:val="5A9A3CB3"/>
    <w:rsid w:val="5AEA3D41"/>
    <w:rsid w:val="5BDD1D00"/>
    <w:rsid w:val="5BE661F7"/>
    <w:rsid w:val="5C086ADE"/>
    <w:rsid w:val="5C807629"/>
    <w:rsid w:val="5CA14CE3"/>
    <w:rsid w:val="5CB54ED7"/>
    <w:rsid w:val="5D0D6ABA"/>
    <w:rsid w:val="5D233931"/>
    <w:rsid w:val="5D980D9C"/>
    <w:rsid w:val="5E9443E2"/>
    <w:rsid w:val="5EBF7968"/>
    <w:rsid w:val="5F014232"/>
    <w:rsid w:val="5F5712D3"/>
    <w:rsid w:val="60064219"/>
    <w:rsid w:val="604412F2"/>
    <w:rsid w:val="607A4A00"/>
    <w:rsid w:val="60B0550D"/>
    <w:rsid w:val="61127250"/>
    <w:rsid w:val="61350A92"/>
    <w:rsid w:val="614B50F4"/>
    <w:rsid w:val="61BB1577"/>
    <w:rsid w:val="61F0724D"/>
    <w:rsid w:val="61FF792C"/>
    <w:rsid w:val="6246093C"/>
    <w:rsid w:val="62810FE4"/>
    <w:rsid w:val="62C52A98"/>
    <w:rsid w:val="62CC39A2"/>
    <w:rsid w:val="630610F3"/>
    <w:rsid w:val="631240B3"/>
    <w:rsid w:val="63161398"/>
    <w:rsid w:val="634E1204"/>
    <w:rsid w:val="63546CE0"/>
    <w:rsid w:val="638650D4"/>
    <w:rsid w:val="63874B56"/>
    <w:rsid w:val="639962F3"/>
    <w:rsid w:val="63BE129F"/>
    <w:rsid w:val="63C41EB4"/>
    <w:rsid w:val="63F6291B"/>
    <w:rsid w:val="645038A3"/>
    <w:rsid w:val="64B170F9"/>
    <w:rsid w:val="64B368F6"/>
    <w:rsid w:val="64DC72B5"/>
    <w:rsid w:val="65460148"/>
    <w:rsid w:val="65507500"/>
    <w:rsid w:val="656E4273"/>
    <w:rsid w:val="65D62581"/>
    <w:rsid w:val="663913CD"/>
    <w:rsid w:val="66445882"/>
    <w:rsid w:val="666C02DF"/>
    <w:rsid w:val="66941604"/>
    <w:rsid w:val="66BD1AB1"/>
    <w:rsid w:val="67684672"/>
    <w:rsid w:val="68565138"/>
    <w:rsid w:val="6879164A"/>
    <w:rsid w:val="68AE5F21"/>
    <w:rsid w:val="68BC6B76"/>
    <w:rsid w:val="68CC58FB"/>
    <w:rsid w:val="68D5041F"/>
    <w:rsid w:val="68F94DDF"/>
    <w:rsid w:val="693655DE"/>
    <w:rsid w:val="69480CDF"/>
    <w:rsid w:val="69B375D7"/>
    <w:rsid w:val="69CE7221"/>
    <w:rsid w:val="69F32979"/>
    <w:rsid w:val="6A264FBE"/>
    <w:rsid w:val="6A565402"/>
    <w:rsid w:val="6A6E199F"/>
    <w:rsid w:val="6A9A381D"/>
    <w:rsid w:val="6B5418CE"/>
    <w:rsid w:val="6B5D07CD"/>
    <w:rsid w:val="6B7F6C8E"/>
    <w:rsid w:val="6B945D97"/>
    <w:rsid w:val="6BA24F51"/>
    <w:rsid w:val="6BF70C58"/>
    <w:rsid w:val="6BFA3EFD"/>
    <w:rsid w:val="6C166838"/>
    <w:rsid w:val="6C1D5A54"/>
    <w:rsid w:val="6C80197D"/>
    <w:rsid w:val="6C944B86"/>
    <w:rsid w:val="6C9600A2"/>
    <w:rsid w:val="6CA038BE"/>
    <w:rsid w:val="6CD7371E"/>
    <w:rsid w:val="6D234E50"/>
    <w:rsid w:val="6D4622DF"/>
    <w:rsid w:val="6DDD3AD6"/>
    <w:rsid w:val="6DEF6528"/>
    <w:rsid w:val="6E000787"/>
    <w:rsid w:val="6E1F44FE"/>
    <w:rsid w:val="6E2C6D27"/>
    <w:rsid w:val="6E3923AB"/>
    <w:rsid w:val="6E4111F0"/>
    <w:rsid w:val="6E905D26"/>
    <w:rsid w:val="6E930FFA"/>
    <w:rsid w:val="6FDC053F"/>
    <w:rsid w:val="6FF9391E"/>
    <w:rsid w:val="700A3DED"/>
    <w:rsid w:val="705047D3"/>
    <w:rsid w:val="71337F96"/>
    <w:rsid w:val="717A010F"/>
    <w:rsid w:val="720F60C9"/>
    <w:rsid w:val="726838D5"/>
    <w:rsid w:val="726F6D4C"/>
    <w:rsid w:val="728900F6"/>
    <w:rsid w:val="72B42EB7"/>
    <w:rsid w:val="72DD63B0"/>
    <w:rsid w:val="72E72D01"/>
    <w:rsid w:val="72F03797"/>
    <w:rsid w:val="731323B1"/>
    <w:rsid w:val="733A44FB"/>
    <w:rsid w:val="734E4672"/>
    <w:rsid w:val="735F3714"/>
    <w:rsid w:val="736E72B5"/>
    <w:rsid w:val="73726C9F"/>
    <w:rsid w:val="73A04831"/>
    <w:rsid w:val="73AE6E09"/>
    <w:rsid w:val="73AF63EB"/>
    <w:rsid w:val="73F46CBD"/>
    <w:rsid w:val="73FE6A10"/>
    <w:rsid w:val="74874386"/>
    <w:rsid w:val="74892678"/>
    <w:rsid w:val="749E0C2C"/>
    <w:rsid w:val="74AF3EDD"/>
    <w:rsid w:val="751C6B33"/>
    <w:rsid w:val="75542EC2"/>
    <w:rsid w:val="757232D8"/>
    <w:rsid w:val="75895CE5"/>
    <w:rsid w:val="75AF334A"/>
    <w:rsid w:val="75F0442F"/>
    <w:rsid w:val="75FD721C"/>
    <w:rsid w:val="764D12A6"/>
    <w:rsid w:val="76953D28"/>
    <w:rsid w:val="76A810AF"/>
    <w:rsid w:val="76CA08AE"/>
    <w:rsid w:val="772A14F1"/>
    <w:rsid w:val="774A2DDA"/>
    <w:rsid w:val="77813C9E"/>
    <w:rsid w:val="77E22E88"/>
    <w:rsid w:val="78171FF8"/>
    <w:rsid w:val="784748E4"/>
    <w:rsid w:val="78A10F02"/>
    <w:rsid w:val="78D53905"/>
    <w:rsid w:val="79022643"/>
    <w:rsid w:val="79360969"/>
    <w:rsid w:val="79966345"/>
    <w:rsid w:val="79A56A1C"/>
    <w:rsid w:val="7A3B0036"/>
    <w:rsid w:val="7A3D76E7"/>
    <w:rsid w:val="7A9E5C91"/>
    <w:rsid w:val="7ABF4675"/>
    <w:rsid w:val="7AD37EE2"/>
    <w:rsid w:val="7B3274AA"/>
    <w:rsid w:val="7B6F74FD"/>
    <w:rsid w:val="7B776194"/>
    <w:rsid w:val="7B80217E"/>
    <w:rsid w:val="7BDED879"/>
    <w:rsid w:val="7C6B2F58"/>
    <w:rsid w:val="7C8133EB"/>
    <w:rsid w:val="7C863BDE"/>
    <w:rsid w:val="7CD02C0F"/>
    <w:rsid w:val="7CF27C4E"/>
    <w:rsid w:val="7CFD3844"/>
    <w:rsid w:val="7D0D5ABB"/>
    <w:rsid w:val="7D2364AB"/>
    <w:rsid w:val="7D9C2EA0"/>
    <w:rsid w:val="7DE33A3E"/>
    <w:rsid w:val="7DF65001"/>
    <w:rsid w:val="7E1D6C2C"/>
    <w:rsid w:val="7E485FE1"/>
    <w:rsid w:val="7E4A2A2B"/>
    <w:rsid w:val="7EC44835"/>
    <w:rsid w:val="7ED4663C"/>
    <w:rsid w:val="7F0204F0"/>
    <w:rsid w:val="7F737DF6"/>
    <w:rsid w:val="7F761C69"/>
    <w:rsid w:val="7FF170D9"/>
    <w:rsid w:val="E7EF733E"/>
    <w:rsid w:val="EEFD9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600" w:lineRule="exact"/>
      <w:ind w:firstLine="200" w:firstLineChars="200"/>
      <w:outlineLvl w:val="1"/>
    </w:pPr>
    <w:rPr>
      <w:rFonts w:ascii="Arial" w:hAnsi="Arial"/>
      <w:b/>
      <w:sz w:val="30"/>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rPr>
      <w:rFonts w:ascii="Times New Roman" w:hAnsi="Times New Roman"/>
    </w:rPr>
  </w:style>
  <w:style w:type="paragraph" w:styleId="5">
    <w:name w:val="Normal Indent"/>
    <w:basedOn w:val="1"/>
    <w:qFormat/>
    <w:uiPriority w:val="99"/>
    <w:pPr>
      <w:spacing w:line="600" w:lineRule="exact"/>
      <w:ind w:firstLine="420" w:firstLineChars="200"/>
    </w:pPr>
    <w:rPr>
      <w:rFonts w:ascii="仿宋_GB2312" w:hAnsi="仿宋_GB2312" w:eastAsia="仿宋_GB2312"/>
      <w:sz w:val="32"/>
    </w:rPr>
  </w:style>
  <w:style w:type="paragraph" w:styleId="6">
    <w:name w:val="Body Text"/>
    <w:basedOn w:val="1"/>
    <w:next w:val="7"/>
    <w:qFormat/>
    <w:uiPriority w:val="0"/>
    <w:rPr>
      <w:rFonts w:ascii="宋体" w:hAnsi="宋体"/>
      <w:sz w:val="18"/>
    </w:rPr>
  </w:style>
  <w:style w:type="paragraph" w:styleId="7">
    <w:name w:val="toc 3"/>
    <w:basedOn w:val="1"/>
    <w:next w:val="1"/>
    <w:qFormat/>
    <w:uiPriority w:val="0"/>
    <w:pPr>
      <w:widowControl/>
      <w:spacing w:after="100" w:line="276" w:lineRule="auto"/>
      <w:ind w:left="440" w:firstLine="3584"/>
    </w:pPr>
  </w:style>
  <w:style w:type="paragraph" w:styleId="8">
    <w:name w:val="Body Text Indent"/>
    <w:basedOn w:val="1"/>
    <w:next w:val="9"/>
    <w:qFormat/>
    <w:uiPriority w:val="0"/>
    <w:pPr>
      <w:spacing w:after="120"/>
      <w:ind w:left="420" w:leftChars="200"/>
    </w:pPr>
  </w:style>
  <w:style w:type="paragraph" w:styleId="9">
    <w:name w:val="index 7"/>
    <w:basedOn w:val="1"/>
    <w:next w:val="1"/>
    <w:qFormat/>
    <w:uiPriority w:val="0"/>
    <w:pPr>
      <w:ind w:left="2520"/>
    </w:p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List"/>
    <w:basedOn w:val="1"/>
    <w:qFormat/>
    <w:uiPriority w:val="0"/>
    <w:pPr>
      <w:ind w:left="200" w:hanging="200" w:hangingChars="200"/>
      <w:contextualSpacing/>
    </w:pPr>
  </w:style>
  <w:style w:type="paragraph" w:styleId="13">
    <w:name w:val="Normal (Web)"/>
    <w:basedOn w:val="1"/>
    <w:qFormat/>
    <w:uiPriority w:val="99"/>
    <w:pPr>
      <w:jc w:val="left"/>
    </w:pPr>
    <w:rPr>
      <w:kern w:val="0"/>
      <w:sz w:val="24"/>
    </w:rPr>
  </w:style>
  <w:style w:type="paragraph" w:styleId="14">
    <w:name w:val="Body Text First Indent"/>
    <w:basedOn w:val="6"/>
    <w:next w:val="1"/>
    <w:qFormat/>
    <w:uiPriority w:val="0"/>
    <w:pPr>
      <w:widowControl/>
      <w:spacing w:before="100" w:beforeAutospacing="1" w:after="100" w:afterAutospacing="1"/>
      <w:jc w:val="left"/>
    </w:pPr>
    <w:rPr>
      <w:rFonts w:ascii="Times New Roman" w:hAnsi="Times New Roman" w:cs="宋体"/>
      <w:kern w:val="0"/>
      <w:sz w:val="24"/>
    </w:rPr>
  </w:style>
  <w:style w:type="paragraph" w:styleId="15">
    <w:name w:val="Body Text First Indent 2"/>
    <w:basedOn w:val="8"/>
    <w:next w:val="8"/>
    <w:qFormat/>
    <w:uiPriority w:val="0"/>
    <w:pPr>
      <w:spacing w:after="0" w:line="520" w:lineRule="exact"/>
      <w:ind w:left="0" w:leftChars="0" w:firstLine="420" w:firstLineChars="200"/>
    </w:pPr>
    <w:rPr>
      <w:rFonts w:ascii="Times New Roman" w:hAnsi="Times New Roman" w:eastAsia="楷体_GB2312"/>
      <w:b/>
      <w:color w:val="000000"/>
      <w:spacing w:val="4"/>
      <w:sz w:val="32"/>
      <w:szCs w:val="32"/>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llowedHyperlink"/>
    <w:basedOn w:val="18"/>
    <w:qFormat/>
    <w:uiPriority w:val="0"/>
    <w:rPr>
      <w:color w:val="800080"/>
      <w:u w:val="none"/>
    </w:rPr>
  </w:style>
  <w:style w:type="character" w:styleId="21">
    <w:name w:val="Emphasis"/>
    <w:basedOn w:val="18"/>
    <w:qFormat/>
    <w:uiPriority w:val="0"/>
  </w:style>
  <w:style w:type="character" w:styleId="22">
    <w:name w:val="Hyperlink"/>
    <w:basedOn w:val="18"/>
    <w:qFormat/>
    <w:uiPriority w:val="0"/>
    <w:rPr>
      <w:color w:val="0000FF"/>
      <w:u w:val="none"/>
    </w:rPr>
  </w:style>
  <w:style w:type="character" w:customStyle="1" w:styleId="23">
    <w:name w:val="people_items_title"/>
    <w:basedOn w:val="18"/>
    <w:qFormat/>
    <w:uiPriority w:val="0"/>
    <w:rPr>
      <w:b/>
    </w:rPr>
  </w:style>
  <w:style w:type="paragraph" w:customStyle="1" w:styleId="24">
    <w:name w:val="列出段落1"/>
    <w:basedOn w:val="1"/>
    <w:qFormat/>
    <w:uiPriority w:val="0"/>
    <w:pPr>
      <w:ind w:firstLine="200" w:firstLineChars="200"/>
    </w:p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6">
    <w:name w:val="font21"/>
    <w:basedOn w:val="18"/>
    <w:qFormat/>
    <w:uiPriority w:val="0"/>
    <w:rPr>
      <w:rFonts w:hint="eastAsia" w:ascii="宋体" w:hAnsi="宋体" w:eastAsia="宋体" w:cs="宋体"/>
      <w:color w:val="000000"/>
      <w:sz w:val="22"/>
      <w:szCs w:val="22"/>
      <w:u w:val="none"/>
    </w:rPr>
  </w:style>
  <w:style w:type="character" w:customStyle="1" w:styleId="27">
    <w:name w:val="font11"/>
    <w:basedOn w:val="18"/>
    <w:qFormat/>
    <w:uiPriority w:val="0"/>
    <w:rPr>
      <w:rFonts w:hint="eastAsia" w:ascii="宋体" w:hAnsi="宋体" w:eastAsia="宋体" w:cs="宋体"/>
      <w:color w:val="000000"/>
      <w:sz w:val="28"/>
      <w:szCs w:val="28"/>
      <w:u w:val="none"/>
    </w:rPr>
  </w:style>
  <w:style w:type="character" w:customStyle="1" w:styleId="28">
    <w:name w:val="font01"/>
    <w:basedOn w:val="18"/>
    <w:qFormat/>
    <w:uiPriority w:val="0"/>
    <w:rPr>
      <w:rFonts w:hint="eastAsia" w:ascii="宋体" w:hAnsi="宋体" w:eastAsia="宋体" w:cs="宋体"/>
      <w:color w:val="000000"/>
      <w:sz w:val="24"/>
      <w:szCs w:val="24"/>
      <w:u w:val="none"/>
    </w:rPr>
  </w:style>
  <w:style w:type="character" w:customStyle="1" w:styleId="29">
    <w:name w:val="font41"/>
    <w:basedOn w:val="18"/>
    <w:qFormat/>
    <w:uiPriority w:val="0"/>
    <w:rPr>
      <w:rFonts w:hint="eastAsia" w:ascii="方正仿宋_GBK" w:hAnsi="方正仿宋_GBK" w:eastAsia="方正仿宋_GBK" w:cs="方正仿宋_GBK"/>
      <w:color w:val="000000"/>
      <w:sz w:val="22"/>
      <w:szCs w:val="22"/>
      <w:u w:val="none"/>
    </w:rPr>
  </w:style>
  <w:style w:type="character" w:customStyle="1" w:styleId="30">
    <w:name w:val="font31"/>
    <w:basedOn w:val="1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24180;\2025&#24180;&#19994;&#21153;&#24037;&#20316;1\&#32463;&#27982;&#36816;&#34892;&#20998;&#26512;\10&#26376;&#32463;&#27982;&#36816;&#34892;\2024&#24180;1-6&#26376;--2025&#24180;1-10&#26376;&#20027;&#35201;&#32463;&#27982;%20&#25351;&#26631;&#25968;&#25454;%20(&#34920;&#26684;)6&#24352;%20-%20&#21103;&#2641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5&#24180;\2025&#24180;&#19994;&#21153;&#24037;&#20316;1\&#32463;&#27982;&#36816;&#34892;&#20998;&#26512;\10&#26376;&#32463;&#27982;&#36816;&#34892;\2024&#24180;1-6&#26376;--2025&#24180;1-10&#26376;&#20027;&#35201;&#32463;&#27982;%20&#25351;&#26631;&#25968;&#25454;%20(&#34920;&#26684;)6&#24352;%20-%20&#21103;&#2641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5&#24180;\2025&#24180;&#19994;&#21153;&#24037;&#20316;1\&#32463;&#27982;&#36816;&#34892;&#20998;&#26512;\10&#26376;&#32463;&#27982;&#36816;&#34892;\2024&#24180;1-6&#26376;--2025&#24180;1-10&#26376;&#20027;&#35201;&#32463;&#27982;%20&#25351;&#26631;&#25968;&#25454;%20(&#34920;&#26684;)6&#24352;%20-%20&#21103;&#264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defRPr>
            </a:pPr>
            <a:r>
              <a:rPr>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rPr>
              <a:t>2025年1-</a:t>
            </a:r>
            <a:r>
              <a:rPr lang="en-US" altLang="zh-CN">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rPr>
              <a:t>10</a:t>
            </a:r>
            <a:r>
              <a:rPr>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rPr>
              <a:t>月规上工业绝对额、增速与上年同期比情况</a:t>
            </a:r>
            <a:endParaRPr>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endParaRPr>
          </a:p>
        </c:rich>
      </c:tx>
      <c:layout/>
      <c:overlay val="0"/>
      <c:spPr>
        <a:noFill/>
        <a:ln>
          <a:noFill/>
        </a:ln>
        <a:effectLst/>
      </c:spPr>
    </c:title>
    <c:autoTitleDeleted val="0"/>
    <c:plotArea>
      <c:layout/>
      <c:barChart>
        <c:barDir val="col"/>
        <c:grouping val="clustered"/>
        <c:varyColors val="0"/>
        <c:ser>
          <c:idx val="0"/>
          <c:order val="0"/>
          <c:tx>
            <c:strRef>
              <c:f>'[2024年1-6月--2025年1-10月主要经济 指标数据 (表格)6张 - 副本.xlsx]规上工业'!$B$12</c:f>
              <c:strCache>
                <c:ptCount val="1"/>
                <c:pt idx="0">
                  <c:v>2024年绝对额（亿元）</c:v>
                </c:pt>
              </c:strCache>
            </c:strRef>
          </c:tx>
          <c:spPr>
            <a:gradFill>
              <a:gsLst>
                <a:gs pos="0">
                  <a:srgbClr val="14CD68"/>
                </a:gs>
                <a:gs pos="100000">
                  <a:srgbClr val="035C7D"/>
                </a:gs>
              </a:gsLst>
              <a:lin ang="5400000" scaled="0"/>
            </a:gradFill>
            <a:ln>
              <a:noFill/>
            </a:ln>
            <a:effectLst/>
          </c:spPr>
          <c:invertIfNegative val="0"/>
          <c:dLbls>
            <c:delete val="1"/>
          </c:dLbls>
          <c:cat>
            <c:strRef>
              <c:f>'[2024年1-6月--2025年1-10月主要经济 指标数据 (表格)6张 - 副本.xlsx]规上工业'!$A$13:$A$22</c:f>
              <c:strCache>
                <c:ptCount val="10"/>
                <c:pt idx="0">
                  <c:v>1-2月</c:v>
                </c:pt>
                <c:pt idx="1">
                  <c:v>1-3月</c:v>
                </c:pt>
                <c:pt idx="2">
                  <c:v>1-4月</c:v>
                </c:pt>
                <c:pt idx="3">
                  <c:v>1-5月</c:v>
                </c:pt>
                <c:pt idx="4">
                  <c:v>1-6月</c:v>
                </c:pt>
                <c:pt idx="5">
                  <c:v>1-7月</c:v>
                </c:pt>
                <c:pt idx="6">
                  <c:v>1-8月</c:v>
                </c:pt>
                <c:pt idx="7">
                  <c:v>1-9月</c:v>
                </c:pt>
                <c:pt idx="8">
                  <c:v>1-10月</c:v>
                </c:pt>
                <c:pt idx="9">
                  <c:v>1-12月</c:v>
                </c:pt>
              </c:strCache>
            </c:strRef>
          </c:cat>
          <c:val>
            <c:numRef>
              <c:f>'[2024年1-6月--2025年1-10月主要经济 指标数据 (表格)6张 - 副本.xlsx]规上工业'!$B$13:$B$22</c:f>
              <c:numCache>
                <c:formatCode>0.00_ </c:formatCode>
                <c:ptCount val="10"/>
                <c:pt idx="0">
                  <c:v>0.142694</c:v>
                </c:pt>
                <c:pt idx="1">
                  <c:v>0.493575</c:v>
                </c:pt>
                <c:pt idx="2">
                  <c:v>0.737448</c:v>
                </c:pt>
                <c:pt idx="3">
                  <c:v>1.100439</c:v>
                </c:pt>
                <c:pt idx="4">
                  <c:v>1.287339</c:v>
                </c:pt>
                <c:pt idx="5">
                  <c:v>1.4977</c:v>
                </c:pt>
                <c:pt idx="6">
                  <c:v>1.7337</c:v>
                </c:pt>
                <c:pt idx="7">
                  <c:v>2.0325</c:v>
                </c:pt>
                <c:pt idx="8">
                  <c:v>2.28</c:v>
                </c:pt>
                <c:pt idx="9">
                  <c:v>2.7907</c:v>
                </c:pt>
              </c:numCache>
            </c:numRef>
          </c:val>
        </c:ser>
        <c:ser>
          <c:idx val="2"/>
          <c:order val="2"/>
          <c:tx>
            <c:strRef>
              <c:f>'[2024年1-6月--2025年1-10月主要经济 指标数据 (表格)6张 - 副本.xlsx]规上工业'!$D$12</c:f>
              <c:strCache>
                <c:ptCount val="1"/>
                <c:pt idx="0">
                  <c:v>2025年绝对额（亿元）</c:v>
                </c:pt>
              </c:strCache>
            </c:strRef>
          </c:tx>
          <c:spPr>
            <a:gradFill>
              <a:gsLst>
                <a:gs pos="65000">
                  <a:srgbClr val="F04E8B"/>
                </a:gs>
                <a:gs pos="2000">
                  <a:srgbClr val="F390A5"/>
                </a:gs>
              </a:gsLst>
              <a:lin ang="5400000" scaled="0"/>
            </a:gradFill>
            <a:ln>
              <a:noFill/>
            </a:ln>
            <a:effectLst/>
          </c:spPr>
          <c:invertIfNegative val="0"/>
          <c:dPt>
            <c:idx val="8"/>
            <c:invertIfNegative val="0"/>
            <c:bubble3D val="0"/>
            <c:spPr>
              <a:gradFill>
                <a:gsLst>
                  <a:gs pos="65000">
                    <a:srgbClr val="F04E8B"/>
                  </a:gs>
                  <a:gs pos="2000">
                    <a:srgbClr val="F390A5"/>
                  </a:gs>
                </a:gsLst>
                <a:lin ang="5400000" scaled="0"/>
              </a:gradFill>
              <a:ln>
                <a:noFill/>
              </a:ln>
              <a:effectLst/>
            </c:spPr>
          </c:dPt>
          <c:dPt>
            <c:idx val="9"/>
            <c:invertIfNegative val="0"/>
            <c:bubble3D val="0"/>
            <c:spPr>
              <a:gradFill>
                <a:gsLst>
                  <a:gs pos="12000">
                    <a:srgbClr val="FF0000"/>
                  </a:gs>
                  <a:gs pos="0">
                    <a:srgbClr val="F390A5"/>
                  </a:gs>
                </a:gsLst>
                <a:lin ang="5400000" scaled="0"/>
              </a:gradFill>
              <a:ln>
                <a:noFill/>
              </a:ln>
              <a:effectLst/>
            </c:spPr>
          </c:dPt>
          <c:dLbls>
            <c:delete val="1"/>
          </c:dLbls>
          <c:cat>
            <c:strRef>
              <c:f>'[2024年1-6月--2025年1-10月主要经济 指标数据 (表格)6张 - 副本.xlsx]规上工业'!$A$13:$A$22</c:f>
              <c:strCache>
                <c:ptCount val="10"/>
                <c:pt idx="0">
                  <c:v>1-2月</c:v>
                </c:pt>
                <c:pt idx="1">
                  <c:v>1-3月</c:v>
                </c:pt>
                <c:pt idx="2">
                  <c:v>1-4月</c:v>
                </c:pt>
                <c:pt idx="3">
                  <c:v>1-5月</c:v>
                </c:pt>
                <c:pt idx="4">
                  <c:v>1-6月</c:v>
                </c:pt>
                <c:pt idx="5">
                  <c:v>1-7月</c:v>
                </c:pt>
                <c:pt idx="6">
                  <c:v>1-8月</c:v>
                </c:pt>
                <c:pt idx="7">
                  <c:v>1-9月</c:v>
                </c:pt>
                <c:pt idx="8">
                  <c:v>1-10月</c:v>
                </c:pt>
                <c:pt idx="9">
                  <c:v>1-12月</c:v>
                </c:pt>
              </c:strCache>
            </c:strRef>
          </c:cat>
          <c:val>
            <c:numRef>
              <c:f>'[2024年1-6月--2025年1-10月主要经济 指标数据 (表格)6张 - 副本.xlsx]规上工业'!$D$13:$D$22</c:f>
              <c:numCache>
                <c:formatCode>0.00_ </c:formatCode>
                <c:ptCount val="10"/>
                <c:pt idx="0">
                  <c:v>0.1079</c:v>
                </c:pt>
                <c:pt idx="1">
                  <c:v>0.3991</c:v>
                </c:pt>
                <c:pt idx="2">
                  <c:v>0.5774</c:v>
                </c:pt>
                <c:pt idx="3">
                  <c:v>0.8152</c:v>
                </c:pt>
                <c:pt idx="4">
                  <c:v>1.1188</c:v>
                </c:pt>
                <c:pt idx="5">
                  <c:v>1.3077</c:v>
                </c:pt>
                <c:pt idx="6">
                  <c:v>1.4798</c:v>
                </c:pt>
                <c:pt idx="7">
                  <c:v>1.7415</c:v>
                </c:pt>
                <c:pt idx="8">
                  <c:v>1.99</c:v>
                </c:pt>
                <c:pt idx="9">
                  <c:v>2.83</c:v>
                </c:pt>
              </c:numCache>
            </c:numRef>
          </c:val>
        </c:ser>
        <c:dLbls>
          <c:showLegendKey val="0"/>
          <c:showVal val="0"/>
          <c:showCatName val="0"/>
          <c:showSerName val="0"/>
          <c:showPercent val="0"/>
          <c:showBubbleSize val="0"/>
        </c:dLbls>
        <c:gapWidth val="219"/>
        <c:overlap val="-27"/>
        <c:axId val="570646406"/>
        <c:axId val="108354143"/>
      </c:barChart>
      <c:lineChart>
        <c:grouping val="standard"/>
        <c:varyColors val="0"/>
        <c:ser>
          <c:idx val="1"/>
          <c:order val="1"/>
          <c:tx>
            <c:strRef>
              <c:f>'[2024年1-6月--2025年1-10月主要经济 指标数据 (表格)6张 - 副本.xlsx]规上工业'!$C$12</c:f>
              <c:strCache>
                <c:ptCount val="1"/>
                <c:pt idx="0">
                  <c:v>2024年增速%</c:v>
                </c:pt>
              </c:strCache>
            </c:strRef>
          </c:tx>
          <c:spPr>
            <a:ln w="28575" cap="rnd">
              <a:solidFill>
                <a:srgbClr val="00B050"/>
              </a:solidFill>
              <a:round/>
            </a:ln>
            <a:effectLst/>
          </c:spPr>
          <c:marker>
            <c:symbol val="circle"/>
            <c:size val="5"/>
            <c:spPr>
              <a:solidFill>
                <a:srgbClr val="00B050"/>
              </a:solidFill>
              <a:ln w="9525" cmpd="sng">
                <a:solidFill>
                  <a:srgbClr val="00B050"/>
                </a:solidFill>
                <a:prstDash val="solid"/>
                <a:headEnd type="none"/>
              </a:ln>
              <a:effectLst/>
            </c:spPr>
          </c:marker>
          <c:dLbls>
            <c:delete val="1"/>
          </c:dLbls>
          <c:cat>
            <c:strRef>
              <c:f>'[2024年1-6月--2025年1-10月主要经济 指标数据 (表格)6张 - 副本.xlsx]规上工业'!$A$13:$A$22</c:f>
              <c:strCache>
                <c:ptCount val="10"/>
                <c:pt idx="0">
                  <c:v>1-2月</c:v>
                </c:pt>
                <c:pt idx="1">
                  <c:v>1-3月</c:v>
                </c:pt>
                <c:pt idx="2">
                  <c:v>1-4月</c:v>
                </c:pt>
                <c:pt idx="3">
                  <c:v>1-5月</c:v>
                </c:pt>
                <c:pt idx="4">
                  <c:v>1-6月</c:v>
                </c:pt>
                <c:pt idx="5">
                  <c:v>1-7月</c:v>
                </c:pt>
                <c:pt idx="6">
                  <c:v>1-8月</c:v>
                </c:pt>
                <c:pt idx="7">
                  <c:v>1-9月</c:v>
                </c:pt>
                <c:pt idx="8">
                  <c:v>1-10月</c:v>
                </c:pt>
                <c:pt idx="9">
                  <c:v>1-12月</c:v>
                </c:pt>
              </c:strCache>
            </c:strRef>
          </c:cat>
          <c:val>
            <c:numRef>
              <c:f>'[2024年1-6月--2025年1-10月主要经济 指标数据 (表格)6张 - 副本.xlsx]规上工业'!$C$13:$C$22</c:f>
              <c:numCache>
                <c:formatCode>General</c:formatCode>
                <c:ptCount val="10"/>
                <c:pt idx="0">
                  <c:v>11.7</c:v>
                </c:pt>
                <c:pt idx="1" c:formatCode="@">
                  <c:v>7.5</c:v>
                </c:pt>
                <c:pt idx="2" c:formatCode="@">
                  <c:v>6.4</c:v>
                </c:pt>
                <c:pt idx="3" c:formatCode="@">
                  <c:v>6</c:v>
                </c:pt>
                <c:pt idx="4" c:formatCode="@">
                  <c:v>-9.4</c:v>
                </c:pt>
                <c:pt idx="5" c:formatCode="@">
                  <c:v>-9.5</c:v>
                </c:pt>
                <c:pt idx="6" c:formatCode="@">
                  <c:v>-11.2</c:v>
                </c:pt>
                <c:pt idx="7" c:formatCode="@">
                  <c:v>-7.2</c:v>
                </c:pt>
                <c:pt idx="8">
                  <c:v>-3.5</c:v>
                </c:pt>
                <c:pt idx="9" c:formatCode="@">
                  <c:v>3.4</c:v>
                </c:pt>
              </c:numCache>
            </c:numRef>
          </c:val>
          <c:smooth val="0"/>
        </c:ser>
        <c:ser>
          <c:idx val="3"/>
          <c:order val="3"/>
          <c:tx>
            <c:strRef>
              <c:f>'[2024年1-6月--2025年1-10月主要经济 指标数据 (表格)6张 - 副本.xlsx]规上工业'!$E$12</c:f>
              <c:strCache>
                <c:ptCount val="1"/>
                <c:pt idx="0">
                  <c:v>2025年增速%</c:v>
                </c:pt>
              </c:strCache>
            </c:strRef>
          </c:tx>
          <c:spPr>
            <a:ln w="28575" cap="rnd">
              <a:solidFill>
                <a:srgbClr val="F04E8B"/>
              </a:solidFill>
              <a:round/>
            </a:ln>
            <a:effectLst/>
          </c:spPr>
          <c:marker>
            <c:symbol val="circle"/>
            <c:size val="5"/>
            <c:spPr>
              <a:solidFill>
                <a:srgbClr val="F04E8B"/>
              </a:solidFill>
              <a:ln w="28575" cmpd="sng">
                <a:solidFill>
                  <a:srgbClr val="F04E8B"/>
                </a:solidFill>
                <a:prstDash val="solid"/>
                <a:miter lim="800000"/>
              </a:ln>
              <a:effectLst/>
            </c:spPr>
          </c:marker>
          <c:dPt>
            <c:idx val="9"/>
            <c:marker>
              <c:symbol val="circle"/>
              <c:size val="5"/>
              <c:spPr>
                <a:solidFill>
                  <a:srgbClr val="FF0000"/>
                </a:solidFill>
                <a:ln w="28575" cmpd="sng">
                  <a:solidFill>
                    <a:srgbClr val="FF0000"/>
                  </a:solidFill>
                  <a:prstDash val="solid"/>
                  <a:miter lim="800000"/>
                </a:ln>
                <a:effectLst/>
              </c:spPr>
            </c:marker>
            <c:bubble3D val="0"/>
            <c:spPr>
              <a:ln w="28575" cap="rnd">
                <a:solidFill>
                  <a:srgbClr val="FF0000"/>
                </a:solidFill>
                <a:round/>
              </a:ln>
              <a:effectLst/>
            </c:spPr>
          </c:dPt>
          <c:dLbls>
            <c:delete val="1"/>
          </c:dLbls>
          <c:cat>
            <c:strRef>
              <c:f>'[2024年1-6月--2025年1-10月主要经济 指标数据 (表格)6张 - 副本.xlsx]规上工业'!$A$13:$A$22</c:f>
              <c:strCache>
                <c:ptCount val="10"/>
                <c:pt idx="0">
                  <c:v>1-2月</c:v>
                </c:pt>
                <c:pt idx="1">
                  <c:v>1-3月</c:v>
                </c:pt>
                <c:pt idx="2">
                  <c:v>1-4月</c:v>
                </c:pt>
                <c:pt idx="3">
                  <c:v>1-5月</c:v>
                </c:pt>
                <c:pt idx="4">
                  <c:v>1-6月</c:v>
                </c:pt>
                <c:pt idx="5">
                  <c:v>1-7月</c:v>
                </c:pt>
                <c:pt idx="6">
                  <c:v>1-8月</c:v>
                </c:pt>
                <c:pt idx="7">
                  <c:v>1-9月</c:v>
                </c:pt>
                <c:pt idx="8">
                  <c:v>1-10月</c:v>
                </c:pt>
                <c:pt idx="9">
                  <c:v>1-12月</c:v>
                </c:pt>
              </c:strCache>
            </c:strRef>
          </c:cat>
          <c:val>
            <c:numRef>
              <c:f>'[2024年1-6月--2025年1-10月主要经济 指标数据 (表格)6张 - 副本.xlsx]规上工业'!$E$13:$E$22</c:f>
              <c:numCache>
                <c:formatCode>General</c:formatCode>
                <c:ptCount val="10"/>
                <c:pt idx="0">
                  <c:v>3.3</c:v>
                </c:pt>
                <c:pt idx="1">
                  <c:v>1.2</c:v>
                </c:pt>
                <c:pt idx="2">
                  <c:v>-2.2</c:v>
                </c:pt>
                <c:pt idx="3">
                  <c:v>-8.5</c:v>
                </c:pt>
                <c:pt idx="4">
                  <c:v>6.1</c:v>
                </c:pt>
                <c:pt idx="5">
                  <c:v>0.5</c:v>
                </c:pt>
                <c:pt idx="6">
                  <c:v>1.2</c:v>
                </c:pt>
                <c:pt idx="7">
                  <c:v>1.9</c:v>
                </c:pt>
                <c:pt idx="8">
                  <c:v>2.6</c:v>
                </c:pt>
                <c:pt idx="9">
                  <c:v>18</c:v>
                </c:pt>
              </c:numCache>
            </c:numRef>
          </c:val>
          <c:smooth val="0"/>
        </c:ser>
        <c:dLbls>
          <c:showLegendKey val="0"/>
          <c:showVal val="0"/>
          <c:showCatName val="0"/>
          <c:showSerName val="0"/>
          <c:showPercent val="0"/>
          <c:showBubbleSize val="0"/>
        </c:dLbls>
        <c:marker val="1"/>
        <c:smooth val="0"/>
        <c:axId val="298651702"/>
        <c:axId val="64152293"/>
      </c:lineChart>
      <c:catAx>
        <c:axId val="5706464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354143"/>
        <c:crosses val="autoZero"/>
        <c:auto val="1"/>
        <c:lblAlgn val="ctr"/>
        <c:lblOffset val="100"/>
        <c:noMultiLvlLbl val="0"/>
      </c:catAx>
      <c:valAx>
        <c:axId val="108354143"/>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646406"/>
        <c:crosses val="autoZero"/>
        <c:crossBetween val="between"/>
      </c:valAx>
      <c:catAx>
        <c:axId val="298651702"/>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52293"/>
        <c:crosses val="autoZero"/>
        <c:auto val="1"/>
        <c:lblAlgn val="ctr"/>
        <c:lblOffset val="100"/>
        <c:noMultiLvlLbl val="0"/>
      </c:catAx>
      <c:valAx>
        <c:axId val="64152293"/>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8651702"/>
        <c:crosses val="max"/>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300">
                <a:latin typeface="方正小标宋_GBK" panose="03000509000000000000" charset="-122"/>
                <a:ea typeface="方正小标宋_GBK" panose="03000509000000000000" charset="-122"/>
                <a:cs typeface="方正小标宋_GBK" panose="03000509000000000000" charset="-122"/>
              </a:rPr>
              <a:t>2025年</a:t>
            </a:r>
            <a:r>
              <a:rPr lang="en-US" altLang="zh-CN" sz="1300">
                <a:latin typeface="方正小标宋_GBK" panose="03000509000000000000" charset="-122"/>
                <a:ea typeface="方正小标宋_GBK" panose="03000509000000000000" charset="-122"/>
                <a:cs typeface="方正小标宋_GBK" panose="03000509000000000000" charset="-122"/>
              </a:rPr>
              <a:t>1-10</a:t>
            </a:r>
            <a:r>
              <a:rPr sz="1300">
                <a:latin typeface="方正小标宋_GBK" panose="03000509000000000000" charset="-122"/>
                <a:ea typeface="方正小标宋_GBK" panose="03000509000000000000" charset="-122"/>
                <a:cs typeface="方正小标宋_GBK" panose="03000509000000000000" charset="-122"/>
              </a:rPr>
              <a:t>月固定资产投资绝对额、增速与上年同期比情况</a:t>
            </a:r>
            <a:endParaRPr sz="1300">
              <a:latin typeface="方正小标宋_GBK" panose="03000509000000000000" charset="-122"/>
              <a:ea typeface="方正小标宋_GBK" panose="03000509000000000000" charset="-122"/>
              <a:cs typeface="方正小标宋_GBK" panose="03000509000000000000" charset="-122"/>
            </a:endParaRPr>
          </a:p>
        </c:rich>
      </c:tx>
      <c:layout>
        <c:manualLayout>
          <c:xMode val="edge"/>
          <c:yMode val="edge"/>
          <c:x val="0.114169215086646"/>
          <c:y val="0.0219619326500732"/>
        </c:manualLayout>
      </c:layout>
      <c:overlay val="0"/>
      <c:spPr>
        <a:noFill/>
        <a:ln>
          <a:noFill/>
        </a:ln>
        <a:effectLst/>
      </c:spPr>
    </c:title>
    <c:autoTitleDeleted val="0"/>
    <c:plotArea>
      <c:layout/>
      <c:barChart>
        <c:barDir val="col"/>
        <c:grouping val="clustered"/>
        <c:varyColors val="0"/>
        <c:ser>
          <c:idx val="0"/>
          <c:order val="0"/>
          <c:tx>
            <c:strRef>
              <c:f>'[2024年1-6月--2025年1-10月主要经济 指标数据 (表格)6张 - 副本.xlsx]固定资产'!$B$9</c:f>
              <c:strCache>
                <c:ptCount val="1"/>
                <c:pt idx="0">
                  <c:v>2024年绝对额（亿元）</c:v>
                </c:pt>
              </c:strCache>
            </c:strRef>
          </c:tx>
          <c:spPr>
            <a:gradFill>
              <a:gsLst>
                <a:gs pos="0">
                  <a:srgbClr val="14CD68"/>
                </a:gs>
                <a:gs pos="100000">
                  <a:srgbClr val="0B6E38"/>
                </a:gs>
              </a:gsLst>
              <a:lin ang="5400000" scaled="0"/>
            </a:gradFill>
            <a:ln>
              <a:noFill/>
            </a:ln>
            <a:effectLst/>
          </c:spPr>
          <c:invertIfNegative val="0"/>
          <c:dLbls>
            <c:delete val="1"/>
          </c:dLbls>
          <c:cat>
            <c:strRef>
              <c:f>'[2024年1-6月--2025年1-10月主要经济 指标数据 (表格)6张 - 副本.xlsx]固定资产'!$A$10:$A$19</c:f>
              <c:strCache>
                <c:ptCount val="10"/>
                <c:pt idx="0">
                  <c:v>1-2月</c:v>
                </c:pt>
                <c:pt idx="1">
                  <c:v>1-3月</c:v>
                </c:pt>
                <c:pt idx="2">
                  <c:v>1-4月</c:v>
                </c:pt>
                <c:pt idx="3">
                  <c:v>1-5月</c:v>
                </c:pt>
                <c:pt idx="4">
                  <c:v>1-6月</c:v>
                </c:pt>
                <c:pt idx="5">
                  <c:v>1-7月</c:v>
                </c:pt>
                <c:pt idx="6">
                  <c:v>1-8月</c:v>
                </c:pt>
                <c:pt idx="7">
                  <c:v>1-9月</c:v>
                </c:pt>
                <c:pt idx="8">
                  <c:v>1-10月</c:v>
                </c:pt>
                <c:pt idx="9">
                  <c:v>1-12月</c:v>
                </c:pt>
              </c:strCache>
            </c:strRef>
          </c:cat>
          <c:val>
            <c:numRef>
              <c:f>'[2024年1-6月--2025年1-10月主要经济 指标数据 (表格)6张 - 副本.xlsx]固定资产'!$B$10:$B$19</c:f>
              <c:numCache>
                <c:formatCode>0.00_ </c:formatCode>
                <c:ptCount val="10"/>
                <c:pt idx="0">
                  <c:v>0.2177</c:v>
                </c:pt>
                <c:pt idx="1">
                  <c:v>1.0905</c:v>
                </c:pt>
                <c:pt idx="2">
                  <c:v>2.0601</c:v>
                </c:pt>
                <c:pt idx="3">
                  <c:v>6.0401</c:v>
                </c:pt>
                <c:pt idx="4">
                  <c:v>9.163</c:v>
                </c:pt>
                <c:pt idx="5">
                  <c:v>6.2585</c:v>
                </c:pt>
                <c:pt idx="6">
                  <c:v>7.8482</c:v>
                </c:pt>
                <c:pt idx="7">
                  <c:v>10.1823</c:v>
                </c:pt>
                <c:pt idx="8">
                  <c:v>11.9957</c:v>
                </c:pt>
                <c:pt idx="9">
                  <c:v>17.4457</c:v>
                </c:pt>
              </c:numCache>
            </c:numRef>
          </c:val>
        </c:ser>
        <c:ser>
          <c:idx val="2"/>
          <c:order val="2"/>
          <c:tx>
            <c:strRef>
              <c:f>'[2024年1-6月--2025年1-10月主要经济 指标数据 (表格)6张 - 副本.xlsx]固定资产'!$D$9</c:f>
              <c:strCache>
                <c:ptCount val="1"/>
                <c:pt idx="0">
                  <c:v>2025年绝对额（亿元）</c:v>
                </c:pt>
              </c:strCache>
            </c:strRef>
          </c:tx>
          <c:spPr>
            <a:gradFill>
              <a:gsLst>
                <a:gs pos="12000">
                  <a:srgbClr val="F390A5"/>
                </a:gs>
                <a:gs pos="100000">
                  <a:srgbClr val="DC187D"/>
                </a:gs>
              </a:gsLst>
              <a:lin ang="5400000" scaled="0"/>
            </a:gradFill>
            <a:ln>
              <a:noFill/>
            </a:ln>
            <a:effectLst/>
          </c:spPr>
          <c:invertIfNegative val="0"/>
          <c:dPt>
            <c:idx val="8"/>
            <c:invertIfNegative val="0"/>
            <c:bubble3D val="0"/>
            <c:spPr>
              <a:gradFill>
                <a:gsLst>
                  <a:gs pos="12000">
                    <a:srgbClr val="F390A5"/>
                  </a:gs>
                  <a:gs pos="100000">
                    <a:srgbClr val="DC187D"/>
                  </a:gs>
                </a:gsLst>
                <a:lin ang="5400000" scaled="0"/>
              </a:gradFill>
              <a:ln>
                <a:noFill/>
              </a:ln>
              <a:effectLst/>
            </c:spPr>
          </c:dPt>
          <c:dPt>
            <c:idx val="9"/>
            <c:invertIfNegative val="0"/>
            <c:bubble3D val="0"/>
            <c:spPr>
              <a:gradFill>
                <a:gsLst>
                  <a:gs pos="0">
                    <a:srgbClr val="FE4444"/>
                  </a:gs>
                  <a:gs pos="100000">
                    <a:srgbClr val="832B2B"/>
                  </a:gs>
                </a:gsLst>
                <a:lin ang="5400000" scaled="0"/>
              </a:gradFill>
              <a:ln>
                <a:noFill/>
              </a:ln>
              <a:effectLst/>
            </c:spPr>
          </c:dPt>
          <c:dLbls>
            <c:delete val="1"/>
          </c:dLbls>
          <c:cat>
            <c:strRef>
              <c:f>'[2024年1-6月--2025年1-10月主要经济 指标数据 (表格)6张 - 副本.xlsx]固定资产'!$A$10:$A$19</c:f>
              <c:strCache>
                <c:ptCount val="10"/>
                <c:pt idx="0">
                  <c:v>1-2月</c:v>
                </c:pt>
                <c:pt idx="1">
                  <c:v>1-3月</c:v>
                </c:pt>
                <c:pt idx="2">
                  <c:v>1-4月</c:v>
                </c:pt>
                <c:pt idx="3">
                  <c:v>1-5月</c:v>
                </c:pt>
                <c:pt idx="4">
                  <c:v>1-6月</c:v>
                </c:pt>
                <c:pt idx="5">
                  <c:v>1-7月</c:v>
                </c:pt>
                <c:pt idx="6">
                  <c:v>1-8月</c:v>
                </c:pt>
                <c:pt idx="7">
                  <c:v>1-9月</c:v>
                </c:pt>
                <c:pt idx="8">
                  <c:v>1-10月</c:v>
                </c:pt>
                <c:pt idx="9">
                  <c:v>1-12月</c:v>
                </c:pt>
              </c:strCache>
            </c:strRef>
          </c:cat>
          <c:val>
            <c:numRef>
              <c:f>'[2024年1-6月--2025年1-10月主要经济 指标数据 (表格)6张 - 副本.xlsx]固定资产'!$D$10:$D$19</c:f>
              <c:numCache>
                <c:formatCode>0.00_ </c:formatCode>
                <c:ptCount val="10"/>
                <c:pt idx="0">
                  <c:v>0.2515</c:v>
                </c:pt>
                <c:pt idx="1">
                  <c:v>0.8158</c:v>
                </c:pt>
                <c:pt idx="2">
                  <c:v>3.3646</c:v>
                </c:pt>
                <c:pt idx="3">
                  <c:v>6.4762</c:v>
                </c:pt>
                <c:pt idx="4">
                  <c:v>10.5336</c:v>
                </c:pt>
                <c:pt idx="5">
                  <c:v>11.8712</c:v>
                </c:pt>
                <c:pt idx="6">
                  <c:v>12.9382</c:v>
                </c:pt>
                <c:pt idx="7">
                  <c:v>14.1228</c:v>
                </c:pt>
                <c:pt idx="8">
                  <c:v>15.7655</c:v>
                </c:pt>
                <c:pt idx="9">
                  <c:v>22.7022</c:v>
                </c:pt>
              </c:numCache>
            </c:numRef>
          </c:val>
        </c:ser>
        <c:dLbls>
          <c:showLegendKey val="0"/>
          <c:showVal val="0"/>
          <c:showCatName val="0"/>
          <c:showSerName val="0"/>
          <c:showPercent val="0"/>
          <c:showBubbleSize val="0"/>
        </c:dLbls>
        <c:gapWidth val="219"/>
        <c:overlap val="-27"/>
        <c:axId val="222851827"/>
        <c:axId val="526489673"/>
      </c:barChart>
      <c:lineChart>
        <c:grouping val="standard"/>
        <c:varyColors val="0"/>
        <c:ser>
          <c:idx val="1"/>
          <c:order val="1"/>
          <c:tx>
            <c:strRef>
              <c:f>'[2024年1-6月--2025年1-10月主要经济 指标数据 (表格)6张 - 副本.xlsx]固定资产'!$C$9</c:f>
              <c:strCache>
                <c:ptCount val="1"/>
                <c:pt idx="0">
                  <c:v>2024年增速%</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dLbls>
            <c:delete val="1"/>
          </c:dLbls>
          <c:cat>
            <c:strRef>
              <c:f>'[2024年1-6月--2025年1-10月主要经济 指标数据 (表格)6张 - 副本.xlsx]固定资产'!$A$10:$A$19</c:f>
              <c:strCache>
                <c:ptCount val="10"/>
                <c:pt idx="0">
                  <c:v>1-2月</c:v>
                </c:pt>
                <c:pt idx="1">
                  <c:v>1-3月</c:v>
                </c:pt>
                <c:pt idx="2">
                  <c:v>1-4月</c:v>
                </c:pt>
                <c:pt idx="3">
                  <c:v>1-5月</c:v>
                </c:pt>
                <c:pt idx="4">
                  <c:v>1-6月</c:v>
                </c:pt>
                <c:pt idx="5">
                  <c:v>1-7月</c:v>
                </c:pt>
                <c:pt idx="6">
                  <c:v>1-8月</c:v>
                </c:pt>
                <c:pt idx="7">
                  <c:v>1-9月</c:v>
                </c:pt>
                <c:pt idx="8">
                  <c:v>1-10月</c:v>
                </c:pt>
                <c:pt idx="9">
                  <c:v>1-12月</c:v>
                </c:pt>
              </c:strCache>
            </c:strRef>
          </c:cat>
          <c:val>
            <c:numRef>
              <c:f>'[2024年1-6月--2025年1-10月主要经济 指标数据 (表格)6张 - 副本.xlsx]固定资产'!$C$10:$C$19</c:f>
              <c:numCache>
                <c:formatCode>0.0_ </c:formatCode>
                <c:ptCount val="10"/>
                <c:pt idx="0">
                  <c:v>12.3</c:v>
                </c:pt>
                <c:pt idx="1">
                  <c:v>10.2</c:v>
                </c:pt>
                <c:pt idx="2">
                  <c:v>-25.9</c:v>
                </c:pt>
                <c:pt idx="3">
                  <c:v>6.3</c:v>
                </c:pt>
                <c:pt idx="4">
                  <c:v>7.8</c:v>
                </c:pt>
                <c:pt idx="5">
                  <c:v>-43.26</c:v>
                </c:pt>
                <c:pt idx="6">
                  <c:v>-42.42</c:v>
                </c:pt>
                <c:pt idx="7">
                  <c:v>-39.61</c:v>
                </c:pt>
                <c:pt idx="8">
                  <c:v>-34.7</c:v>
                </c:pt>
                <c:pt idx="9">
                  <c:v>-37.98</c:v>
                </c:pt>
              </c:numCache>
            </c:numRef>
          </c:val>
          <c:smooth val="0"/>
        </c:ser>
        <c:ser>
          <c:idx val="3"/>
          <c:order val="3"/>
          <c:tx>
            <c:strRef>
              <c:f>'[2024年1-6月--2025年1-10月主要经济 指标数据 (表格)6张 - 副本.xlsx]固定资产'!$E$9</c:f>
              <c:strCache>
                <c:ptCount val="1"/>
                <c:pt idx="0">
                  <c:v>2025年增速%</c:v>
                </c:pt>
              </c:strCache>
            </c:strRef>
          </c:tx>
          <c:spPr>
            <a:ln w="28575" cap="rnd">
              <a:solidFill>
                <a:srgbClr val="DC187D"/>
              </a:solidFill>
              <a:round/>
            </a:ln>
            <a:effectLst/>
          </c:spPr>
          <c:marker>
            <c:symbol val="circle"/>
            <c:size val="5"/>
            <c:spPr>
              <a:solidFill>
                <a:srgbClr val="DC187D">
                  <a:alpha val="88000"/>
                </a:srgbClr>
              </a:solidFill>
              <a:ln w="9525">
                <a:solidFill>
                  <a:srgbClr val="DC187D"/>
                </a:solidFill>
              </a:ln>
              <a:effectLst/>
            </c:spPr>
          </c:marker>
          <c:dLbls>
            <c:delete val="1"/>
          </c:dLbls>
          <c:cat>
            <c:strRef>
              <c:f>'[2024年1-6月--2025年1-10月主要经济 指标数据 (表格)6张 - 副本.xlsx]固定资产'!$A$10:$A$19</c:f>
              <c:strCache>
                <c:ptCount val="10"/>
                <c:pt idx="0">
                  <c:v>1-2月</c:v>
                </c:pt>
                <c:pt idx="1">
                  <c:v>1-3月</c:v>
                </c:pt>
                <c:pt idx="2">
                  <c:v>1-4月</c:v>
                </c:pt>
                <c:pt idx="3">
                  <c:v>1-5月</c:v>
                </c:pt>
                <c:pt idx="4">
                  <c:v>1-6月</c:v>
                </c:pt>
                <c:pt idx="5">
                  <c:v>1-7月</c:v>
                </c:pt>
                <c:pt idx="6">
                  <c:v>1-8月</c:v>
                </c:pt>
                <c:pt idx="7">
                  <c:v>1-9月</c:v>
                </c:pt>
                <c:pt idx="8">
                  <c:v>1-10月</c:v>
                </c:pt>
                <c:pt idx="9">
                  <c:v>1-12月</c:v>
                </c:pt>
              </c:strCache>
            </c:strRef>
          </c:cat>
          <c:val>
            <c:numRef>
              <c:f>'[2024年1-6月--2025年1-10月主要经济 指标数据 (表格)6张 - 副本.xlsx]固定资产'!$E$10:$E$19</c:f>
              <c:numCache>
                <c:formatCode>0.0_ </c:formatCode>
                <c:ptCount val="10"/>
                <c:pt idx="0">
                  <c:v>15.5</c:v>
                </c:pt>
                <c:pt idx="1">
                  <c:v>-25.2</c:v>
                </c:pt>
                <c:pt idx="2">
                  <c:v>63.3</c:v>
                </c:pt>
                <c:pt idx="3">
                  <c:v>11.4</c:v>
                </c:pt>
                <c:pt idx="4">
                  <c:v>15</c:v>
                </c:pt>
                <c:pt idx="5">
                  <c:v>89.7</c:v>
                </c:pt>
                <c:pt idx="6">
                  <c:v>66.4</c:v>
                </c:pt>
                <c:pt idx="7">
                  <c:v>39.7</c:v>
                </c:pt>
                <c:pt idx="8">
                  <c:v>31.4</c:v>
                </c:pt>
                <c:pt idx="9">
                  <c:v>30</c:v>
                </c:pt>
              </c:numCache>
            </c:numRef>
          </c:val>
          <c:smooth val="0"/>
        </c:ser>
        <c:dLbls>
          <c:showLegendKey val="0"/>
          <c:showVal val="0"/>
          <c:showCatName val="0"/>
          <c:showSerName val="0"/>
          <c:showPercent val="0"/>
          <c:showBubbleSize val="0"/>
        </c:dLbls>
        <c:marker val="1"/>
        <c:smooth val="0"/>
        <c:axId val="573305915"/>
        <c:axId val="598851354"/>
      </c:lineChart>
      <c:catAx>
        <c:axId val="2228518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6489673"/>
        <c:crosses val="autoZero"/>
        <c:auto val="1"/>
        <c:lblAlgn val="ctr"/>
        <c:lblOffset val="100"/>
        <c:noMultiLvlLbl val="0"/>
      </c:catAx>
      <c:valAx>
        <c:axId val="526489673"/>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in"/>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2851827"/>
        <c:crosses val="autoZero"/>
        <c:crossBetween val="between"/>
      </c:valAx>
      <c:catAx>
        <c:axId val="573305915"/>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8851354"/>
        <c:crosses val="autoZero"/>
        <c:auto val="1"/>
        <c:lblAlgn val="ctr"/>
        <c:lblOffset val="100"/>
        <c:noMultiLvlLbl val="0"/>
      </c:catAx>
      <c:valAx>
        <c:axId val="598851354"/>
        <c:scaling>
          <c:orientation val="minMax"/>
        </c:scaling>
        <c:delete val="0"/>
        <c:axPos val="r"/>
        <c:numFmt formatCode="#,##0_ " sourceLinked="0"/>
        <c:majorTickMark val="in"/>
        <c:minorTickMark val="none"/>
        <c:tickLblPos val="nextTo"/>
        <c:spPr>
          <a:noFill/>
          <a:ln>
            <a:solidFill>
              <a:schemeClr val="accent1"/>
            </a:solidFill>
            <a:miter lim="800000"/>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3305915"/>
        <c:crosses val="max"/>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300" b="0" i="0" u="none" strike="noStrike" kern="1200" spc="0" baseline="0">
                <a:solidFill>
                  <a:schemeClr val="tx1">
                    <a:lumMod val="65000"/>
                    <a:lumOff val="35000"/>
                  </a:schemeClr>
                </a:solidFill>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defRPr>
            </a:pPr>
            <a:r>
              <a:rPr sz="1300">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rPr>
              <a:t>2025年</a:t>
            </a:r>
            <a:r>
              <a:rPr lang="en-US" altLang="zh-CN" sz="1300">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rPr>
              <a:t>1</a:t>
            </a:r>
            <a:r>
              <a:rPr sz="1300">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rPr>
              <a:t>-</a:t>
            </a:r>
            <a:r>
              <a:rPr lang="en-US" altLang="zh-CN" sz="1300">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rPr>
              <a:t>10</a:t>
            </a:r>
            <a:r>
              <a:rPr sz="1300">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rPr>
              <a:t>月限额以上社消零总额、增速与上年同期比情况</a:t>
            </a:r>
            <a:endParaRPr sz="1300">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endParaRPr>
          </a:p>
        </c:rich>
      </c:tx>
      <c:layout/>
      <c:overlay val="0"/>
      <c:spPr>
        <a:noFill/>
        <a:ln>
          <a:noFill/>
        </a:ln>
        <a:effectLst/>
      </c:spPr>
    </c:title>
    <c:autoTitleDeleted val="0"/>
    <c:plotArea>
      <c:layout>
        <c:manualLayout>
          <c:layoutTarget val="inner"/>
          <c:xMode val="edge"/>
          <c:yMode val="edge"/>
          <c:x val="0.282231705954642"/>
          <c:y val="0.105560200668896"/>
          <c:w val="0.645083677801363"/>
          <c:h val="0.598954849498328"/>
        </c:manualLayout>
      </c:layout>
      <c:barChart>
        <c:barDir val="col"/>
        <c:grouping val="clustered"/>
        <c:varyColors val="0"/>
        <c:ser>
          <c:idx val="0"/>
          <c:order val="0"/>
          <c:tx>
            <c:strRef>
              <c:f>'[2024年1-6月--2025年1-10月主要经济 指标数据 (表格)6张 - 副本.xlsx]社消零'!$B$15</c:f>
              <c:strCache>
                <c:ptCount val="1"/>
                <c:pt idx="0">
                  <c:v>2024年绝对额（万元）</c:v>
                </c:pt>
              </c:strCache>
            </c:strRef>
          </c:tx>
          <c:spPr>
            <a:gradFill>
              <a:gsLst>
                <a:gs pos="0">
                  <a:srgbClr val="14CD68"/>
                </a:gs>
                <a:gs pos="100000">
                  <a:srgbClr val="0B6E38"/>
                </a:gs>
              </a:gsLst>
              <a:lin ang="5400000" scaled="0"/>
            </a:gradFill>
            <a:ln>
              <a:noFill/>
            </a:ln>
            <a:effectLst/>
          </c:spPr>
          <c:invertIfNegative val="0"/>
          <c:dLbls>
            <c:delete val="1"/>
          </c:dLbls>
          <c:cat>
            <c:strRef>
              <c:f>'[2024年1-6月--2025年1-10月主要经济 指标数据 (表格)6张 - 副本.xlsx]社消零'!$A$16:$A$25</c:f>
              <c:strCache>
                <c:ptCount val="10"/>
                <c:pt idx="0">
                  <c:v>1-2月</c:v>
                </c:pt>
                <c:pt idx="1">
                  <c:v>1-3月</c:v>
                </c:pt>
                <c:pt idx="2">
                  <c:v>1-4月</c:v>
                </c:pt>
                <c:pt idx="3">
                  <c:v>1-5月</c:v>
                </c:pt>
                <c:pt idx="4">
                  <c:v>1-6月</c:v>
                </c:pt>
                <c:pt idx="5">
                  <c:v>1-7月</c:v>
                </c:pt>
                <c:pt idx="6">
                  <c:v>1-8月</c:v>
                </c:pt>
                <c:pt idx="7">
                  <c:v>1-9月</c:v>
                </c:pt>
                <c:pt idx="8">
                  <c:v>1-10月</c:v>
                </c:pt>
                <c:pt idx="9">
                  <c:v>1-12月</c:v>
                </c:pt>
              </c:strCache>
            </c:strRef>
          </c:cat>
          <c:val>
            <c:numRef>
              <c:f>'[2024年1-6月--2025年1-10月主要经济 指标数据 (表格)6张 - 副本.xlsx]社消零'!$B$16:$B$25</c:f>
              <c:numCache>
                <c:formatCode>General</c:formatCode>
                <c:ptCount val="10"/>
                <c:pt idx="0">
                  <c:v>1032</c:v>
                </c:pt>
                <c:pt idx="1">
                  <c:v>2219</c:v>
                </c:pt>
                <c:pt idx="2">
                  <c:v>2831</c:v>
                </c:pt>
                <c:pt idx="3">
                  <c:v>3480</c:v>
                </c:pt>
                <c:pt idx="4">
                  <c:v>3960</c:v>
                </c:pt>
                <c:pt idx="5" c:formatCode="0_ ">
                  <c:v>4486.9</c:v>
                </c:pt>
                <c:pt idx="6" c:formatCode="0_ ">
                  <c:v>5160.6</c:v>
                </c:pt>
                <c:pt idx="7" c:formatCode="0_ ">
                  <c:v>7128.3</c:v>
                </c:pt>
                <c:pt idx="8" c:formatCode="0_ ">
                  <c:v>7879.2</c:v>
                </c:pt>
                <c:pt idx="9" c:formatCode="0_ ">
                  <c:v>9288.1</c:v>
                </c:pt>
              </c:numCache>
            </c:numRef>
          </c:val>
        </c:ser>
        <c:ser>
          <c:idx val="2"/>
          <c:order val="2"/>
          <c:tx>
            <c:strRef>
              <c:f>'[2024年1-6月--2025年1-10月主要经济 指标数据 (表格)6张 - 副本.xlsx]社消零'!$D$15</c:f>
              <c:strCache>
                <c:ptCount val="1"/>
                <c:pt idx="0">
                  <c:v>2025年绝对额（万元）</c:v>
                </c:pt>
              </c:strCache>
            </c:strRef>
          </c:tx>
          <c:spPr>
            <a:gradFill>
              <a:gsLst>
                <a:gs pos="12000">
                  <a:srgbClr val="F390A5"/>
                </a:gs>
                <a:gs pos="97000">
                  <a:srgbClr val="DC187D"/>
                </a:gs>
              </a:gsLst>
              <a:lin ang="5400000" scaled="0"/>
            </a:gradFill>
            <a:ln>
              <a:noFill/>
            </a:ln>
            <a:effectLst/>
          </c:spPr>
          <c:invertIfNegative val="0"/>
          <c:dPt>
            <c:idx val="8"/>
            <c:invertIfNegative val="0"/>
            <c:bubble3D val="0"/>
            <c:spPr>
              <a:gradFill>
                <a:gsLst>
                  <a:gs pos="12000">
                    <a:srgbClr val="F390A5"/>
                  </a:gs>
                  <a:gs pos="97000">
                    <a:srgbClr val="DC187D"/>
                  </a:gs>
                </a:gsLst>
                <a:lin ang="5400000" scaled="0"/>
              </a:gradFill>
              <a:ln>
                <a:noFill/>
              </a:ln>
              <a:effectLst/>
            </c:spPr>
          </c:dPt>
          <c:dPt>
            <c:idx val="9"/>
            <c:invertIfNegative val="0"/>
            <c:bubble3D val="0"/>
            <c:spPr>
              <a:gradFill>
                <a:gsLst>
                  <a:gs pos="0">
                    <a:srgbClr val="FE4444"/>
                  </a:gs>
                  <a:gs pos="100000">
                    <a:srgbClr val="832B2B"/>
                  </a:gs>
                </a:gsLst>
                <a:lin ang="5400000" scaled="0"/>
              </a:gradFill>
              <a:ln>
                <a:noFill/>
              </a:ln>
              <a:effectLst/>
            </c:spPr>
          </c:dPt>
          <c:dLbls>
            <c:delete val="1"/>
          </c:dLbls>
          <c:cat>
            <c:strRef>
              <c:f>'[2024年1-6月--2025年1-10月主要经济 指标数据 (表格)6张 - 副本.xlsx]社消零'!$A$16:$A$25</c:f>
              <c:strCache>
                <c:ptCount val="10"/>
                <c:pt idx="0">
                  <c:v>1-2月</c:v>
                </c:pt>
                <c:pt idx="1">
                  <c:v>1-3月</c:v>
                </c:pt>
                <c:pt idx="2">
                  <c:v>1-4月</c:v>
                </c:pt>
                <c:pt idx="3">
                  <c:v>1-5月</c:v>
                </c:pt>
                <c:pt idx="4">
                  <c:v>1-6月</c:v>
                </c:pt>
                <c:pt idx="5">
                  <c:v>1-7月</c:v>
                </c:pt>
                <c:pt idx="6">
                  <c:v>1-8月</c:v>
                </c:pt>
                <c:pt idx="7">
                  <c:v>1-9月</c:v>
                </c:pt>
                <c:pt idx="8">
                  <c:v>1-10月</c:v>
                </c:pt>
                <c:pt idx="9">
                  <c:v>1-12月</c:v>
                </c:pt>
              </c:strCache>
            </c:strRef>
          </c:cat>
          <c:val>
            <c:numRef>
              <c:f>'[2024年1-6月--2025年1-10月主要经济 指标数据 (表格)6张 - 副本.xlsx]社消零'!$D$16:$D$25</c:f>
              <c:numCache>
                <c:formatCode>General</c:formatCode>
                <c:ptCount val="10"/>
                <c:pt idx="0">
                  <c:v>3690</c:v>
                </c:pt>
                <c:pt idx="1">
                  <c:v>4583</c:v>
                </c:pt>
                <c:pt idx="2" c:formatCode="0_ ">
                  <c:v>5672.5</c:v>
                </c:pt>
                <c:pt idx="3" c:formatCode="0_ ">
                  <c:v>7198</c:v>
                </c:pt>
                <c:pt idx="4" c:formatCode="0_ ">
                  <c:v>8839</c:v>
                </c:pt>
                <c:pt idx="5" c:formatCode="0_ ">
                  <c:v>10076.8</c:v>
                </c:pt>
                <c:pt idx="6" c:formatCode="0_ ">
                  <c:v>11691.4</c:v>
                </c:pt>
                <c:pt idx="7" c:formatCode="0_ ">
                  <c:v>8554.2</c:v>
                </c:pt>
                <c:pt idx="8" c:formatCode="0_ ">
                  <c:v>9300.3</c:v>
                </c:pt>
                <c:pt idx="9" c:formatCode="0_ ">
                  <c:v>10500</c:v>
                </c:pt>
              </c:numCache>
            </c:numRef>
          </c:val>
        </c:ser>
        <c:dLbls>
          <c:showLegendKey val="0"/>
          <c:showVal val="0"/>
          <c:showCatName val="0"/>
          <c:showSerName val="0"/>
          <c:showPercent val="0"/>
          <c:showBubbleSize val="0"/>
        </c:dLbls>
        <c:gapWidth val="219"/>
        <c:overlap val="-27"/>
        <c:axId val="100833278"/>
        <c:axId val="604697232"/>
      </c:barChart>
      <c:lineChart>
        <c:grouping val="standard"/>
        <c:varyColors val="0"/>
        <c:ser>
          <c:idx val="1"/>
          <c:order val="1"/>
          <c:tx>
            <c:strRef>
              <c:f>'[2024年1-6月--2025年1-10月主要经济 指标数据 (表格)6张 - 副本.xlsx]社消零'!$C$15</c:f>
              <c:strCache>
                <c:ptCount val="1"/>
                <c:pt idx="0">
                  <c:v>2024年增速%</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dLbls>
            <c:delete val="1"/>
          </c:dLbls>
          <c:cat>
            <c:strRef>
              <c:f>'[2024年1-6月--2025年1-10月主要经济 指标数据 (表格)6张 - 副本.xlsx]社消零'!$A$16:$A$25</c:f>
              <c:strCache>
                <c:ptCount val="10"/>
                <c:pt idx="0">
                  <c:v>1-2月</c:v>
                </c:pt>
                <c:pt idx="1">
                  <c:v>1-3月</c:v>
                </c:pt>
                <c:pt idx="2">
                  <c:v>1-4月</c:v>
                </c:pt>
                <c:pt idx="3">
                  <c:v>1-5月</c:v>
                </c:pt>
                <c:pt idx="4">
                  <c:v>1-6月</c:v>
                </c:pt>
                <c:pt idx="5">
                  <c:v>1-7月</c:v>
                </c:pt>
                <c:pt idx="6">
                  <c:v>1-8月</c:v>
                </c:pt>
                <c:pt idx="7">
                  <c:v>1-9月</c:v>
                </c:pt>
                <c:pt idx="8">
                  <c:v>1-10月</c:v>
                </c:pt>
                <c:pt idx="9">
                  <c:v>1-12月</c:v>
                </c:pt>
              </c:strCache>
            </c:strRef>
          </c:cat>
          <c:val>
            <c:numRef>
              <c:f>'[2024年1-6月--2025年1-10月主要经济 指标数据 (表格)6张 - 副本.xlsx]社消零'!$C$16:$C$25</c:f>
              <c:numCache>
                <c:formatCode>0.0_ </c:formatCode>
                <c:ptCount val="10"/>
                <c:pt idx="0">
                  <c:v>-10.4</c:v>
                </c:pt>
                <c:pt idx="1">
                  <c:v>22.27</c:v>
                </c:pt>
                <c:pt idx="2">
                  <c:v>17.76</c:v>
                </c:pt>
                <c:pt idx="3">
                  <c:v>21.56</c:v>
                </c:pt>
                <c:pt idx="4">
                  <c:v>13.3</c:v>
                </c:pt>
                <c:pt idx="5">
                  <c:v>12.23</c:v>
                </c:pt>
                <c:pt idx="6">
                  <c:v>7.3</c:v>
                </c:pt>
                <c:pt idx="7">
                  <c:v>11.3</c:v>
                </c:pt>
                <c:pt idx="8">
                  <c:v>7.2</c:v>
                </c:pt>
                <c:pt idx="9">
                  <c:v>4.8</c:v>
                </c:pt>
              </c:numCache>
            </c:numRef>
          </c:val>
          <c:smooth val="0"/>
        </c:ser>
        <c:ser>
          <c:idx val="3"/>
          <c:order val="3"/>
          <c:tx>
            <c:strRef>
              <c:f>'[2024年1-6月--2025年1-10月主要经济 指标数据 (表格)6张 - 副本.xlsx]社消零'!$E$15</c:f>
              <c:strCache>
                <c:ptCount val="1"/>
                <c:pt idx="0">
                  <c:v>2025年增速%</c:v>
                </c:pt>
              </c:strCache>
            </c:strRef>
          </c:tx>
          <c:spPr>
            <a:ln w="28575" cap="rnd">
              <a:solidFill>
                <a:srgbClr val="DC187D"/>
              </a:solidFill>
              <a:round/>
            </a:ln>
            <a:effectLst/>
          </c:spPr>
          <c:marker>
            <c:symbol val="circle"/>
            <c:size val="5"/>
            <c:spPr>
              <a:solidFill>
                <a:srgbClr val="DC187D"/>
              </a:solidFill>
              <a:ln w="9525">
                <a:solidFill>
                  <a:srgbClr val="DC187D"/>
                </a:solidFill>
              </a:ln>
              <a:effectLst/>
            </c:spPr>
          </c:marker>
          <c:dLbls>
            <c:delete val="1"/>
          </c:dLbls>
          <c:cat>
            <c:strRef>
              <c:f>'[2024年1-6月--2025年1-10月主要经济 指标数据 (表格)6张 - 副本.xlsx]社消零'!$A$16:$A$25</c:f>
              <c:strCache>
                <c:ptCount val="10"/>
                <c:pt idx="0">
                  <c:v>1-2月</c:v>
                </c:pt>
                <c:pt idx="1">
                  <c:v>1-3月</c:v>
                </c:pt>
                <c:pt idx="2">
                  <c:v>1-4月</c:v>
                </c:pt>
                <c:pt idx="3">
                  <c:v>1-5月</c:v>
                </c:pt>
                <c:pt idx="4">
                  <c:v>1-6月</c:v>
                </c:pt>
                <c:pt idx="5">
                  <c:v>1-7月</c:v>
                </c:pt>
                <c:pt idx="6">
                  <c:v>1-8月</c:v>
                </c:pt>
                <c:pt idx="7">
                  <c:v>1-9月</c:v>
                </c:pt>
                <c:pt idx="8">
                  <c:v>1-10月</c:v>
                </c:pt>
                <c:pt idx="9">
                  <c:v>1-12月</c:v>
                </c:pt>
              </c:strCache>
            </c:strRef>
          </c:cat>
          <c:val>
            <c:numRef>
              <c:f>'[2024年1-6月--2025年1-10月主要经济 指标数据 (表格)6张 - 副本.xlsx]社消零'!$E$16:$E$25</c:f>
              <c:numCache>
                <c:formatCode>0.0_ </c:formatCode>
                <c:ptCount val="10"/>
                <c:pt idx="0">
                  <c:v>133.12</c:v>
                </c:pt>
                <c:pt idx="1">
                  <c:v>49.7</c:v>
                </c:pt>
                <c:pt idx="2">
                  <c:v>29</c:v>
                </c:pt>
                <c:pt idx="3">
                  <c:v>31.2</c:v>
                </c:pt>
                <c:pt idx="4">
                  <c:v>39.1</c:v>
                </c:pt>
                <c:pt idx="5">
                  <c:v>38.6</c:v>
                </c:pt>
                <c:pt idx="6">
                  <c:v>45.3</c:v>
                </c:pt>
                <c:pt idx="7">
                  <c:v>39.2</c:v>
                </c:pt>
                <c:pt idx="8">
                  <c:v>28.4</c:v>
                </c:pt>
                <c:pt idx="9">
                  <c:v>13</c:v>
                </c:pt>
              </c:numCache>
            </c:numRef>
          </c:val>
          <c:smooth val="0"/>
        </c:ser>
        <c:dLbls>
          <c:showLegendKey val="0"/>
          <c:showVal val="0"/>
          <c:showCatName val="0"/>
          <c:showSerName val="0"/>
          <c:showPercent val="0"/>
          <c:showBubbleSize val="0"/>
        </c:dLbls>
        <c:marker val="1"/>
        <c:smooth val="0"/>
        <c:axId val="956034746"/>
        <c:axId val="965601999"/>
      </c:lineChart>
      <c:catAx>
        <c:axId val="9560347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5601999"/>
        <c:crosses val="autoZero"/>
        <c:auto val="1"/>
        <c:lblAlgn val="ctr"/>
        <c:lblOffset val="100"/>
        <c:noMultiLvlLbl val="0"/>
      </c:catAx>
      <c:valAx>
        <c:axId val="965601999"/>
        <c:scaling>
          <c:orientation val="minMax"/>
        </c:scaling>
        <c:delete val="0"/>
        <c:axPos val="l"/>
        <c:majorGridlines>
          <c:spPr>
            <a:ln w="9525" cap="flat" cmpd="sng" algn="ctr">
              <a:solidFill>
                <a:schemeClr val="tx1">
                  <a:lumMod val="15000"/>
                  <a:lumOff val="85000"/>
                </a:schemeClr>
              </a:solidFill>
              <a:round/>
            </a:ln>
            <a:effectLst/>
          </c:spPr>
        </c:majorGridlines>
        <c:numFmt formatCode="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6034746"/>
        <c:crosses val="autoZero"/>
        <c:crossBetween val="between"/>
      </c:valAx>
      <c:catAx>
        <c:axId val="100833278"/>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4697232"/>
        <c:crosses val="autoZero"/>
        <c:auto val="1"/>
        <c:lblAlgn val="ctr"/>
        <c:lblOffset val="100"/>
        <c:noMultiLvlLbl val="0"/>
      </c:catAx>
      <c:valAx>
        <c:axId val="604697232"/>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833278"/>
        <c:crosses val="max"/>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1198</Words>
  <Characters>1569</Characters>
  <Lines>100</Lines>
  <Paragraphs>28</Paragraphs>
  <TotalTime>24</TotalTime>
  <ScaleCrop>false</ScaleCrop>
  <LinksUpToDate>false</LinksUpToDate>
  <CharactersWithSpaces>1573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2024-07-13T15:41:00Z</dcterms:created>
  <dc:creator>Administrator</dc:creator>
  <cp:lastModifiedBy>Administrator</cp:lastModifiedBy>
  <cp:lastPrinted>2025-07-21T10:44:00Z</cp:lastPrinted>
  <dcterms:modified xsi:type="dcterms:W3CDTF">2025-12-30T07:57:44Z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6EAAE874A16447028ED601EFD636E26D_12</vt:lpwstr>
  </property>
  <property fmtid="{D5CDD505-2E9C-101B-9397-08002B2CF9AE}" pid="4" name="KSOTemplateDocerSaveRecord">
    <vt:lpwstr>eyJoZGlkIjoiNWY3Nzg1MTA0MmQyYzk0N2FmOWIxNTAxNzE2NTZjM2MiLCJ1c2VySWQiOiIxMzUyMzAyODMyIn0=</vt:lpwstr>
  </property>
</Properties>
</file>