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70" w:lineRule="exact"/>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英吉沙县国土空间总体规划（2021—2035年）</w:t>
      </w:r>
    </w:p>
    <w:p>
      <w:pPr>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动态维护方案（2026年度）—公示稿</w:t>
      </w:r>
    </w:p>
    <w:p>
      <w:pPr>
        <w:snapToGrid w:val="0"/>
        <w:spacing w:line="570" w:lineRule="exact"/>
        <w:jc w:val="center"/>
        <w:rPr>
          <w:rFonts w:hint="default" w:ascii="Times New Roman" w:hAnsi="Times New Roman" w:eastAsia="方正小标宋_GBK" w:cs="Times New Roman"/>
          <w:sz w:val="32"/>
          <w:szCs w:val="32"/>
        </w:rPr>
      </w:pPr>
    </w:p>
    <w:p>
      <w:pPr>
        <w:pStyle w:val="2"/>
        <w:snapToGrid w:val="0"/>
        <w:spacing w:before="0" w:after="0" w:line="570" w:lineRule="exact"/>
        <w:jc w:val="both"/>
        <w:rPr>
          <w:rFonts w:hint="default" w:ascii="Times New Roman" w:hAnsi="Times New Roman" w:eastAsia="方正黑体_GBK" w:cs="Times New Roman"/>
          <w:b w:val="0"/>
          <w:bCs w:val="0"/>
          <w:spacing w:val="6"/>
          <w:sz w:val="32"/>
          <w:szCs w:val="32"/>
        </w:rPr>
      </w:pPr>
      <w:bookmarkStart w:id="0" w:name="_Toc31462"/>
      <w:r>
        <w:rPr>
          <w:rFonts w:hint="default" w:ascii="Times New Roman" w:hAnsi="Times New Roman" w:eastAsia="方正黑体_GBK" w:cs="Times New Roman"/>
          <w:b w:val="0"/>
          <w:bCs w:val="0"/>
          <w:spacing w:val="6"/>
          <w:sz w:val="32"/>
          <w:szCs w:val="32"/>
        </w:rPr>
        <w:t>一、前言</w:t>
      </w:r>
      <w:bookmarkEnd w:id="0"/>
    </w:p>
    <w:p>
      <w:pPr>
        <w:pStyle w:val="3"/>
        <w:snapToGrid w:val="0"/>
        <w:spacing w:before="0" w:after="0" w:line="570" w:lineRule="exact"/>
        <w:rPr>
          <w:rFonts w:hint="default" w:ascii="Times New Roman" w:hAnsi="Times New Roman" w:eastAsia="方正楷体_GBK" w:cs="Times New Roman"/>
          <w:b/>
          <w:bCs/>
          <w:spacing w:val="6"/>
        </w:rPr>
      </w:pPr>
      <w:bookmarkStart w:id="1" w:name="_Toc14937"/>
      <w:r>
        <w:rPr>
          <w:rFonts w:hint="default" w:ascii="Times New Roman" w:hAnsi="Times New Roman" w:eastAsia="方正楷体_GBK" w:cs="Times New Roman"/>
          <w:b/>
          <w:bCs/>
          <w:spacing w:val="6"/>
        </w:rPr>
        <w:t>1.1工作背景</w:t>
      </w:r>
      <w:bookmarkEnd w:id="1"/>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深入贯彻落实党中央、国务院关于国土空间规划体系建设的决策部署，衔接自然资源部关于国土空间总体规划动态调整完善的工作部署，执行《自治区自然资源厅关于开展全区国土空间总体规划动态调整完善工作的通知》要求及自然资源厅统一工作安排，落实国家、自治区、喀什地区“十五五”规划发展要求，加强空间布局引领和自然资源要素配置，破解规划实施过程中用地供需矛盾、空间布局零散、产业发展与空间载体不匹配等突出问题，适配县域生态保护、矿产开发、城镇发展等新形势新需求，特开展本次国土空间总体规划动态维护工作。</w:t>
      </w:r>
    </w:p>
    <w:p>
      <w:pPr>
        <w:pStyle w:val="3"/>
        <w:snapToGrid w:val="0"/>
        <w:spacing w:before="0" w:after="0" w:line="570" w:lineRule="exact"/>
        <w:rPr>
          <w:rFonts w:hint="default" w:ascii="Times New Roman" w:hAnsi="Times New Roman" w:eastAsia="方正楷体_GBK" w:cs="Times New Roman"/>
          <w:b/>
          <w:bCs/>
          <w:spacing w:val="6"/>
        </w:rPr>
      </w:pPr>
      <w:bookmarkStart w:id="2" w:name="_Toc15803"/>
      <w:r>
        <w:rPr>
          <w:rFonts w:hint="default" w:ascii="Times New Roman" w:hAnsi="Times New Roman" w:eastAsia="方正楷体_GBK" w:cs="Times New Roman"/>
          <w:b/>
          <w:bCs/>
          <w:spacing w:val="6"/>
        </w:rPr>
        <w:t>1.2编制目的</w:t>
      </w:r>
      <w:bookmarkEnd w:id="2"/>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全面贯彻党的二十届四中全会精神，强化自然资源要素配置，提升国土空间利用效率和规划科学性、时效性，发挥国土空间规划的战略引领和刚性约束作用，保障县域“十五五”期间重大项目落地实施，为英吉沙县高质量发展提供坚实空间保障。</w:t>
      </w:r>
    </w:p>
    <w:p>
      <w:pPr>
        <w:pStyle w:val="3"/>
        <w:snapToGrid w:val="0"/>
        <w:spacing w:before="0" w:after="0" w:line="570" w:lineRule="exact"/>
        <w:rPr>
          <w:rFonts w:hint="default" w:ascii="Times New Roman" w:hAnsi="Times New Roman" w:eastAsia="方正楷体_GBK" w:cs="Times New Roman"/>
          <w:b/>
          <w:bCs/>
          <w:spacing w:val="6"/>
        </w:rPr>
      </w:pPr>
      <w:bookmarkStart w:id="3" w:name="_Toc7443"/>
      <w:r>
        <w:rPr>
          <w:rFonts w:hint="default" w:ascii="Times New Roman" w:hAnsi="Times New Roman" w:eastAsia="方正楷体_GBK" w:cs="Times New Roman"/>
          <w:b/>
          <w:bCs/>
          <w:spacing w:val="6"/>
        </w:rPr>
        <w:t>1.3编制依据</w:t>
      </w:r>
      <w:bookmarkEnd w:id="3"/>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（1）法律法规</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《中华人民共和国土地管理法》（2019年修正）</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《中华人民共和国城乡规划法》（2019年修正）</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《中华人民共和国土地管理法实施条例》（2021年修订）</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《中华人民共和国环境保护法》（2014年修正）</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《中华人民共和国水法》（2016年修正）</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《中华人民共和国防洪法》（2016年）</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《中华人民共和国河道管理条例》（2018年修订）</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《中华人民共和国森林法》（2019年修正）</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《中华人民共和国湿地保护法》（2021年）</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《新疆维吾尔自治区湿地保护条例》（2020年修正）</w:t>
      </w:r>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（2）国家、自治区政策</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《中共中央 国务院关于建立国土空间规划体系并监督实施的若干意见》（中发〔2019〕18号）；</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《中共中央办公厅 国务院办公厅印发〈关于在国土空间规划中统筹划定落实三条控制线的指导意见〉的通知》（厅发〔2019〕48号）；</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《自然资源部办公厅关于加强国土空间规划监督管理的通知》（自然资办发〔2020〕27号）</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《自然资源部关于在全国开展“三区三线”划定工作的函》（自然资函〔2022〕47号）</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《自然资源部关于在经济发展用地要素保障工作中严守底线的通知》（自然资发〔2023〕90号）</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《自然资源部 国家林业和草原局关于进一步做好自然资源要素保障的通知》（自然资发〔2026〕38号）</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《自然资源部办公厅 国家林业和草原局办公室 关于印发〈耕地保护和国土绿化空间专项规划编制工作方案〉的函》（自然资办函〔2026〕124号）</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《自治区自然资源厅关于开展全区国土空间总体规划动态调整完善工作的通知》（新自然资办发〔2026〕13号）；</w:t>
      </w:r>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（3）技术规范</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《市级国土空间总体规划编制指南（试行）》（2020年9月）</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《自然资源部关于印发〈国土空间调查、规划、用途管制用地用海分类指南〉的通知》（自然资发〔2023〕234号）</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《全国“三区三线”划定规则》（自然资函〔2022〕47号）</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《永久基本农田保护红线管理办法》（自然资源部、农业农村部令第17号）</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《自然资源部关于印发〈城镇开发边界管理办法（试行）〉的通知》（自然资规〔2026〕1号）</w:t>
      </w:r>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（4）其他文件依据</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《喀什地区国土空间总体规划（2021—2035年）》</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《英吉沙县国土空间总体规划（2021—2035年）》；</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国家、自治区、地区其他相关法律法规、规章和标准规范。</w:t>
      </w:r>
    </w:p>
    <w:p>
      <w:pPr>
        <w:pStyle w:val="3"/>
        <w:snapToGrid w:val="0"/>
        <w:spacing w:before="0" w:after="0" w:line="570" w:lineRule="exact"/>
        <w:rPr>
          <w:rFonts w:hint="default" w:ascii="Times New Roman" w:hAnsi="Times New Roman" w:eastAsia="方正楷体_GBK" w:cs="Times New Roman"/>
          <w:b/>
          <w:bCs/>
          <w:spacing w:val="6"/>
        </w:rPr>
      </w:pPr>
      <w:bookmarkStart w:id="4" w:name="_Toc30342"/>
      <w:r>
        <w:rPr>
          <w:rFonts w:hint="default" w:ascii="Times New Roman" w:hAnsi="Times New Roman" w:eastAsia="方正楷体_GBK" w:cs="Times New Roman"/>
          <w:b/>
          <w:bCs/>
          <w:spacing w:val="6"/>
        </w:rPr>
        <w:t>1.4编制范围</w:t>
      </w:r>
      <w:bookmarkEnd w:id="4"/>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本次动态维护工作的编制范围与已批复的《英吉沙县国土空间总体规划（2021-2035 年）》范围一致，为英吉沙县行政管辖全域范围。</w:t>
      </w:r>
    </w:p>
    <w:p>
      <w:pPr>
        <w:pStyle w:val="3"/>
        <w:snapToGrid w:val="0"/>
        <w:spacing w:before="0" w:after="0" w:line="570" w:lineRule="exact"/>
        <w:rPr>
          <w:rFonts w:hint="default" w:ascii="Times New Roman" w:hAnsi="Times New Roman" w:eastAsia="方正楷体_GBK" w:cs="Times New Roman"/>
          <w:b/>
          <w:bCs/>
          <w:spacing w:val="6"/>
        </w:rPr>
      </w:pPr>
      <w:bookmarkStart w:id="5" w:name="_Toc10219"/>
      <w:r>
        <w:rPr>
          <w:rFonts w:hint="default" w:ascii="Times New Roman" w:hAnsi="Times New Roman" w:eastAsia="方正楷体_GBK" w:cs="Times New Roman"/>
          <w:b/>
          <w:bCs/>
          <w:spacing w:val="6"/>
        </w:rPr>
        <w:t>1.5编制原则</w:t>
      </w:r>
      <w:bookmarkEnd w:id="5"/>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（1）保护优先、守牢底线</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坚持耕地保护优先，确保国家粮食安全底线；坚持生态优先，维护生态系统稳定性，坚持节约集约，促进土地高效利用和空间治理效能显著提升。</w:t>
      </w:r>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（2）问题导向、评估先行</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通过国土空间规划体检评估，全面掌握国土空间总体规划实施情况，及时发现国土空间开发保护中存在的问题。</w:t>
      </w:r>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（3）规划引领、系统谋划</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坚持国土空间规划是空间发展的指南、可持续发展的空间蓝图，是各类开发保护建设活动的基本依据。按照“大稳定、小调整”的总体原则，分年度开展国土空间规划动态维护。</w:t>
      </w:r>
    </w:p>
    <w:p>
      <w:pPr>
        <w:pStyle w:val="3"/>
        <w:snapToGrid w:val="0"/>
        <w:spacing w:before="0" w:after="0" w:line="570" w:lineRule="exact"/>
        <w:rPr>
          <w:rFonts w:hint="default" w:ascii="Times New Roman" w:hAnsi="Times New Roman" w:eastAsia="方正楷体_GBK" w:cs="Times New Roman"/>
          <w:b/>
          <w:bCs/>
          <w:spacing w:val="6"/>
        </w:rPr>
      </w:pPr>
      <w:r>
        <w:rPr>
          <w:rFonts w:hint="default" w:ascii="Times New Roman" w:hAnsi="Times New Roman" w:eastAsia="方正楷体_GBK" w:cs="Times New Roman"/>
          <w:b/>
          <w:bCs/>
          <w:spacing w:val="6"/>
        </w:rPr>
        <w:t>1.6维护重点</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本次国土空间总体规划动态维护主要针对城镇开发边界、规划分区、中心城区用地规划布局、城市重要控制线、重点建设项目清单等进行局部优化调整。</w:t>
      </w:r>
    </w:p>
    <w:p>
      <w:pPr>
        <w:pStyle w:val="2"/>
        <w:snapToGrid w:val="0"/>
        <w:spacing w:before="0" w:after="0" w:line="570" w:lineRule="exact"/>
        <w:jc w:val="both"/>
        <w:rPr>
          <w:rFonts w:hint="default" w:ascii="Times New Roman" w:hAnsi="Times New Roman" w:eastAsia="方正黑体_GBK" w:cs="Times New Roman"/>
          <w:b w:val="0"/>
          <w:bCs w:val="0"/>
          <w:spacing w:val="6"/>
          <w:sz w:val="32"/>
          <w:szCs w:val="32"/>
        </w:rPr>
      </w:pPr>
      <w:r>
        <w:rPr>
          <w:rFonts w:hint="default" w:ascii="Times New Roman" w:hAnsi="Times New Roman" w:eastAsia="方正黑体_GBK" w:cs="Times New Roman"/>
          <w:b w:val="0"/>
          <w:bCs w:val="0"/>
          <w:spacing w:val="6"/>
          <w:sz w:val="32"/>
          <w:szCs w:val="32"/>
          <w:lang w:eastAsia="zh-CN"/>
        </w:rPr>
        <w:t>二、</w:t>
      </w:r>
      <w:r>
        <w:rPr>
          <w:rFonts w:hint="default" w:ascii="Times New Roman" w:hAnsi="Times New Roman" w:eastAsia="方正黑体_GBK" w:cs="Times New Roman"/>
          <w:b w:val="0"/>
          <w:bCs w:val="0"/>
          <w:spacing w:val="6"/>
          <w:sz w:val="32"/>
          <w:szCs w:val="32"/>
        </w:rPr>
        <w:t>动态维护方案</w:t>
      </w:r>
    </w:p>
    <w:p>
      <w:pPr>
        <w:pStyle w:val="3"/>
        <w:snapToGrid w:val="0"/>
        <w:spacing w:before="0" w:after="0" w:line="570" w:lineRule="exact"/>
        <w:rPr>
          <w:rFonts w:hint="default" w:ascii="Times New Roman" w:hAnsi="Times New Roman" w:eastAsia="方正楷体_GBK" w:cs="Times New Roman"/>
          <w:b/>
          <w:bCs/>
          <w:spacing w:val="6"/>
        </w:rPr>
      </w:pPr>
      <w:bookmarkStart w:id="6" w:name="_Toc27305"/>
      <w:r>
        <w:rPr>
          <w:rFonts w:hint="default" w:ascii="Times New Roman" w:hAnsi="Times New Roman" w:eastAsia="方正楷体_GBK" w:cs="Times New Roman"/>
          <w:b/>
          <w:bCs/>
          <w:spacing w:val="6"/>
        </w:rPr>
        <w:t xml:space="preserve">2.1 </w:t>
      </w:r>
      <w:bookmarkStart w:id="7" w:name="_Toc226540409"/>
      <w:r>
        <w:rPr>
          <w:rFonts w:hint="default" w:ascii="Times New Roman" w:hAnsi="Times New Roman" w:eastAsia="方正楷体_GBK" w:cs="Times New Roman"/>
          <w:b/>
          <w:bCs/>
          <w:spacing w:val="6"/>
        </w:rPr>
        <w:t>空间管控边界维护</w:t>
      </w:r>
      <w:bookmarkEnd w:id="6"/>
      <w:bookmarkEnd w:id="7"/>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（1）生态保护红线</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本次动态维护严格按照“任务不减少、功能有提升、布局更完善”的正向优化原则，重点解决红线内现状耕地和人工建设用地等历史遗留问题，以及与自然保护地整合优化成果的衔接问题。对经论证不具有重要生态功能的法定保护区域，经省级人民政府同意后相应调出；对新设重要湿地、自然保护地新增范围等及时划入。</w:t>
      </w:r>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（2）永久基本农田</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本次动态维护严格按照“数量不减少、质量生态有提升、布局更优化”的正向优化原则，纳入耕地保护和国土绿化空间专项规划阶段性成果，重点解决永久基本农田零碎化、与生态保护红线重叠、重大项目占压等问题。对位于城镇开发边界内、近期无耕地保护需求的零星地块进行调出；将“三区三线”划定后新形成的高标准农田、土地整治新增耕地等优质地块调入永久基本农田。</w:t>
      </w:r>
    </w:p>
    <w:p>
      <w:pPr>
        <w:snapToGrid w:val="0"/>
        <w:spacing w:line="570" w:lineRule="exact"/>
        <w:ind w:firstLine="664"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spacing w:val="6"/>
          <w:sz w:val="32"/>
          <w:szCs w:val="32"/>
        </w:rPr>
        <w:t xml:space="preserve"> </w:t>
      </w:r>
      <w:r>
        <w:rPr>
          <w:rFonts w:hint="default" w:ascii="Times New Roman" w:hAnsi="Times New Roman" w:eastAsia="方正仿宋_GBK" w:cs="Times New Roman"/>
          <w:b/>
          <w:bCs/>
          <w:spacing w:val="6"/>
          <w:sz w:val="32"/>
          <w:szCs w:val="32"/>
        </w:rPr>
        <w:t>（3）城镇开发边界</w:t>
      </w:r>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（1）调出类型与规模</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调出区域涉及近期无开发计划的零碎地块、边角地、已复垦建设用地等。调出情形主要包括：近期无开发建设计划的区域，新增建设用地内的经营性房地产项目等。调出总面积68.67公顷。</w:t>
      </w:r>
    </w:p>
    <w:p>
      <w:pPr>
        <w:adjustRightInd w:val="0"/>
        <w:snapToGrid w:val="0"/>
        <w:spacing w:line="570" w:lineRule="exact"/>
        <w:ind w:firstLine="667" w:firstLineChars="200"/>
        <w:rPr>
          <w:rFonts w:hint="default" w:ascii="Times New Roman" w:hAnsi="Times New Roman" w:eastAsia="方正仿宋_GBK" w:cs="Times New Roman"/>
          <w:b/>
          <w:bCs/>
          <w:spacing w:val="6"/>
          <w:sz w:val="32"/>
          <w:szCs w:val="32"/>
        </w:rPr>
      </w:pPr>
      <w:r>
        <w:rPr>
          <w:rFonts w:hint="default" w:ascii="Times New Roman" w:hAnsi="Times New Roman" w:eastAsia="方正仿宋_GBK" w:cs="Times New Roman"/>
          <w:b/>
          <w:bCs/>
          <w:spacing w:val="6"/>
          <w:sz w:val="32"/>
          <w:szCs w:val="32"/>
        </w:rPr>
        <w:t>（2）调入类型与规模</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调入区域主要涉及已批现状建设用地和“十五五”重点项目用地。调入情形主要包括：一是已依法依规批准且具备权属依据的现状城镇建设用地；二是为保障“十五五”重点产业项目落地的地块，特别是英吉沙工业园区扩展区等产业发展空间；三是为保障重大基础设施和公共服务设施的地块。调入面积68.67公顷，扩展系数不大于批复指标，与总体规划确定的发展方向一致。</w:t>
      </w:r>
    </w:p>
    <w:p>
      <w:pPr>
        <w:pStyle w:val="3"/>
        <w:snapToGrid w:val="0"/>
        <w:spacing w:before="0" w:after="0" w:line="570" w:lineRule="exact"/>
        <w:rPr>
          <w:rFonts w:hint="default" w:ascii="Times New Roman" w:hAnsi="Times New Roman" w:eastAsia="方正楷体_GBK" w:cs="Times New Roman"/>
          <w:b/>
          <w:bCs/>
          <w:spacing w:val="6"/>
        </w:rPr>
      </w:pPr>
      <w:r>
        <w:rPr>
          <w:rFonts w:hint="default" w:ascii="Times New Roman" w:hAnsi="Times New Roman" w:eastAsia="方正楷体_GBK" w:cs="Times New Roman"/>
          <w:b/>
          <w:bCs/>
          <w:spacing w:val="6"/>
        </w:rPr>
        <w:t>2.2 规划分区维护</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依据三条控制线正向优化成果，同步调整城镇发展区、乡村发展区等规划分区开展动态维护。维护后各级分区比例基本稳定，各类空间功能有效衔接。</w:t>
      </w:r>
    </w:p>
    <w:p>
      <w:pPr>
        <w:pStyle w:val="3"/>
        <w:snapToGrid w:val="0"/>
        <w:spacing w:before="0" w:after="0" w:line="570" w:lineRule="exact"/>
        <w:rPr>
          <w:rFonts w:hint="default" w:ascii="Times New Roman" w:hAnsi="Times New Roman" w:eastAsia="方正楷体_GBK" w:cs="Times New Roman"/>
          <w:b/>
          <w:bCs/>
          <w:spacing w:val="6"/>
        </w:rPr>
      </w:pPr>
      <w:r>
        <w:rPr>
          <w:rFonts w:hint="default" w:ascii="Times New Roman" w:hAnsi="Times New Roman" w:eastAsia="方正楷体_GBK" w:cs="Times New Roman"/>
          <w:b/>
          <w:bCs/>
          <w:spacing w:val="6"/>
        </w:rPr>
        <w:t>2.3 中心城区用地规划布局维护</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结合三条控制线、规划分区动态维护，以“严守底线、优化布局、保障发展、提升品质”为导向，在不改变城市总体格局和空间结构的基础上，衔接建设用地审批范围、城镇建设用地使用期限等，重点对绿地、交通、工业等用地进行局部优化，旨在保障“十五五”公用设施、民生等重点建设项目落地需求。</w:t>
      </w:r>
    </w:p>
    <w:p>
      <w:pPr>
        <w:pStyle w:val="3"/>
        <w:snapToGrid w:val="0"/>
        <w:spacing w:before="0" w:after="0" w:line="570" w:lineRule="exact"/>
        <w:rPr>
          <w:rFonts w:hint="default" w:ascii="Times New Roman" w:hAnsi="Times New Roman" w:eastAsia="方正楷体_GBK" w:cs="Times New Roman"/>
          <w:b/>
          <w:bCs/>
          <w:spacing w:val="6"/>
        </w:rPr>
      </w:pPr>
      <w:r>
        <w:rPr>
          <w:rFonts w:hint="default" w:ascii="Times New Roman" w:hAnsi="Times New Roman" w:eastAsia="方正楷体_GBK" w:cs="Times New Roman"/>
          <w:b/>
          <w:bCs/>
          <w:spacing w:val="6"/>
        </w:rPr>
        <w:t>2.4 城市“四线”维护</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在不突破已批复国土空间总体规划确定的城市“四线”规模，不改变整体空间布局的基础上，突出底线安全保障和公共利益优先的导向，结合相关专项规划、详细规划的深化细化，按照“保护更完善，布局更优化，功能有提升”的原则，会同相关行业主管部门充分论证，对城市绿线、蓝线、黄线进行调整。调整后格局保持稳定，功能更适配。</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城市绿线动态维护在布局规模稳定、功能服务不降低的前提下，结合用地审批、道路等专项规划优化边界，确保城市重要的结构性绿地纳入管控。</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城市蓝线动态维护在保障水系安全的前提下，依据水利、环保等部门新划定的保护范围进行更新，确保城市重要结构性、功能性、安全性水系纳入管控。</w:t>
      </w:r>
    </w:p>
    <w:p>
      <w:pPr>
        <w:snapToGrid w:val="0"/>
        <w:spacing w:line="570" w:lineRule="exact"/>
        <w:ind w:firstLine="664" w:firstLineChars="200"/>
        <w:rPr>
          <w:rFonts w:hint="default" w:ascii="Times New Roman" w:hAnsi="Times New Roman" w:eastAsia="方正仿宋_GBK" w:cs="Times New Roman"/>
          <w:spacing w:val="6"/>
          <w:sz w:val="32"/>
          <w:szCs w:val="32"/>
        </w:rPr>
      </w:pPr>
      <w:r>
        <w:rPr>
          <w:rFonts w:hint="default" w:ascii="Times New Roman" w:hAnsi="Times New Roman" w:eastAsia="方正仿宋_GBK" w:cs="Times New Roman"/>
          <w:spacing w:val="6"/>
          <w:sz w:val="32"/>
          <w:szCs w:val="32"/>
        </w:rPr>
        <w:t>城市黄线动态维护在功能服</w:t>
      </w:r>
      <w:bookmarkStart w:id="8" w:name="_GoBack"/>
      <w:bookmarkEnd w:id="8"/>
      <w:r>
        <w:rPr>
          <w:rFonts w:hint="default" w:ascii="Times New Roman" w:hAnsi="Times New Roman" w:eastAsia="方正仿宋_GBK" w:cs="Times New Roman"/>
          <w:spacing w:val="6"/>
          <w:sz w:val="32"/>
          <w:szCs w:val="32"/>
        </w:rPr>
        <w:t>务不降低的前提下，将已建成并持续使用的城市重大交通、市政及公共安全设施纳入管控，并结合市政、防灾等建设方案优化细化边界。</w:t>
      </w:r>
    </w:p>
    <w:p>
      <w:pPr>
        <w:snapToGrid w:val="0"/>
        <w:spacing w:line="570" w:lineRule="exact"/>
        <w:ind w:firstLine="664" w:firstLineChars="200"/>
        <w:rPr>
          <w:rFonts w:hint="default" w:ascii="Times New Roman" w:hAnsi="Times New Roman" w:eastAsia="宋体" w:cs="Times New Roman"/>
          <w:spacing w:val="6"/>
          <w:sz w:val="32"/>
          <w:szCs w:val="32"/>
        </w:rPr>
      </w:pPr>
    </w:p>
    <w:p>
      <w:pPr>
        <w:snapToGrid w:val="0"/>
        <w:spacing w:line="570" w:lineRule="exact"/>
        <w:ind w:firstLine="664" w:firstLineChars="200"/>
        <w:rPr>
          <w:rFonts w:hint="default" w:ascii="Times New Roman" w:hAnsi="Times New Roman" w:eastAsia="宋体" w:cs="Times New Roman"/>
          <w:spacing w:val="6"/>
          <w:sz w:val="32"/>
          <w:szCs w:val="32"/>
        </w:rPr>
      </w:pPr>
    </w:p>
    <w:p>
      <w:pPr>
        <w:snapToGrid w:val="0"/>
        <w:spacing w:line="570" w:lineRule="exact"/>
        <w:ind w:firstLine="664" w:firstLineChars="200"/>
        <w:rPr>
          <w:rFonts w:hint="default" w:ascii="Times New Roman" w:hAnsi="Times New Roman" w:eastAsia="黑体" w:cs="Times New Roman"/>
          <w:spacing w:val="6"/>
          <w:sz w:val="32"/>
          <w:szCs w:val="32"/>
        </w:rPr>
      </w:pPr>
    </w:p>
    <w:p>
      <w:pPr>
        <w:snapToGrid w:val="0"/>
        <w:spacing w:line="570" w:lineRule="exact"/>
        <w:ind w:firstLine="664" w:firstLineChars="200"/>
        <w:rPr>
          <w:rFonts w:hint="default" w:ascii="Times New Roman" w:hAnsi="Times New Roman" w:eastAsia="宋体" w:cs="Times New Roman"/>
          <w:spacing w:val="6"/>
          <w:sz w:val="32"/>
          <w:szCs w:val="32"/>
        </w:rPr>
      </w:pPr>
    </w:p>
    <w:p>
      <w:pPr>
        <w:snapToGrid w:val="0"/>
        <w:spacing w:line="570" w:lineRule="exact"/>
        <w:ind w:firstLine="664" w:firstLineChars="200"/>
        <w:rPr>
          <w:rFonts w:hint="default" w:ascii="Times New Roman" w:hAnsi="Times New Roman" w:eastAsia="黑体" w:cs="Times New Roman"/>
          <w:spacing w:val="6"/>
          <w:sz w:val="32"/>
          <w:szCs w:val="32"/>
        </w:rPr>
      </w:pPr>
    </w:p>
    <w:p>
      <w:pPr>
        <w:snapToGrid w:val="0"/>
        <w:spacing w:line="570" w:lineRule="exact"/>
        <w:ind w:firstLine="664" w:firstLineChars="200"/>
        <w:rPr>
          <w:rFonts w:hint="default" w:ascii="Times New Roman" w:hAnsi="Times New Roman" w:eastAsia="宋体" w:cs="Times New Roman"/>
          <w:spacing w:val="6"/>
          <w:sz w:val="32"/>
          <w:szCs w:val="32"/>
        </w:rPr>
      </w:pPr>
    </w:p>
    <w:p>
      <w:pPr>
        <w:snapToGrid w:val="0"/>
        <w:spacing w:line="570" w:lineRule="exact"/>
        <w:ind w:firstLine="664" w:firstLineChars="200"/>
        <w:rPr>
          <w:rFonts w:hint="default" w:ascii="Times New Roman" w:hAnsi="Times New Roman" w:eastAsia="宋体" w:cs="Times New Roman"/>
          <w:spacing w:val="6"/>
          <w:sz w:val="32"/>
          <w:szCs w:val="32"/>
        </w:rPr>
      </w:pPr>
    </w:p>
    <w:p>
      <w:pPr>
        <w:snapToGrid w:val="0"/>
        <w:spacing w:line="570" w:lineRule="exact"/>
        <w:rPr>
          <w:rFonts w:hint="default" w:ascii="Times New Roman" w:hAnsi="Times New Roman" w:cs="Times New Roman"/>
          <w:sz w:val="32"/>
          <w:szCs w:val="32"/>
        </w:rPr>
      </w:pPr>
    </w:p>
    <w:p>
      <w:pPr>
        <w:snapToGrid w:val="0"/>
        <w:spacing w:line="570" w:lineRule="exact"/>
        <w:ind w:firstLine="664" w:firstLineChars="200"/>
        <w:rPr>
          <w:rFonts w:hint="default" w:ascii="Times New Roman" w:hAnsi="Times New Roman" w:eastAsia="宋体" w:cs="Times New Roman"/>
          <w:spacing w:val="6"/>
          <w:sz w:val="32"/>
          <w:szCs w:val="32"/>
        </w:rPr>
      </w:pPr>
    </w:p>
    <w:p>
      <w:pPr>
        <w:pStyle w:val="2"/>
        <w:snapToGrid w:val="0"/>
        <w:spacing w:before="0" w:after="0" w:line="570" w:lineRule="exact"/>
        <w:jc w:val="both"/>
        <w:rPr>
          <w:rFonts w:hint="default" w:ascii="Times New Roman" w:hAnsi="Times New Roman" w:eastAsia="黑体" w:cs="Times New Roman"/>
          <w:spacing w:val="6"/>
          <w:sz w:val="32"/>
          <w:szCs w:val="32"/>
        </w:rPr>
      </w:pPr>
    </w:p>
    <w:p>
      <w:pPr>
        <w:pStyle w:val="14"/>
        <w:snapToGrid w:val="0"/>
        <w:spacing w:line="570" w:lineRule="exact"/>
        <w:ind w:firstLine="664"/>
        <w:rPr>
          <w:rFonts w:hint="default" w:ascii="Times New Roman" w:hAnsi="Times New Roman" w:cs="Times New Roman"/>
          <w:sz w:val="32"/>
          <w:szCs w:val="32"/>
        </w:rPr>
      </w:pPr>
    </w:p>
    <w:p>
      <w:pPr>
        <w:pStyle w:val="14"/>
        <w:snapToGrid w:val="0"/>
        <w:spacing w:line="570" w:lineRule="exact"/>
        <w:ind w:firstLine="664"/>
        <w:rPr>
          <w:rFonts w:hint="default" w:ascii="Times New Roman" w:hAnsi="Times New Roman" w:cs="Times New Roman"/>
          <w:sz w:val="32"/>
          <w:szCs w:val="32"/>
        </w:rPr>
      </w:pPr>
    </w:p>
    <w:p>
      <w:pPr>
        <w:pStyle w:val="14"/>
        <w:snapToGrid w:val="0"/>
        <w:spacing w:line="570" w:lineRule="exact"/>
        <w:ind w:firstLine="640"/>
        <w:rPr>
          <w:rFonts w:hint="default" w:ascii="Times New Roman" w:hAnsi="Times New Roman" w:cs="Times New Roman"/>
          <w:color w:val="000000"/>
          <w:spacing w:val="0"/>
          <w:sz w:val="32"/>
          <w:szCs w:val="32"/>
        </w:rPr>
      </w:pPr>
    </w:p>
    <w:p>
      <w:pPr>
        <w:pStyle w:val="14"/>
        <w:snapToGrid w:val="0"/>
        <w:spacing w:line="570" w:lineRule="exact"/>
        <w:ind w:firstLine="664"/>
        <w:rPr>
          <w:rFonts w:hint="default" w:ascii="Times New Roman" w:hAnsi="Times New Roman" w:cs="Times New Roman"/>
          <w:sz w:val="32"/>
          <w:szCs w:val="32"/>
        </w:rPr>
      </w:pPr>
    </w:p>
    <w:p>
      <w:pPr>
        <w:pStyle w:val="14"/>
        <w:snapToGrid w:val="0"/>
        <w:spacing w:line="570" w:lineRule="exact"/>
        <w:ind w:firstLine="664"/>
        <w:rPr>
          <w:rFonts w:hint="default" w:ascii="Times New Roman" w:hAnsi="Times New Roman" w:cs="Times New Roman"/>
          <w:sz w:val="32"/>
          <w:szCs w:val="32"/>
        </w:rPr>
      </w:pPr>
    </w:p>
    <w:p>
      <w:pPr>
        <w:snapToGrid w:val="0"/>
        <w:spacing w:line="570" w:lineRule="exact"/>
        <w:jc w:val="center"/>
        <w:rPr>
          <w:rFonts w:hint="default" w:ascii="Times New Roman" w:hAnsi="Times New Roman" w:eastAsia="黑体" w:cs="Times New Roman"/>
          <w:sz w:val="32"/>
          <w:szCs w:val="32"/>
        </w:rPr>
      </w:pPr>
    </w:p>
    <w:p>
      <w:pPr>
        <w:snapToGrid w:val="0"/>
        <w:spacing w:line="570" w:lineRule="exact"/>
        <w:rPr>
          <w:rFonts w:hint="default" w:ascii="Times New Roman" w:hAnsi="Times New Roman" w:cs="Times New Roman"/>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0000000000000000000"/>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小标宋_GBK">
    <w:panose1 w:val="03000502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72AD2D4A"/>
    <w:rsid w:val="00106476"/>
    <w:rsid w:val="00175599"/>
    <w:rsid w:val="00224AB6"/>
    <w:rsid w:val="00325B53"/>
    <w:rsid w:val="00425241"/>
    <w:rsid w:val="005922C1"/>
    <w:rsid w:val="005B0767"/>
    <w:rsid w:val="00696367"/>
    <w:rsid w:val="007866E6"/>
    <w:rsid w:val="008E224E"/>
    <w:rsid w:val="0090245A"/>
    <w:rsid w:val="00D178C7"/>
    <w:rsid w:val="00E767AF"/>
    <w:rsid w:val="0478199D"/>
    <w:rsid w:val="0B026A1A"/>
    <w:rsid w:val="165B2763"/>
    <w:rsid w:val="25392E9F"/>
    <w:rsid w:val="2E651A37"/>
    <w:rsid w:val="50B60C68"/>
    <w:rsid w:val="53A23130"/>
    <w:rsid w:val="56DA36AF"/>
    <w:rsid w:val="56E5717A"/>
    <w:rsid w:val="5B6E700E"/>
    <w:rsid w:val="5BF078EC"/>
    <w:rsid w:val="61D2584B"/>
    <w:rsid w:val="6B7A74BE"/>
    <w:rsid w:val="6EE40E94"/>
    <w:rsid w:val="71590CA8"/>
    <w:rsid w:val="72AD2D4A"/>
    <w:rsid w:val="73810E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9"/>
    <w:pPr>
      <w:spacing w:before="380" w:after="140" w:line="288" w:lineRule="auto"/>
      <w:outlineLvl w:val="0"/>
    </w:pPr>
    <w:rPr>
      <w:rFonts w:ascii="Arial" w:hAnsi="Arial" w:eastAsia="等线" w:cs="Arial"/>
      <w:b/>
      <w:bCs/>
      <w:sz w:val="36"/>
      <w:szCs w:val="36"/>
      <w:lang w:val="en-US" w:eastAsia="zh-CN" w:bidi="ar-SA"/>
    </w:rPr>
  </w:style>
  <w:style w:type="paragraph" w:styleId="3">
    <w:name w:val="heading 2"/>
    <w:next w:val="1"/>
    <w:unhideWhenUsed/>
    <w:qFormat/>
    <w:uiPriority w:val="9"/>
    <w:pPr>
      <w:spacing w:before="320" w:after="120" w:line="288" w:lineRule="auto"/>
      <w:outlineLvl w:val="1"/>
    </w:pPr>
    <w:rPr>
      <w:rFonts w:ascii="Arial" w:hAnsi="Arial" w:eastAsia="仿宋" w:cs="Arial"/>
      <w:b/>
      <w:bCs/>
      <w:sz w:val="32"/>
      <w:szCs w:val="32"/>
      <w:lang w:val="en-US"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16"/>
    <w:qFormat/>
    <w:uiPriority w:val="0"/>
    <w:pPr>
      <w:jc w:val="left"/>
    </w:pPr>
  </w:style>
  <w:style w:type="paragraph" w:styleId="6">
    <w:name w:val="footer"/>
    <w:basedOn w:val="1"/>
    <w:link w:val="19"/>
    <w:qFormat/>
    <w:uiPriority w:val="0"/>
    <w:pPr>
      <w:tabs>
        <w:tab w:val="center" w:pos="4153"/>
        <w:tab w:val="right" w:pos="8306"/>
      </w:tabs>
      <w:snapToGrid w:val="0"/>
      <w:jc w:val="left"/>
    </w:pPr>
    <w:rPr>
      <w:sz w:val="18"/>
      <w:szCs w:val="18"/>
    </w:rPr>
  </w:style>
  <w:style w:type="paragraph" w:styleId="7">
    <w:name w:val="header"/>
    <w:basedOn w:val="1"/>
    <w:link w:val="18"/>
    <w:qFormat/>
    <w:uiPriority w:val="0"/>
    <w:pPr>
      <w:tabs>
        <w:tab w:val="center" w:pos="4153"/>
        <w:tab w:val="right" w:pos="8306"/>
      </w:tabs>
      <w:snapToGrid w:val="0"/>
      <w:jc w:val="center"/>
    </w:pPr>
    <w:rPr>
      <w:sz w:val="18"/>
      <w:szCs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annotation subject"/>
    <w:basedOn w:val="5"/>
    <w:next w:val="5"/>
    <w:link w:val="17"/>
    <w:qFormat/>
    <w:uiPriority w:val="0"/>
    <w:rPr>
      <w:b/>
      <w:bCs/>
    </w:rPr>
  </w:style>
  <w:style w:type="character" w:styleId="12">
    <w:name w:val="Strong"/>
    <w:basedOn w:val="11"/>
    <w:qFormat/>
    <w:uiPriority w:val="0"/>
    <w:rPr>
      <w:b/>
    </w:rPr>
  </w:style>
  <w:style w:type="character" w:styleId="13">
    <w:name w:val="annotation reference"/>
    <w:basedOn w:val="11"/>
    <w:qFormat/>
    <w:uiPriority w:val="0"/>
    <w:rPr>
      <w:sz w:val="21"/>
      <w:szCs w:val="21"/>
    </w:rPr>
  </w:style>
  <w:style w:type="paragraph" w:customStyle="1" w:styleId="14">
    <w:name w:val="正文内容"/>
    <w:basedOn w:val="1"/>
    <w:qFormat/>
    <w:uiPriority w:val="0"/>
    <w:pPr>
      <w:spacing w:line="360" w:lineRule="auto"/>
      <w:ind w:firstLine="584" w:firstLineChars="200"/>
    </w:pPr>
    <w:rPr>
      <w:rFonts w:hint="eastAsia" w:ascii="宋体" w:hAnsi="宋体" w:eastAsia="宋体" w:cs="宋体"/>
      <w:spacing w:val="6"/>
      <w:sz w:val="28"/>
      <w:szCs w:val="28"/>
    </w:rPr>
  </w:style>
  <w:style w:type="paragraph" w:customStyle="1" w:styleId="15">
    <w:name w:val="111文"/>
    <w:basedOn w:val="1"/>
    <w:qFormat/>
    <w:uiPriority w:val="0"/>
    <w:pPr>
      <w:spacing w:line="600" w:lineRule="exact"/>
      <w:ind w:firstLine="640" w:firstLineChars="200"/>
    </w:pPr>
    <w:rPr>
      <w:rFonts w:ascii="Times New Roman" w:hAnsi="Times New Roman" w:eastAsia="仿宋_GB2312" w:cs="Times New Roman"/>
      <w:bCs/>
      <w:sz w:val="32"/>
    </w:rPr>
  </w:style>
  <w:style w:type="character" w:customStyle="1" w:styleId="16">
    <w:name w:val="批注文字 Char"/>
    <w:basedOn w:val="11"/>
    <w:link w:val="5"/>
    <w:qFormat/>
    <w:uiPriority w:val="0"/>
    <w:rPr>
      <w:rFonts w:asciiTheme="minorHAnsi" w:hAnsiTheme="minorHAnsi" w:eastAsiaTheme="minorEastAsia" w:cstheme="minorBidi"/>
      <w:kern w:val="2"/>
      <w:sz w:val="21"/>
      <w:szCs w:val="24"/>
    </w:rPr>
  </w:style>
  <w:style w:type="character" w:customStyle="1" w:styleId="17">
    <w:name w:val="批注主题 Char"/>
    <w:basedOn w:val="16"/>
    <w:link w:val="9"/>
    <w:qFormat/>
    <w:uiPriority w:val="0"/>
    <w:rPr>
      <w:rFonts w:asciiTheme="minorHAnsi" w:hAnsiTheme="minorHAnsi" w:eastAsiaTheme="minorEastAsia" w:cstheme="minorBidi"/>
      <w:b/>
      <w:bCs/>
      <w:kern w:val="2"/>
      <w:sz w:val="21"/>
      <w:szCs w:val="24"/>
    </w:rPr>
  </w:style>
  <w:style w:type="character" w:customStyle="1" w:styleId="18">
    <w:name w:val="页眉 Char"/>
    <w:basedOn w:val="11"/>
    <w:link w:val="7"/>
    <w:qFormat/>
    <w:uiPriority w:val="0"/>
    <w:rPr>
      <w:rFonts w:asciiTheme="minorHAnsi" w:hAnsiTheme="minorHAnsi" w:eastAsiaTheme="minorEastAsia" w:cstheme="minorBidi"/>
      <w:kern w:val="2"/>
      <w:sz w:val="18"/>
      <w:szCs w:val="18"/>
    </w:rPr>
  </w:style>
  <w:style w:type="character" w:customStyle="1" w:styleId="19">
    <w:name w:val="页脚 Char"/>
    <w:basedOn w:val="11"/>
    <w:link w:val="6"/>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ontractReview xmlns="http://schemas.wps.cn/vas-ai-hub/contract-review">
  <reviewItems>
    <reviewItem>
      <errorID>dea3a11c-af2e-44dc-940e-276f8c7a401a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13E09F0B</paraID>
      <start>17</start>
      <end>18</end>
      <status>modified</status>
      <modifiedWord>—</modifiedWord>
      <trackRevisions>false</trackRevisions>
    </reviewItem>
    <reviewItem>
      <errorID>6987af3d-76de-4428-a096-93e781a27bda</errorID>
      <errorWord>&lt;</errorWord>
      <group>L1_Format</group>
      <groupName>格式问题</groupName>
      <ability>L2_HalfPunc_CN</ability>
      <abilityName>全半角问题</abilityName>
      <candidateList>
        <item>〈</item>
      </candidateList>
      <explain>文本全半角错误。</explain>
      <paraID>27F31C0B</paraID>
      <start>17</start>
      <end>18</end>
      <status>modified</status>
      <modifiedWord>〈</modifiedWord>
      <trackRevisions>false</trackRevisions>
    </reviewItem>
    <reviewItem>
      <errorID>31a326b2-b238-4c84-811b-d7b3d39a3915</errorID>
      <errorWord>&gt;的通知》</errorWord>
      <group>L1_Punc</group>
      <groupName>标点问题</groupName>
      <ability>L2_Punc_CN</ability>
      <abilityName>标点符号问题</abilityName>
      <candidateList>
        <item>〉的通知》</item>
      </candidateList>
      <explain/>
      <paraID>27F31C0B</paraID>
      <start>44</start>
      <end>49</end>
      <status>modified</status>
      <modifiedWord>〉的通知》</modifiedWord>
      <trackRevisions>false</trackRevisions>
    </reviewItem>
    <reviewItem>
      <errorID>85ea58ab-31f2-4718-bdfb-59690fb31cbb</errorID>
      <errorWord>(</errorWord>
      <group>L1_Format</group>
      <groupName>格式问题</groupName>
      <ability>L2_HalfPunc_CN</ability>
      <abilityName>全半角问题</abilityName>
      <candidateList>
        <item>（</item>
      </candidateList>
      <explain>文本全半角错误。</explain>
      <paraID>729EFA12</paraID>
      <start>35</start>
      <end>36</end>
      <status>modified</status>
      <modifiedWord>（</modifiedWord>
      <trackRevisions>false</trackRevisions>
    </reviewItem>
    <reviewItem>
      <errorID>1c7925b9-70ca-41da-aa05-cf994d948bf3</errorID>
      <errorWord>)</errorWord>
      <group>L1_Format</group>
      <groupName>格式问题</groupName>
      <ability>L2_HalfPunc_CN</ability>
      <abilityName>全半角问题</abilityName>
      <candidateList>
        <item>）</item>
      </candidateList>
      <explain>文本全半角错误。</explain>
      <paraID>729EFA12</paraID>
      <start>51</start>
      <end>52</end>
      <status>modified</status>
      <modifiedWord>）</modifiedWord>
      <trackRevisions>false</trackRevisions>
    </reviewItem>
    <reviewItem>
      <errorID>b3dd7deb-56b7-4642-9190-3761535b4dd1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2AAF8807</paraID>
      <start>18</start>
      <end>19</end>
      <status>modified</status>
      <modifiedWord>—</modifiedWord>
      <trackRevisions>false</trackRevisions>
    </reviewItem>
    <reviewItem>
      <errorID>01110180-244f-4cf2-bb2e-d089363274ea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2D96E67</paraID>
      <start>18</start>
      <end>19</end>
      <status>modified</status>
      <modifiedWord>—</modifiedWord>
      <trackRevisions>false</trackRevisions>
    </reviewItem>
    <reviewItem>
      <errorID>24df4ed5-8382-49cd-aa9f-4534468b841a</errorID>
      <errorWord>"</errorWord>
      <group>L1_Format</group>
      <groupName>格式问题</groupName>
      <ability>L2_HalfPunc_CN</ability>
      <abilityName>全半角问题</abilityName>
      <candidateList>
        <item>“</item>
      </candidateList>
      <explain>文本全半角错误。</explain>
      <paraID>4E357B5B</paraID>
      <start>10</start>
      <end>11</end>
      <status>modified</status>
      <modifiedWord>“</modifiedWord>
      <trackRevisions>false</trackRevisions>
    </reviewItem>
    <reviewItem>
      <errorID>9ec9f962-7e8a-4879-88e1-bafdf6afee18</errorID>
      <errorWord>"</errorWord>
      <group>L1_Format</group>
      <groupName>格式问题</groupName>
      <ability>L2_HalfPunc_CN</ability>
      <abilityName>全半角问题</abilityName>
      <candidateList>
        <item>”</item>
      </candidateList>
      <explain>文本全半角错误。</explain>
      <paraID>4E357B5B</paraID>
      <start>28</start>
      <end>29</end>
      <status>modified</status>
      <modifiedWord>”</modifiedWord>
      <trackRevisions>false</trackRevisions>
    </reviewItem>
    <reviewItem>
      <errorID>83181612-77d3-4a0f-969b-0f0ab6dc99f1</errorID>
      <errorWord>"</errorWord>
      <group>L1_Format</group>
      <groupName>格式问题</groupName>
      <ability>L2_HalfPunc_CN</ability>
      <abilityName>全半角问题</abilityName>
      <candidateList>
        <item>“</item>
      </candidateList>
      <explain>文本全半角错误。</explain>
      <paraID>53A4FB5B</paraID>
      <start>10</start>
      <end>11</end>
      <status>modified</status>
      <modifiedWord>“</modifiedWord>
      <trackRevisions>false</trackRevisions>
    </reviewItem>
    <reviewItem>
      <errorID>c9dd2a62-e02f-4b17-870f-2c3ec9546831</errorID>
      <errorWord>"</errorWord>
      <group>L1_Format</group>
      <groupName>格式问题</groupName>
      <ability>L2_HalfPunc_CN</ability>
      <abilityName>全半角问题</abilityName>
      <candidateList>
        <item>”</item>
      </candidateList>
      <explain>文本全半角错误。</explain>
      <paraID>53A4FB5B</paraID>
      <start>30</start>
      <end>31</end>
      <status>modified</status>
      <modifiedWord>”</modifiedWord>
      <trackRevisions>false</trackRevisions>
    </reviewItem>
    <reviewItem>
      <errorID>34d06b40-f142-4dfa-a327-2442a10be0f4</errorID>
      <errorWord>"三区三线"</errorWord>
      <group>L1_Political</group>
      <groupName>政治性问题</groupName>
      <ability>L2_Keyword</ability>
      <abilityName>固定表述</abilityName>
      <candidateList>
        <item>“三区三线”</item>
      </candidateList>
      <explain>注意检查当前固定表述标点是否使用规范。</explain>
      <paraID>53A4FB5B</paraID>
      <start>127</start>
      <end>133</end>
      <status>modified</status>
      <modifiedWord>“三区三线”</modifiedWord>
      <trackRevisions>false</trackRevisions>
    </reviewItem>
    <reviewItem>
      <errorID>d41e31cc-0609-4c28-b8d7-2f69d768e235</errorID>
      <errorWord>"十五五"</errorWord>
      <group>L1_Political</group>
      <groupName>政治性问题</groupName>
      <ability>L2_Keyword</ability>
      <abilityName>固定表述</abilityName>
      <candidateList>
        <item>“十五五”</item>
      </candidateList>
      <explain>注意检查当前固定表述标点是否使用规范。</explain>
      <paraID>3C7F06AE</paraID>
      <start>17</start>
      <end>22</end>
      <status>modified</status>
      <modifiedWord>“十五五”</modifiedWord>
      <trackRevisions>false</trackRevisions>
    </reviewItem>
    <reviewItem>
      <errorID>32652159-7599-44d9-8891-2734d83b5624</errorID>
      <errorWord>"十五五"</errorWord>
      <group>L1_Political</group>
      <groupName>政治性问题</groupName>
      <ability>L2_Keyword</ability>
      <abilityName>固定表述</abilityName>
      <candidateList>
        <item>“十五五”</item>
      </candidateList>
      <explain>注意检查当前固定表述标点是否使用规范。</explain>
      <paraID>3C7F06AE</paraID>
      <start>69</start>
      <end>74</end>
      <status>modified</status>
      <modifiedWord>“十五五”</modifiedWord>
      <trackRevisions>false</trackRevisions>
    </reviewItem>
    <reviewItem>
      <errorID>81a02fbb-4188-4c43-ab0e-a4efa0dc7d0b</errorID>
      <errorWord>、等</errorWord>
      <group>L1_Punc</group>
      <groupName>标点问题</groupName>
      <ability>L2_Punc_CN</ability>
      <abilityName>标点符号问题</abilityName>
      <candidateList>
        <item>等</item>
      </candidateList>
      <explain>“及”“和”“等”连词前不宜使用顿号，建议删除（或使用逗号）。</explain>
      <paraID>3C7F06AE</paraID>
      <start>99</start>
      <end>100</end>
      <status>modified</status>
      <modifiedWord>等</modifiedWord>
      <trackRevisions>false</trackRevisions>
    </reviewItem>
    <reviewItem>
      <errorID>2de7337b-e60b-445f-a120-f24e00e1ab5e</errorID>
      <errorWord>,</errorWord>
      <group>L1_Format</group>
      <groupName>格式问题</groupName>
      <ability>L2_HalfPunc_CN</ability>
      <abilityName>全半角问题</abilityName>
      <candidateList>
        <item>，</item>
      </candidateList>
      <explain>文本全半角错误。</explain>
      <paraID>3C7F06AE</paraID>
      <start>152</start>
      <end>153</end>
      <status>modified</status>
      <modifiedWord>，</modifiedWord>
      <trackRevisions>false</trackRevisions>
    </reviewItem>
    <reviewItem>
      <errorID>bc146454-3a5a-45e2-8aad-6bd9503c1d9c</errorID>
      <errorWord>用地使用权限</errorWord>
      <group>L1_Word</group>
      <groupName>字词问题</groupName>
      <ability>L2_Typo</ability>
      <abilityName>字词错误</abilityName>
      <candidateList>
        <item>用地使用期限</item>
      </candidateList>
      <explain/>
      <paraID>67A71885</paraID>
      <start>78</start>
      <end>84</end>
      <status>modified</status>
      <modifiedWord>用地使用期限</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6B282A-0672-4BC2-B7C3-53ADF8D779D0}">
  <ds:schemaRefs/>
</ds:datastoreItem>
</file>

<file path=docProps/app.xml><?xml version="1.0" encoding="utf-8"?>
<Properties xmlns="http://schemas.openxmlformats.org/officeDocument/2006/extended-properties" xmlns:vt="http://schemas.openxmlformats.org/officeDocument/2006/docPropsVTypes">
  <Template>Normal.dotm</Template>
  <Pages>1</Pages>
  <Words>459</Words>
  <Characters>2617</Characters>
  <Lines>21</Lines>
  <Paragraphs>6</Paragraphs>
  <TotalTime>13</TotalTime>
  <ScaleCrop>false</ScaleCrop>
  <LinksUpToDate>false</LinksUpToDate>
  <CharactersWithSpaces>3070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2026-08-16T09:28:00Z</dcterms:created>
  <dc:creator>zoie</dc:creator>
  <cp:lastModifiedBy>Administrator</cp:lastModifiedBy>
  <cp:lastPrinted>2026-08-28T03:18:20Z</cp:lastPrinted>
  <dcterms:modified xsi:type="dcterms:W3CDTF">2026-08-28T03:18:33Z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4E3C86B0D8D94128AB05A4B6D9A21BDE_13</vt:lpwstr>
  </property>
  <property fmtid="{D5CDD505-2E9C-101B-9397-08002B2CF9AE}" pid="4" name="KSOTemplateDocerSaveRecord">
    <vt:lpwstr>eyJoZGlkIjoiYWM5MTNhZjRhNzg1MTM1YzIzZTI3ZjZkMjU0Y2I4YjMiLCJ1c2VySWQiOiIxMTQ4MTgxNDA5In0=</vt:lpwstr>
  </property>
</Properties>
</file>