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英吉沙县建设工程交易中心政务公开事项标准目录</w:t>
      </w:r>
    </w:p>
    <w:tbl>
      <w:tblPr>
        <w:tblStyle w:val="4"/>
        <w:tblW w:w="1259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782"/>
        <w:gridCol w:w="940"/>
        <w:gridCol w:w="570"/>
        <w:gridCol w:w="2270"/>
        <w:gridCol w:w="1935"/>
        <w:gridCol w:w="1354"/>
        <w:gridCol w:w="1210"/>
        <w:gridCol w:w="1120"/>
        <w:gridCol w:w="440"/>
        <w:gridCol w:w="1070"/>
        <w:gridCol w:w="390"/>
        <w:gridCol w:w="51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582" w:hRule="atLeast"/>
          <w:jc w:val="center"/>
        </w:trPr>
        <w:tc>
          <w:tcPr>
            <w:tcW w:w="782"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序号</w:t>
            </w:r>
          </w:p>
        </w:tc>
        <w:tc>
          <w:tcPr>
            <w:tcW w:w="151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公开事项</w:t>
            </w:r>
          </w:p>
        </w:tc>
        <w:tc>
          <w:tcPr>
            <w:tcW w:w="227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公开内容</w:t>
            </w:r>
            <w:r>
              <w:rPr>
                <w:rFonts w:hint="eastAsia" w:ascii="宋体" w:hAnsi="宋体" w:eastAsia="宋体" w:cs="宋体"/>
                <w:b/>
                <w:bCs/>
                <w:i w:val="0"/>
                <w:iCs w:val="0"/>
                <w:caps w:val="0"/>
                <w:color w:val="2B2B2B"/>
                <w:spacing w:val="0"/>
                <w:kern w:val="0"/>
                <w:sz w:val="15"/>
                <w:szCs w:val="15"/>
                <w:lang w:val="en-US" w:eastAsia="zh-CN" w:bidi="ar"/>
              </w:rPr>
              <w:br w:type="textWrapping"/>
            </w:r>
            <w:r>
              <w:rPr>
                <w:rFonts w:hint="eastAsia" w:ascii="宋体" w:hAnsi="宋体" w:eastAsia="宋体" w:cs="宋体"/>
                <w:b/>
                <w:bCs/>
                <w:i w:val="0"/>
                <w:iCs w:val="0"/>
                <w:caps w:val="0"/>
                <w:color w:val="2B2B2B"/>
                <w:spacing w:val="0"/>
                <w:kern w:val="0"/>
                <w:sz w:val="15"/>
                <w:szCs w:val="15"/>
                <w:lang w:val="en-US" w:eastAsia="zh-CN" w:bidi="ar"/>
              </w:rPr>
              <w:t>（要素）</w:t>
            </w:r>
          </w:p>
        </w:tc>
        <w:tc>
          <w:tcPr>
            <w:tcW w:w="193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公开依据</w:t>
            </w:r>
          </w:p>
        </w:tc>
        <w:tc>
          <w:tcPr>
            <w:tcW w:w="135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公开时限</w:t>
            </w:r>
          </w:p>
        </w:tc>
        <w:tc>
          <w:tcPr>
            <w:tcW w:w="121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主体</w:t>
            </w:r>
          </w:p>
        </w:tc>
        <w:tc>
          <w:tcPr>
            <w:tcW w:w="112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公开渠道和载体</w:t>
            </w:r>
          </w:p>
        </w:tc>
        <w:tc>
          <w:tcPr>
            <w:tcW w:w="1510" w:type="dxa"/>
            <w:gridSpan w:val="2"/>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公开对象</w:t>
            </w:r>
          </w:p>
        </w:tc>
        <w:tc>
          <w:tcPr>
            <w:tcW w:w="90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55" w:hRule="atLeast"/>
          <w:jc w:val="center"/>
        </w:trPr>
        <w:tc>
          <w:tcPr>
            <w:tcW w:w="782"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9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一级事项</w:t>
            </w: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二级事项</w:t>
            </w:r>
          </w:p>
        </w:tc>
        <w:tc>
          <w:tcPr>
            <w:tcW w:w="227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93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35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21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1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全社会</w:t>
            </w:r>
          </w:p>
        </w:tc>
        <w:tc>
          <w:tcPr>
            <w:tcW w:w="10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特定群体（请写明）</w:t>
            </w:r>
          </w:p>
        </w:tc>
        <w:tc>
          <w:tcPr>
            <w:tcW w:w="3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主动</w:t>
            </w:r>
          </w:p>
        </w:tc>
        <w:tc>
          <w:tcPr>
            <w:tcW w:w="5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依申请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691" w:hRule="atLeast"/>
          <w:jc w:val="center"/>
        </w:trPr>
        <w:tc>
          <w:tcPr>
            <w:tcW w:w="7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w:t>
            </w:r>
          </w:p>
        </w:tc>
        <w:tc>
          <w:tcPr>
            <w:tcW w:w="9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房屋建筑和市政基础设施工程建设项目招标投标信息</w:t>
            </w: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招标计划</w:t>
            </w:r>
          </w:p>
        </w:tc>
        <w:tc>
          <w:tcPr>
            <w:tcW w:w="2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项目名称、招标人、项目批准文件名称、项目概况、招标内容、估算投资、资金来源、招标计划工期、计划招标时间</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《关于建立招标计划提前发布制度的通知》（新建建函【2023】11号）</w:t>
            </w: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项目发布招标公告之日前至少30日发布</w:t>
            </w:r>
          </w:p>
        </w:tc>
        <w:tc>
          <w:tcPr>
            <w:tcW w:w="12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各项目单位</w:t>
            </w:r>
          </w:p>
        </w:tc>
        <w:tc>
          <w:tcPr>
            <w:tcW w:w="11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喀什地区公共资源交易网 </w:t>
            </w:r>
          </w:p>
        </w:tc>
        <w:tc>
          <w:tcPr>
            <w:tcW w:w="4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89" w:hRule="atLeast"/>
          <w:jc w:val="center"/>
        </w:trPr>
        <w:tc>
          <w:tcPr>
            <w:tcW w:w="7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w:t>
            </w:r>
          </w:p>
        </w:tc>
        <w:tc>
          <w:tcPr>
            <w:tcW w:w="9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资格预审公告</w:t>
            </w:r>
          </w:p>
        </w:tc>
        <w:tc>
          <w:tcPr>
            <w:tcW w:w="2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w:t>
            </w: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招标人采用资格预审办法对潜在投标人进行资格审查的，及时发布资格预审公告</w:t>
            </w:r>
          </w:p>
        </w:tc>
        <w:tc>
          <w:tcPr>
            <w:tcW w:w="12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1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喀什地区公共资源交易网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088" w:hRule="atLeast"/>
          <w:jc w:val="center"/>
        </w:trPr>
        <w:tc>
          <w:tcPr>
            <w:tcW w:w="7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3</w:t>
            </w:r>
          </w:p>
        </w:tc>
        <w:tc>
          <w:tcPr>
            <w:tcW w:w="9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房屋建筑和市政基础设施工程建设项目招标投标信息</w:t>
            </w: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FF0000"/>
                <w:spacing w:val="0"/>
                <w:kern w:val="0"/>
                <w:sz w:val="15"/>
                <w:szCs w:val="15"/>
                <w:lang w:val="en-US" w:eastAsia="zh-CN" w:bidi="ar"/>
              </w:rPr>
              <w:t>招标公告</w:t>
            </w:r>
          </w:p>
        </w:tc>
        <w:tc>
          <w:tcPr>
            <w:tcW w:w="2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12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1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FF0000"/>
                <w:spacing w:val="0"/>
                <w:kern w:val="0"/>
                <w:sz w:val="15"/>
                <w:szCs w:val="15"/>
                <w:lang w:val="en-US" w:eastAsia="zh-CN" w:bidi="ar"/>
              </w:rPr>
            </w:pPr>
            <w:r>
              <w:rPr>
                <w:rFonts w:hint="eastAsia" w:ascii="宋体" w:hAnsi="宋体" w:eastAsia="宋体" w:cs="宋体"/>
                <w:i w:val="0"/>
                <w:iCs w:val="0"/>
                <w:caps w:val="0"/>
                <w:color w:val="FF0000"/>
                <w:spacing w:val="0"/>
                <w:kern w:val="0"/>
                <w:sz w:val="15"/>
                <w:szCs w:val="15"/>
                <w:lang w:val="en-US" w:eastAsia="zh-CN" w:bidi="ar"/>
              </w:rPr>
              <w:t>1.英吉沙县人民政府网站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688" w:hRule="atLeast"/>
          <w:jc w:val="center"/>
        </w:trPr>
        <w:tc>
          <w:tcPr>
            <w:tcW w:w="7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4</w:t>
            </w:r>
          </w:p>
        </w:tc>
        <w:tc>
          <w:tcPr>
            <w:tcW w:w="94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中标候选人公示</w:t>
            </w:r>
          </w:p>
        </w:tc>
        <w:tc>
          <w:tcPr>
            <w:tcW w:w="2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依法必须进行招标的项目，招标人应当自收到评标报告之日起3日内公示中标候选人，公示期不得少于3日</w:t>
            </w:r>
          </w:p>
        </w:tc>
        <w:tc>
          <w:tcPr>
            <w:tcW w:w="12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1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喀什地区公共资源交易网  </w:t>
            </w:r>
          </w:p>
        </w:tc>
        <w:tc>
          <w:tcPr>
            <w:tcW w:w="4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67" w:hRule="atLeast"/>
          <w:jc w:val="center"/>
        </w:trPr>
        <w:tc>
          <w:tcPr>
            <w:tcW w:w="7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5</w:t>
            </w:r>
          </w:p>
        </w:tc>
        <w:tc>
          <w:tcPr>
            <w:tcW w:w="94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房屋建筑和市政基础设施工程建设项目招标投标信息</w:t>
            </w: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color w:val="2B2B2B"/>
                <w:sz w:val="15"/>
                <w:szCs w:val="15"/>
                <w:lang w:val="en-US"/>
              </w:rPr>
            </w:pPr>
            <w:r>
              <w:rPr>
                <w:rFonts w:hint="eastAsia" w:ascii="宋体" w:hAnsi="宋体" w:eastAsia="宋体" w:cs="宋体"/>
                <w:i w:val="0"/>
                <w:iCs w:val="0"/>
                <w:caps w:val="0"/>
                <w:color w:val="FF0000"/>
                <w:spacing w:val="0"/>
                <w:kern w:val="0"/>
                <w:sz w:val="15"/>
                <w:szCs w:val="15"/>
                <w:lang w:val="en-US" w:eastAsia="zh-CN" w:bidi="ar"/>
              </w:rPr>
              <w:t>中标结果公示</w:t>
            </w:r>
          </w:p>
        </w:tc>
        <w:tc>
          <w:tcPr>
            <w:tcW w:w="2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招标项目名称、中标人名称、中标价、工期、项目负责人、中标内容。</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12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1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FF0000"/>
                <w:spacing w:val="0"/>
                <w:kern w:val="0"/>
                <w:sz w:val="15"/>
                <w:szCs w:val="15"/>
                <w:lang w:val="en-US" w:eastAsia="zh-CN" w:bidi="ar"/>
              </w:rPr>
            </w:pPr>
            <w:r>
              <w:rPr>
                <w:rFonts w:hint="eastAsia" w:ascii="宋体" w:hAnsi="宋体" w:eastAsia="宋体" w:cs="宋体"/>
                <w:i w:val="0"/>
                <w:iCs w:val="0"/>
                <w:caps w:val="0"/>
                <w:color w:val="FF0000"/>
                <w:spacing w:val="0"/>
                <w:kern w:val="0"/>
                <w:sz w:val="15"/>
                <w:szCs w:val="15"/>
                <w:lang w:val="en-US" w:eastAsia="zh-CN" w:bidi="ar"/>
              </w:rPr>
              <w:t>1.英吉沙县人民政府网站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1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234" w:hRule="atLeast"/>
          <w:jc w:val="center"/>
        </w:trPr>
        <w:tc>
          <w:tcPr>
            <w:tcW w:w="7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lang w:val="en-US" w:eastAsia="zh-CN"/>
              </w:rPr>
            </w:pPr>
            <w:r>
              <w:rPr>
                <w:rFonts w:hint="eastAsia" w:ascii="宋体" w:hAnsi="宋体" w:eastAsia="宋体" w:cs="宋体"/>
                <w:color w:val="2B2B2B"/>
                <w:sz w:val="15"/>
                <w:szCs w:val="15"/>
                <w:lang w:val="en-US" w:eastAsia="zh-CN"/>
              </w:rPr>
              <w:t>6</w:t>
            </w:r>
          </w:p>
        </w:tc>
        <w:tc>
          <w:tcPr>
            <w:tcW w:w="940" w:type="dxa"/>
            <w:vMerge w:val="continue"/>
            <w:tcBorders>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资格预审文件、招标文件澄清或修改</w:t>
            </w:r>
          </w:p>
        </w:tc>
        <w:tc>
          <w:tcPr>
            <w:tcW w:w="2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项目名称；标段名称；澄清或修改事项；招标人及其招标代理机构的名称、地址、联系人及联系方式。</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《招标投标法》、《招标投标法实施条例》、《电子招标投标办法》（国家发展改革委等八部委2013年第20号令）</w:t>
            </w: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依法必须进行招标的项目，澄清或者修改的内容可能影响资格预审申请文件或者投标文件编制的，应当在提交资格预审申请文件截止时间至少３日前，或者投标截止时间至少１５日前</w:t>
            </w:r>
          </w:p>
        </w:tc>
        <w:tc>
          <w:tcPr>
            <w:tcW w:w="12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1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喀什地区公共资源交易网  </w:t>
            </w:r>
          </w:p>
        </w:tc>
        <w:tc>
          <w:tcPr>
            <w:tcW w:w="4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107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1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73" w:hRule="atLeast"/>
          <w:jc w:val="center"/>
        </w:trPr>
        <w:tc>
          <w:tcPr>
            <w:tcW w:w="7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7</w:t>
            </w:r>
          </w:p>
        </w:tc>
        <w:tc>
          <w:tcPr>
            <w:tcW w:w="940"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招标公告和公示信息澄清、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修改</w:t>
            </w:r>
          </w:p>
        </w:tc>
        <w:tc>
          <w:tcPr>
            <w:tcW w:w="2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项目名称；标段名称；澄清或修改事项；招标人及其招标代理机构的名称、地址、联系人及联系方式。</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《招标公告和公示信息发布管理办法》（国家发展改革委2017年第10号令）</w:t>
            </w: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12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1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喀什地区公共资源交易网  </w:t>
            </w:r>
          </w:p>
        </w:tc>
        <w:tc>
          <w:tcPr>
            <w:tcW w:w="4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107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1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77" w:hRule="atLeast"/>
          <w:jc w:val="center"/>
        </w:trPr>
        <w:tc>
          <w:tcPr>
            <w:tcW w:w="7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8</w:t>
            </w:r>
          </w:p>
        </w:tc>
        <w:tc>
          <w:tcPr>
            <w:tcW w:w="940"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房屋建筑和市政基础设施工程建设项目招标投标信息</w:t>
            </w:r>
          </w:p>
        </w:tc>
        <w:tc>
          <w:tcPr>
            <w:tcW w:w="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FF0000"/>
                <w:spacing w:val="0"/>
                <w:kern w:val="0"/>
                <w:sz w:val="15"/>
                <w:szCs w:val="15"/>
                <w:lang w:val="en-US" w:eastAsia="zh-CN" w:bidi="ar"/>
              </w:rPr>
              <w:t>暂停、终止招标</w:t>
            </w:r>
          </w:p>
        </w:tc>
        <w:tc>
          <w:tcPr>
            <w:tcW w:w="2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招标人名称、招标项目名称、招标项目编号、本项目首次公告日期、招标暂停或终止原因、联系方式、其他事项。</w:t>
            </w:r>
          </w:p>
        </w:tc>
        <w:tc>
          <w:tcPr>
            <w:tcW w:w="1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《招标公告和公示信息发布管理办法》（国家发展改革委2017年第10号令）</w:t>
            </w: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12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1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FF0000"/>
                <w:spacing w:val="0"/>
                <w:kern w:val="0"/>
                <w:sz w:val="15"/>
                <w:szCs w:val="15"/>
                <w:lang w:val="en-US" w:eastAsia="zh-CN" w:bidi="ar"/>
              </w:rPr>
            </w:pPr>
            <w:r>
              <w:rPr>
                <w:rFonts w:hint="eastAsia" w:ascii="宋体" w:hAnsi="宋体" w:eastAsia="宋体" w:cs="宋体"/>
                <w:i w:val="0"/>
                <w:iCs w:val="0"/>
                <w:caps w:val="0"/>
                <w:color w:val="FF0000"/>
                <w:spacing w:val="0"/>
                <w:kern w:val="0"/>
                <w:sz w:val="15"/>
                <w:szCs w:val="15"/>
                <w:lang w:val="en-US" w:eastAsia="zh-CN" w:bidi="ar"/>
              </w:rPr>
              <w:t>1.英吉沙县人民政府网站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107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11"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A0695"/>
    <w:rsid w:val="076F4376"/>
    <w:rsid w:val="0BF25615"/>
    <w:rsid w:val="0DBE1251"/>
    <w:rsid w:val="0E920418"/>
    <w:rsid w:val="10C0114B"/>
    <w:rsid w:val="11AC0E2D"/>
    <w:rsid w:val="12DE0980"/>
    <w:rsid w:val="1308395D"/>
    <w:rsid w:val="158221B4"/>
    <w:rsid w:val="1698681E"/>
    <w:rsid w:val="17BF6CDF"/>
    <w:rsid w:val="18393BF9"/>
    <w:rsid w:val="187F4112"/>
    <w:rsid w:val="188A1D9D"/>
    <w:rsid w:val="18CC4201"/>
    <w:rsid w:val="19D9553B"/>
    <w:rsid w:val="19F465D3"/>
    <w:rsid w:val="1B431254"/>
    <w:rsid w:val="21BD3483"/>
    <w:rsid w:val="22C604A9"/>
    <w:rsid w:val="260F0A75"/>
    <w:rsid w:val="26570BD7"/>
    <w:rsid w:val="268D1580"/>
    <w:rsid w:val="29DC0108"/>
    <w:rsid w:val="2BBE384F"/>
    <w:rsid w:val="2DFD3C9A"/>
    <w:rsid w:val="30523128"/>
    <w:rsid w:val="30BC3EBF"/>
    <w:rsid w:val="321A6537"/>
    <w:rsid w:val="340B6243"/>
    <w:rsid w:val="346A4484"/>
    <w:rsid w:val="35D64E0E"/>
    <w:rsid w:val="35ED5822"/>
    <w:rsid w:val="37F14426"/>
    <w:rsid w:val="39052617"/>
    <w:rsid w:val="39407CB2"/>
    <w:rsid w:val="39BE4182"/>
    <w:rsid w:val="3A135860"/>
    <w:rsid w:val="3B7C7124"/>
    <w:rsid w:val="3BF43807"/>
    <w:rsid w:val="3DBF4CB8"/>
    <w:rsid w:val="3E8D6858"/>
    <w:rsid w:val="3F8F7F39"/>
    <w:rsid w:val="3FCA5195"/>
    <w:rsid w:val="3FD71920"/>
    <w:rsid w:val="42EB03B5"/>
    <w:rsid w:val="45983614"/>
    <w:rsid w:val="4AFA4E29"/>
    <w:rsid w:val="51AC7A4C"/>
    <w:rsid w:val="53DA0695"/>
    <w:rsid w:val="543270E3"/>
    <w:rsid w:val="5450587F"/>
    <w:rsid w:val="55A95339"/>
    <w:rsid w:val="56021C7F"/>
    <w:rsid w:val="56757767"/>
    <w:rsid w:val="58AB377F"/>
    <w:rsid w:val="59150E0F"/>
    <w:rsid w:val="59AA4389"/>
    <w:rsid w:val="5D184716"/>
    <w:rsid w:val="5D525A93"/>
    <w:rsid w:val="5D624A71"/>
    <w:rsid w:val="62333E47"/>
    <w:rsid w:val="62BB068D"/>
    <w:rsid w:val="63F2387D"/>
    <w:rsid w:val="683B165B"/>
    <w:rsid w:val="69773B69"/>
    <w:rsid w:val="6A5165D4"/>
    <w:rsid w:val="6CDA427E"/>
    <w:rsid w:val="6D257A5F"/>
    <w:rsid w:val="6ED726F3"/>
    <w:rsid w:val="6F622FBD"/>
    <w:rsid w:val="7065636A"/>
    <w:rsid w:val="75CE0542"/>
    <w:rsid w:val="7B4170BC"/>
    <w:rsid w:val="7B952246"/>
    <w:rsid w:val="7F1553ED"/>
    <w:rsid w:val="7F710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2021-06-28T16:12:00Z</dcterms:created>
  <dc:creator>你真可爱</dc:creator>
  <cp:lastModifiedBy>Administrator</cp:lastModifiedBy>
  <cp:lastPrinted>2021-06-29T04:36:00Z</cp:lastPrinted>
  <dcterms:modified xsi:type="dcterms:W3CDTF">2023-10-09T10:39:06Z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8E128FF117FB4B08A5B9EA5BFED59207</vt:lpwstr>
  </property>
</Properties>
</file>