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376" w:rsidRDefault="0064775C">
      <w:pPr>
        <w:textAlignment w:val="auto"/>
        <w:rPr>
          <w:rStyle w:val="NormalCharacter"/>
          <w:rFonts w:ascii="黑体" w:eastAsia="黑体" w:hAnsi="黑体"/>
          <w:sz w:val="32"/>
          <w:szCs w:val="32"/>
        </w:rPr>
      </w:pPr>
      <w:r>
        <w:rPr>
          <w:rStyle w:val="NormalCharacter"/>
          <w:rFonts w:ascii="黑体" w:eastAsia="黑体" w:hAnsi="黑体"/>
          <w:sz w:val="32"/>
          <w:szCs w:val="32"/>
        </w:rPr>
        <w:t>附件：</w:t>
      </w:r>
    </w:p>
    <w:p w:rsidR="00720376" w:rsidRDefault="00720376">
      <w:pPr>
        <w:jc w:val="center"/>
        <w:textAlignment w:val="auto"/>
        <w:rPr>
          <w:rStyle w:val="NormalCharacter"/>
          <w:rFonts w:ascii="方正小标宋_GBK" w:eastAsia="方正小标宋_GBK" w:hAnsi="宋体"/>
          <w:sz w:val="44"/>
          <w:szCs w:val="44"/>
        </w:rPr>
      </w:pPr>
    </w:p>
    <w:p w:rsidR="00720376" w:rsidRDefault="00720376">
      <w:pPr>
        <w:jc w:val="center"/>
        <w:textAlignment w:val="auto"/>
        <w:rPr>
          <w:rStyle w:val="NormalCharacter"/>
          <w:rFonts w:ascii="方正小标宋_GBK" w:eastAsia="方正小标宋_GBK" w:hAnsi="宋体"/>
          <w:sz w:val="44"/>
          <w:szCs w:val="44"/>
        </w:rPr>
      </w:pPr>
    </w:p>
    <w:p w:rsidR="00720376" w:rsidRDefault="00720376">
      <w:pPr>
        <w:jc w:val="center"/>
        <w:textAlignment w:val="auto"/>
        <w:rPr>
          <w:rStyle w:val="NormalCharacter"/>
          <w:rFonts w:ascii="方正小标宋_GBK" w:eastAsia="方正小标宋_GBK" w:hAnsi="宋体"/>
          <w:sz w:val="44"/>
          <w:szCs w:val="44"/>
        </w:rPr>
      </w:pPr>
    </w:p>
    <w:p w:rsidR="00720376" w:rsidRDefault="00720376">
      <w:pPr>
        <w:jc w:val="center"/>
        <w:textAlignment w:val="auto"/>
        <w:rPr>
          <w:rStyle w:val="NormalCharacter"/>
          <w:rFonts w:ascii="方正小标宋_GBK" w:eastAsia="方正小标宋_GBK" w:hAnsi="宋体"/>
          <w:sz w:val="44"/>
          <w:szCs w:val="44"/>
        </w:rPr>
      </w:pPr>
    </w:p>
    <w:p w:rsidR="00720376" w:rsidRDefault="0064775C">
      <w:pPr>
        <w:jc w:val="center"/>
        <w:textAlignment w:val="auto"/>
        <w:rPr>
          <w:rStyle w:val="NormalCharacter"/>
          <w:rFonts w:ascii="方正小标宋_GBK" w:eastAsia="方正小标宋_GBK" w:hAnsi="宋体"/>
          <w:sz w:val="44"/>
          <w:szCs w:val="44"/>
        </w:rPr>
      </w:pPr>
      <w:r>
        <w:rPr>
          <w:rStyle w:val="NormalCharacter"/>
          <w:rFonts w:ascii="方正小标宋_GBK" w:eastAsia="方正小标宋_GBK" w:hAnsi="宋体"/>
          <w:sz w:val="44"/>
          <w:szCs w:val="44"/>
        </w:rPr>
        <w:t>英吉沙县供销合作社联合社2019年度</w:t>
      </w:r>
    </w:p>
    <w:p w:rsidR="00720376" w:rsidRDefault="0064775C">
      <w:pPr>
        <w:jc w:val="center"/>
        <w:textAlignment w:val="auto"/>
        <w:rPr>
          <w:rStyle w:val="NormalCharacter"/>
          <w:rFonts w:ascii="方正小标宋_GBK" w:eastAsia="方正小标宋_GBK" w:hAnsi="宋体"/>
          <w:sz w:val="44"/>
          <w:szCs w:val="44"/>
        </w:rPr>
      </w:pPr>
      <w:r>
        <w:rPr>
          <w:rStyle w:val="NormalCharacter"/>
          <w:rFonts w:ascii="方正小标宋_GBK" w:eastAsia="方正小标宋_GBK" w:hAnsi="宋体"/>
          <w:sz w:val="44"/>
          <w:szCs w:val="44"/>
        </w:rPr>
        <w:t>部门决算公开说明</w:t>
      </w:r>
    </w:p>
    <w:p w:rsidR="00720376" w:rsidRDefault="0064775C">
      <w:pPr>
        <w:jc w:val="center"/>
        <w:textAlignment w:val="auto"/>
        <w:rPr>
          <w:rStyle w:val="NormalCharacter"/>
          <w:rFonts w:ascii="方正小标宋_GBK" w:eastAsia="方正小标宋_GBK" w:hAnsi="宋体"/>
          <w:sz w:val="44"/>
          <w:szCs w:val="44"/>
        </w:rPr>
      </w:pPr>
      <w:r>
        <w:rPr>
          <w:rStyle w:val="NormalCharacter"/>
          <w:rFonts w:ascii="方正小标宋_GBK" w:eastAsia="方正小标宋_GBK" w:hAnsi="宋体"/>
          <w:sz w:val="44"/>
          <w:szCs w:val="44"/>
        </w:rPr>
        <w:br w:type="page"/>
      </w:r>
    </w:p>
    <w:p w:rsidR="00720376" w:rsidRDefault="0064775C">
      <w:pPr>
        <w:jc w:val="center"/>
        <w:textAlignment w:val="auto"/>
        <w:rPr>
          <w:rStyle w:val="NormalCharacter"/>
          <w:rFonts w:ascii="仿宋_GB2312" w:eastAsia="仿宋_GB2312" w:hAnsi="仿宋_GB2312" w:cs="仿宋_GB2312"/>
          <w:bCs/>
          <w:kern w:val="0"/>
          <w:sz w:val="32"/>
          <w:szCs w:val="32"/>
        </w:rPr>
      </w:pPr>
      <w:r>
        <w:rPr>
          <w:rStyle w:val="NormalCharacter"/>
          <w:rFonts w:ascii="仿宋_GB2312" w:eastAsia="仿宋_GB2312" w:hAnsi="仿宋_GB2312"/>
          <w:b/>
          <w:kern w:val="0"/>
          <w:sz w:val="36"/>
          <w:szCs w:val="36"/>
        </w:rPr>
        <w:lastRenderedPageBreak/>
        <w:t>目  录</w:t>
      </w:r>
    </w:p>
    <w:p w:rsidR="00720376" w:rsidRDefault="0064775C">
      <w:pPr>
        <w:pStyle w:val="TOC1"/>
        <w:tabs>
          <w:tab w:val="right" w:pos="8306"/>
        </w:tabs>
        <w:textAlignment w:val="auto"/>
        <w:rPr>
          <w:rStyle w:val="NormalCharacter"/>
          <w:rFonts w:ascii="仿宋_GB2312" w:eastAsia="仿宋_GB2312" w:hAnsi="仿宋_GB2312" w:cs="仿宋_GB2312"/>
          <w:b/>
          <w:bCs/>
          <w:sz w:val="32"/>
          <w:szCs w:val="32"/>
        </w:rPr>
      </w:pPr>
      <w:r>
        <w:rPr>
          <w:rStyle w:val="NormalCharacter"/>
          <w:rFonts w:ascii="仿宋_GB2312" w:eastAsia="仿宋_GB2312" w:hAnsi="仿宋_GB2312" w:cs="仿宋_GB2312"/>
          <w:b/>
          <w:bCs/>
          <w:sz w:val="32"/>
          <w:szCs w:val="32"/>
        </w:rPr>
        <w:t>第一部分 部门单位概况</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一、主要职能</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二、机构设置及人员情况</w:t>
      </w:r>
    </w:p>
    <w:p w:rsidR="00720376" w:rsidRDefault="0064775C">
      <w:pPr>
        <w:pStyle w:val="TOC1"/>
        <w:tabs>
          <w:tab w:val="right" w:pos="8306"/>
        </w:tabs>
        <w:textAlignment w:val="auto"/>
        <w:rPr>
          <w:rStyle w:val="NormalCharacter"/>
          <w:rFonts w:ascii="仿宋_GB2312" w:eastAsia="仿宋_GB2312" w:hAnsi="仿宋_GB2312" w:cs="仿宋_GB2312"/>
          <w:b/>
          <w:bCs/>
          <w:sz w:val="32"/>
          <w:szCs w:val="32"/>
        </w:rPr>
      </w:pPr>
      <w:r>
        <w:rPr>
          <w:rStyle w:val="NormalCharacter"/>
          <w:rFonts w:ascii="仿宋_GB2312" w:eastAsia="仿宋_GB2312" w:hAnsi="仿宋_GB2312" w:cs="仿宋_GB2312"/>
          <w:b/>
          <w:bCs/>
          <w:sz w:val="32"/>
          <w:szCs w:val="32"/>
        </w:rPr>
        <w:t>第二部分 部门决算情况说明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一、收入支出决算总体情况说明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二、收入决算情况说明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三、支出决算情况说明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四、财政拨款收入支出决算总体情况说明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五、一般公共预算财政拨款支出决算情况说明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六、一般公共预算财政拨款基本支出决算情况说明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七、一般公共预算财政拨款“三公”经费支出决算情况说明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八、政府性基金预算收入支出决算情况说明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九、其他重要事项的情况说明</w:t>
      </w:r>
    </w:p>
    <w:p w:rsidR="00720376" w:rsidRDefault="0064775C">
      <w:pPr>
        <w:pStyle w:val="TOC3"/>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sz w:val="32"/>
          <w:szCs w:val="32"/>
        </w:rPr>
        <w:t>（一）机关运行经费支出情况</w:t>
      </w:r>
    </w:p>
    <w:p w:rsidR="00720376" w:rsidRDefault="0064775C">
      <w:pPr>
        <w:pStyle w:val="TOC3"/>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sz w:val="32"/>
          <w:szCs w:val="32"/>
        </w:rPr>
        <w:t>（二）政府采购情况</w:t>
      </w:r>
    </w:p>
    <w:p w:rsidR="00720376" w:rsidRDefault="0064775C">
      <w:pPr>
        <w:pStyle w:val="TOC3"/>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sz w:val="32"/>
          <w:szCs w:val="32"/>
        </w:rPr>
        <w:t>（三）国有资产占用情况说明</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十、预算绩效的情况说明</w:t>
      </w:r>
    </w:p>
    <w:p w:rsidR="00720376" w:rsidRDefault="0064775C">
      <w:pPr>
        <w:pStyle w:val="TOC1"/>
        <w:tabs>
          <w:tab w:val="right" w:pos="8306"/>
        </w:tabs>
        <w:textAlignment w:val="auto"/>
        <w:rPr>
          <w:rStyle w:val="NormalCharacter"/>
          <w:rFonts w:ascii="仿宋_GB2312" w:eastAsia="仿宋_GB2312" w:hAnsi="仿宋_GB2312" w:cs="仿宋_GB2312"/>
          <w:b/>
          <w:bCs/>
          <w:sz w:val="32"/>
          <w:szCs w:val="32"/>
        </w:rPr>
      </w:pPr>
      <w:r>
        <w:rPr>
          <w:rStyle w:val="NormalCharacter"/>
          <w:rFonts w:ascii="仿宋_GB2312" w:eastAsia="仿宋_GB2312" w:hAnsi="仿宋_GB2312" w:cs="仿宋_GB2312"/>
          <w:b/>
          <w:bCs/>
          <w:sz w:val="32"/>
          <w:szCs w:val="32"/>
        </w:rPr>
        <w:t>第三部分 专业名词解释</w:t>
      </w:r>
    </w:p>
    <w:p w:rsidR="00720376" w:rsidRDefault="0064775C">
      <w:pPr>
        <w:pStyle w:val="TOC1"/>
        <w:tabs>
          <w:tab w:val="right" w:pos="8306"/>
        </w:tabs>
        <w:textAlignment w:val="auto"/>
        <w:rPr>
          <w:rStyle w:val="NormalCharacter"/>
          <w:rFonts w:ascii="仿宋_GB2312" w:eastAsia="仿宋_GB2312" w:hAnsi="仿宋_GB2312" w:cs="仿宋_GB2312"/>
          <w:b/>
          <w:bCs/>
          <w:sz w:val="32"/>
          <w:szCs w:val="32"/>
        </w:rPr>
      </w:pPr>
      <w:r>
        <w:rPr>
          <w:rStyle w:val="NormalCharacter"/>
          <w:rFonts w:ascii="仿宋_GB2312" w:eastAsia="仿宋_GB2312" w:hAnsi="仿宋_GB2312" w:cs="仿宋_GB2312"/>
          <w:b/>
          <w:bCs/>
          <w:sz w:val="32"/>
          <w:szCs w:val="32"/>
        </w:rPr>
        <w:t>第四部分 部门决算报表（见附表）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一、《收入支出决算总表》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lastRenderedPageBreak/>
        <w:t>二、《收入决算表》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三、《支出决算表》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四、《财政拨款收入支出决算总表》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五、《一般公共预算财政拨款支出决算表》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六、《一般公共预算财政拨款基本支出决算表》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七、《一般公共预算财政拨款“三公”经费支出决算表》</w:t>
      </w:r>
    </w:p>
    <w:p w:rsidR="00720376" w:rsidRDefault="0064775C">
      <w:pPr>
        <w:pStyle w:val="TOC2"/>
        <w:tabs>
          <w:tab w:val="right" w:pos="8306"/>
        </w:tabs>
        <w:ind w:leftChars="0" w:left="0"/>
        <w:textAlignment w:val="auto"/>
        <w:rPr>
          <w:rStyle w:val="NormalCharacter"/>
          <w:rFonts w:ascii="仿宋_GB2312" w:eastAsia="仿宋_GB2312" w:hAnsi="仿宋_GB2312"/>
          <w:sz w:val="32"/>
          <w:szCs w:val="32"/>
        </w:rPr>
      </w:pPr>
      <w:r>
        <w:rPr>
          <w:rStyle w:val="NormalCharacter"/>
          <w:rFonts w:ascii="仿宋_GB2312" w:eastAsia="仿宋_GB2312" w:hAnsi="仿宋_GB2312" w:cs="仿宋_GB2312"/>
          <w:bCs/>
          <w:kern w:val="0"/>
          <w:sz w:val="32"/>
          <w:szCs w:val="32"/>
        </w:rPr>
        <w:t>八、《政府性基金预算财政拨款收入支出决算表》</w:t>
      </w:r>
    </w:p>
    <w:p w:rsidR="00720376" w:rsidRDefault="00720376">
      <w:pPr>
        <w:textAlignment w:val="auto"/>
        <w:rPr>
          <w:rStyle w:val="NormalCharacter"/>
        </w:rPr>
      </w:pPr>
    </w:p>
    <w:p w:rsidR="00720376" w:rsidRDefault="0064775C">
      <w:pPr>
        <w:ind w:firstLineChars="200" w:firstLine="640"/>
        <w:jc w:val="center"/>
        <w:textAlignment w:val="auto"/>
        <w:rPr>
          <w:rStyle w:val="NormalCharacter"/>
          <w:rFonts w:ascii="仿宋_GB2312" w:eastAsia="仿宋_GB2312"/>
          <w:sz w:val="32"/>
          <w:szCs w:val="32"/>
        </w:rPr>
      </w:pPr>
      <w:r>
        <w:rPr>
          <w:rStyle w:val="NormalCharacter"/>
          <w:rFonts w:ascii="仿宋_GB2312" w:eastAsia="仿宋_GB2312"/>
          <w:sz w:val="32"/>
          <w:szCs w:val="32"/>
        </w:rPr>
        <w:br w:type="page"/>
      </w:r>
    </w:p>
    <w:p w:rsidR="00720376" w:rsidRDefault="0064775C">
      <w:pPr>
        <w:ind w:firstLineChars="200" w:firstLine="640"/>
        <w:jc w:val="center"/>
        <w:textAlignment w:val="auto"/>
        <w:rPr>
          <w:rStyle w:val="NormalCharacter"/>
          <w:rFonts w:ascii="黑体" w:eastAsia="黑体" w:hAnsi="黑体"/>
          <w:sz w:val="32"/>
          <w:szCs w:val="32"/>
        </w:rPr>
      </w:pPr>
      <w:r>
        <w:rPr>
          <w:rStyle w:val="NormalCharacter"/>
          <w:rFonts w:ascii="黑体" w:eastAsia="黑体" w:hAnsi="黑体"/>
          <w:sz w:val="32"/>
          <w:szCs w:val="32"/>
        </w:rPr>
        <w:lastRenderedPageBreak/>
        <w:t>第一部分 部门单位概况</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一、主要职能</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英吉沙县供销合作社联合</w:t>
      </w:r>
      <w:proofErr w:type="gramStart"/>
      <w:r>
        <w:rPr>
          <w:rStyle w:val="NormalCharacter"/>
          <w:rFonts w:ascii="仿宋_GB2312" w:eastAsia="仿宋_GB2312"/>
          <w:sz w:val="32"/>
          <w:szCs w:val="32"/>
        </w:rPr>
        <w:t>社职能</w:t>
      </w:r>
      <w:proofErr w:type="gramEnd"/>
      <w:r>
        <w:rPr>
          <w:rStyle w:val="NormalCharacter"/>
          <w:rFonts w:ascii="仿宋_GB2312" w:eastAsia="仿宋_GB2312"/>
          <w:sz w:val="32"/>
          <w:szCs w:val="32"/>
        </w:rPr>
        <w:t>主要是：</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（一）宣传贯彻党中央、国务院和自治区党委、政府以及地委、行署和县委、政府有关农村经济工作和社会发展的方针政策，研究制定全县供销合作社的发展规划，指导全县供销合作社的改革与发展。</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（二）指导全县供销合作社系统发展农村合作经济组织，参与、推动农业产业化经营和农业社会化服务体系建设；指导协调本系统有关行业协会工作。</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（三）指导全县供销合作社系统参与农村市场和商品流通网络建设，推进农村流通现代化，开拓城乡市场，促进城乡经济交流与发展。</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（四）按照政府授权对农业生产资料等重要商品经营进行组织、协调和管理；按规定负责烟花爆竹等特殊商品的统一归口经营管理工作。</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（五）向政府和有关部门反映农民社员及供销合作社意见和要求，争取政策扶持，维护供销合作社和农民社员的合法权益。</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（六）指导全县供销合作社的组织建设，促进基层供销合作社加强民主管理，密切同农民的联系，协调成员社之间的关系，发挥群体联合优势。</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lastRenderedPageBreak/>
        <w:t>（七）管理、监督和运营本级社社有资产，确保社有资产的保值增值。</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二、机构设置及人员情况</w:t>
      </w:r>
    </w:p>
    <w:p w:rsidR="00720376" w:rsidRDefault="0064775C">
      <w:pPr>
        <w:ind w:firstLineChars="200" w:firstLine="640"/>
        <w:textAlignment w:val="auto"/>
        <w:rPr>
          <w:rStyle w:val="NormalCharacter"/>
          <w:rFonts w:ascii="仿宋_GB2312" w:eastAsia="仿宋_GB2312"/>
          <w:sz w:val="32"/>
          <w:szCs w:val="32"/>
          <w:highlight w:val="yellow"/>
        </w:rPr>
      </w:pPr>
      <w:r>
        <w:rPr>
          <w:rStyle w:val="NormalCharacter"/>
          <w:rFonts w:ascii="仿宋_GB2312" w:eastAsia="仿宋_GB2312"/>
          <w:sz w:val="32"/>
          <w:szCs w:val="32"/>
        </w:rPr>
        <w:t>英吉沙县供销合作社联合社2019年度，实有人数4人，其中：在职人员4人，离休人员0人，退休人员0人。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从部门决算单位构成看，英吉沙县供销合作社联合</w:t>
      </w:r>
      <w:proofErr w:type="gramStart"/>
      <w:r>
        <w:rPr>
          <w:rStyle w:val="NormalCharacter"/>
          <w:rFonts w:ascii="仿宋_GB2312" w:eastAsia="仿宋_GB2312"/>
          <w:sz w:val="32"/>
          <w:szCs w:val="32"/>
        </w:rPr>
        <w:t>社部门</w:t>
      </w:r>
      <w:proofErr w:type="gramEnd"/>
      <w:r>
        <w:rPr>
          <w:rStyle w:val="NormalCharacter"/>
          <w:rFonts w:ascii="仿宋_GB2312" w:eastAsia="仿宋_GB2312"/>
          <w:sz w:val="32"/>
          <w:szCs w:val="32"/>
        </w:rPr>
        <w:t>决算包括：英吉沙县供销合作社联合社决算。</w:t>
      </w:r>
    </w:p>
    <w:p w:rsidR="00720376" w:rsidRDefault="0064775C">
      <w:pPr>
        <w:ind w:firstLineChars="200" w:firstLine="640"/>
        <w:jc w:val="center"/>
        <w:textAlignment w:val="auto"/>
        <w:rPr>
          <w:rStyle w:val="NormalCharacter"/>
          <w:rFonts w:ascii="黑体" w:eastAsia="黑体" w:hAnsi="黑体"/>
          <w:sz w:val="32"/>
          <w:szCs w:val="32"/>
        </w:rPr>
      </w:pPr>
      <w:r>
        <w:rPr>
          <w:rStyle w:val="NormalCharacter"/>
          <w:rFonts w:ascii="黑体" w:eastAsia="黑体" w:hAnsi="黑体"/>
          <w:sz w:val="32"/>
          <w:szCs w:val="32"/>
        </w:rPr>
        <w:t>第二部分 部门决算情况说明</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一、收入支出决算总体情况说明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本年收入179.12万元，与上年308.67万元相比，减少129.55万元，降低41.97%，主要原因是：减少了专项项目资金。本年支出179.12万元，与上年312.78万元相比，降低133.66万元，降低42.73%，主要原因是：减少了专项项目资金。</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二、收入决算情况说明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2019年度本年收入179.12万元，其中：财政拨款收入179.12万元，占100%；上级补助收入0万元，占0%；事业收入0万元，占0%；经营收入0万元，占0%；附属单位上缴收入0万元，占0%；其他收入0万元，占0%。</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三、支出决算情况说明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2019年度本年支出179.12万元，其中：基本支出60.32万元，占33.68%；项目</w:t>
      </w:r>
      <w:r>
        <w:rPr>
          <w:rStyle w:val="NormalCharacter"/>
          <w:rFonts w:ascii="仿宋_GB2312" w:eastAsia="仿宋_GB2312"/>
          <w:sz w:val="32"/>
          <w:szCs w:val="32"/>
        </w:rPr>
        <w:t>··</w:t>
      </w:r>
      <w:r>
        <w:rPr>
          <w:rStyle w:val="NormalCharacter"/>
          <w:rFonts w:ascii="仿宋_GB2312" w:eastAsia="仿宋_GB2312"/>
          <w:sz w:val="32"/>
          <w:szCs w:val="32"/>
        </w:rPr>
        <w:t>支出118.8万元，占66.32%；</w:t>
      </w:r>
      <w:r>
        <w:rPr>
          <w:rStyle w:val="NormalCharacter"/>
          <w:rFonts w:ascii="仿宋_GB2312" w:eastAsia="仿宋_GB2312"/>
          <w:sz w:val="32"/>
          <w:szCs w:val="32"/>
        </w:rPr>
        <w:lastRenderedPageBreak/>
        <w:t>上缴上级支出0万元，占0%；经营支出0万元，占0%；对附属单位补助支出0万元，占0%。</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四、财政拨款收入支出决算总体情况说明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财政拨款收入179.12万元，与上年115.75万元相比，增加63.37万元，增长54.75%。主要原因是：本年度人员工资及社保基数调整。财政拨款支出179.12万元，与上年115.75万元相比，增加63.37万元，增长54.75%，主要原因是：本年度人员工资及社保基数调整。</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与年初预算数相比情况：财政拨款收入年初预算数63.37万元，决算数179.12万元，预决算差异率182.66%，主要原因是：年初项目及其他收入未做预算安排。财政拨款支出年初预算数63.37万元，决算数179.12万元，预决算差异率182.66%，主要原因是：年初项目及其他收入未做预算安排。</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五、一般公共预算财政拨款支出决算情况说明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2019年度一般公共预算财政拨款支出179.12万元。按功能分类科目项级科目公开，其中：</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2080505机关事业单位基本养老保险缴费支出</w:t>
      </w:r>
      <w:r>
        <w:rPr>
          <w:rStyle w:val="NormalCharacter"/>
          <w:rFonts w:ascii="仿宋_GB2312" w:eastAsia="仿宋_GB2312"/>
          <w:sz w:val="32"/>
          <w:szCs w:val="32"/>
        </w:rPr>
        <w:tab/>
        <w:t>6.13万元；</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2160250事业运行49.65万元；</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2160299其他商业流通事务支出118.8万元；</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2210201住房公积金4.54万元。</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lastRenderedPageBreak/>
        <w:t>六、一般公共预算财政拨款基本支出决算情况说明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2019年度一般公共预算财政拨款基本支出60.32万元，其中：</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人员经费58.76万元，包括：基本工资、津贴补贴、奖金、绩效工资、机关事业单位基本养老保险缴费、职工基本医疗保险缴费、其他社会保障缴费、住房公积金、生活补助。</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公用经费1.56万元，包括：办公费。</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七、一般公共预算财政拨款“三公”经费支出决算情况说明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2019年度一般公共预算</w:t>
      </w:r>
      <w:r>
        <w:rPr>
          <w:rStyle w:val="NormalCharacter"/>
          <w:rFonts w:ascii="仿宋_GB2312" w:eastAsia="仿宋_GB2312"/>
          <w:sz w:val="32"/>
          <w:szCs w:val="32"/>
        </w:rPr>
        <w:t>“</w:t>
      </w:r>
      <w:r>
        <w:rPr>
          <w:rStyle w:val="NormalCharacter"/>
          <w:rFonts w:ascii="仿宋_GB2312" w:eastAsia="仿宋_GB2312"/>
          <w:sz w:val="32"/>
          <w:szCs w:val="32"/>
        </w:rPr>
        <w:t>三公</w:t>
      </w:r>
      <w:r>
        <w:rPr>
          <w:rStyle w:val="NormalCharacter"/>
          <w:rFonts w:ascii="仿宋_GB2312" w:eastAsia="仿宋_GB2312"/>
          <w:sz w:val="32"/>
          <w:szCs w:val="32"/>
        </w:rPr>
        <w:t>”</w:t>
      </w:r>
      <w:r>
        <w:rPr>
          <w:rStyle w:val="NormalCharacter"/>
          <w:rFonts w:ascii="仿宋_GB2312" w:eastAsia="仿宋_GB2312"/>
          <w:sz w:val="32"/>
          <w:szCs w:val="32"/>
        </w:rPr>
        <w:t>经费支出决算0万元，与上年相比无变化。其中，因公出国（境）费支出0万元，占0%，与上年相比无变化；公务用车购置及运行维护费支出0万元，占0%，与上年相比无变化；公务接待费支出0万元，占0%，与上年相比无变化。具体情况如下：</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因公出国（境）费支出0万元，开支内容包括：无。单位全年安排的因公出国（境）团组0个，因公出国（境）0人次。</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公务用车购置及运行维护费0万元，其中，公务用车购置费0万元，公务用车运行维护费0万元。公务用车运行维护费开支内容包括：无公务用车运行维护费。公务用车购置数0辆，公务用车保有量0辆。</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lastRenderedPageBreak/>
        <w:t>公务接待费0万元，开支内容包括无公务接待费。单位全年安排的国内公务接待0批次，0人次。</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与年初预算数相比情况：一般公共预算</w:t>
      </w:r>
      <w:r>
        <w:rPr>
          <w:rStyle w:val="NormalCharacter"/>
          <w:rFonts w:ascii="仿宋_GB2312" w:eastAsia="仿宋_GB2312"/>
          <w:sz w:val="32"/>
          <w:szCs w:val="32"/>
        </w:rPr>
        <w:t>“</w:t>
      </w:r>
      <w:r>
        <w:rPr>
          <w:rStyle w:val="NormalCharacter"/>
          <w:rFonts w:ascii="仿宋_GB2312" w:eastAsia="仿宋_GB2312"/>
          <w:sz w:val="32"/>
          <w:szCs w:val="32"/>
        </w:rPr>
        <w:t>三公</w:t>
      </w:r>
      <w:r>
        <w:rPr>
          <w:rStyle w:val="NormalCharacter"/>
          <w:rFonts w:ascii="仿宋_GB2312" w:eastAsia="仿宋_GB2312"/>
          <w:sz w:val="32"/>
          <w:szCs w:val="32"/>
        </w:rPr>
        <w:t>”</w:t>
      </w:r>
      <w:r>
        <w:rPr>
          <w:rStyle w:val="NormalCharacter"/>
          <w:rFonts w:ascii="仿宋_GB2312" w:eastAsia="仿宋_GB2312"/>
          <w:sz w:val="32"/>
          <w:szCs w:val="32"/>
        </w:rPr>
        <w:t>经费支出年初预算数0万元，决算数0万元，预决算差异率0%，主要原因是：与上年相比无变化。</w:t>
      </w:r>
      <w:r>
        <w:rPr>
          <w:rStyle w:val="NormalCharacter"/>
          <w:rFonts w:ascii="仿宋_GB2312" w:eastAsia="仿宋_GB2312" w:hAnsi="宋体"/>
          <w:kern w:val="0"/>
          <w:sz w:val="32"/>
          <w:szCs w:val="32"/>
        </w:rPr>
        <w:t>其中：因公出国（境）费</w:t>
      </w:r>
      <w:r>
        <w:rPr>
          <w:rStyle w:val="NormalCharacter"/>
          <w:rFonts w:ascii="仿宋_GB2312" w:eastAsia="仿宋_GB2312"/>
          <w:sz w:val="32"/>
          <w:szCs w:val="32"/>
        </w:rPr>
        <w:t>预算数0万元，决算数0万元，预决算差异率0%，主要原因是：与上年相比无变化；</w:t>
      </w:r>
      <w:r>
        <w:rPr>
          <w:rStyle w:val="NormalCharacter"/>
          <w:rFonts w:ascii="仿宋_GB2312" w:eastAsia="仿宋_GB2312" w:hAnsi="宋体"/>
          <w:kern w:val="0"/>
          <w:sz w:val="32"/>
          <w:szCs w:val="32"/>
        </w:rPr>
        <w:t>公务用车购置</w:t>
      </w:r>
      <w:r>
        <w:rPr>
          <w:rStyle w:val="NormalCharacter"/>
          <w:rFonts w:ascii="仿宋_GB2312" w:eastAsia="仿宋_GB2312"/>
          <w:sz w:val="32"/>
          <w:szCs w:val="32"/>
        </w:rPr>
        <w:t>费预算数0万元，决算数0万元，预决算差异率0%，主要原因是：与上年相比无变化；</w:t>
      </w:r>
      <w:r>
        <w:rPr>
          <w:rStyle w:val="NormalCharacter"/>
          <w:rFonts w:ascii="仿宋_GB2312" w:eastAsia="仿宋_GB2312" w:hAnsi="宋体"/>
          <w:kern w:val="0"/>
          <w:sz w:val="32"/>
          <w:szCs w:val="32"/>
        </w:rPr>
        <w:t>公务用车运行费</w:t>
      </w:r>
      <w:r>
        <w:rPr>
          <w:rStyle w:val="NormalCharacter"/>
          <w:rFonts w:ascii="仿宋_GB2312" w:eastAsia="仿宋_GB2312"/>
          <w:sz w:val="32"/>
          <w:szCs w:val="32"/>
        </w:rPr>
        <w:t>预算数0万元，决算数0万元，预决算差异率0%，主要原因是：与上年相比无变化；</w:t>
      </w:r>
      <w:r>
        <w:rPr>
          <w:rStyle w:val="NormalCharacter"/>
          <w:rFonts w:ascii="仿宋_GB2312" w:eastAsia="仿宋_GB2312" w:hAnsi="宋体"/>
          <w:kern w:val="0"/>
          <w:sz w:val="32"/>
          <w:szCs w:val="32"/>
        </w:rPr>
        <w:t>公务接待费</w:t>
      </w:r>
      <w:r>
        <w:rPr>
          <w:rStyle w:val="NormalCharacter"/>
          <w:rFonts w:ascii="仿宋_GB2312" w:eastAsia="仿宋_GB2312"/>
          <w:sz w:val="32"/>
          <w:szCs w:val="32"/>
        </w:rPr>
        <w:t>预算数0万元，决算数0万元，预决算差异率0%，主要原因是：与上年相比无变化。</w:t>
      </w:r>
    </w:p>
    <w:p w:rsidR="00FC3361" w:rsidRDefault="00FC3361" w:rsidP="00FC3361">
      <w:pPr>
        <w:widowControl w:val="0"/>
        <w:ind w:firstLineChars="200" w:firstLine="640"/>
        <w:textAlignment w:val="auto"/>
        <w:rPr>
          <w:rFonts w:ascii="仿宋_GB2312" w:eastAsia="仿宋_GB2312"/>
          <w:sz w:val="32"/>
          <w:szCs w:val="32"/>
        </w:rPr>
      </w:pPr>
      <w:r>
        <w:rPr>
          <w:rFonts w:ascii="仿宋_GB2312" w:eastAsia="仿宋_GB2312" w:hint="eastAsia"/>
          <w:sz w:val="32"/>
          <w:szCs w:val="32"/>
        </w:rPr>
        <w:t>2019年度政府性基金预算财政拨款收入0万元，与上年相比，增加0万元，增长0%，主要原因是：无。政府性基金预算支出0万元。与上年相比，增加0万元，增长0%，主要原因是：无。</w:t>
      </w:r>
    </w:p>
    <w:p w:rsidR="00FC3361" w:rsidRDefault="00FC3361" w:rsidP="00FC3361">
      <w:pPr>
        <w:widowControl w:val="0"/>
        <w:ind w:firstLineChars="200" w:firstLine="640"/>
        <w:textAlignment w:val="auto"/>
        <w:outlineLvl w:val="1"/>
        <w:rPr>
          <w:rFonts w:ascii="黑体" w:eastAsia="黑体" w:hAnsi="黑体" w:cs="宋体"/>
          <w:bCs/>
          <w:kern w:val="0"/>
          <w:sz w:val="32"/>
          <w:szCs w:val="32"/>
        </w:rPr>
      </w:pPr>
      <w:bookmarkStart w:id="0" w:name="_Toc7314"/>
      <w:bookmarkStart w:id="1" w:name="_Toc1235"/>
      <w:r>
        <w:rPr>
          <w:rFonts w:ascii="黑体" w:eastAsia="黑体" w:hAnsi="黑体" w:cs="宋体" w:hint="eastAsia"/>
          <w:bCs/>
          <w:kern w:val="0"/>
          <w:sz w:val="32"/>
          <w:szCs w:val="32"/>
        </w:rPr>
        <w:t>九、其他重要事项的情况说明</w:t>
      </w:r>
      <w:bookmarkEnd w:id="0"/>
      <w:bookmarkEnd w:id="1"/>
    </w:p>
    <w:p w:rsidR="00FC3361" w:rsidRDefault="00FC3361" w:rsidP="00FC3361">
      <w:pPr>
        <w:widowControl w:val="0"/>
        <w:ind w:firstLineChars="200" w:firstLine="640"/>
        <w:textAlignment w:val="auto"/>
        <w:outlineLvl w:val="2"/>
        <w:rPr>
          <w:rFonts w:ascii="黑体" w:eastAsia="黑体" w:hAnsi="黑体"/>
          <w:sz w:val="32"/>
          <w:szCs w:val="32"/>
        </w:rPr>
      </w:pPr>
      <w:bookmarkStart w:id="2" w:name="_Toc13105"/>
      <w:bookmarkStart w:id="3" w:name="_Toc14519"/>
      <w:r>
        <w:rPr>
          <w:rFonts w:ascii="黑体" w:eastAsia="黑体" w:hAnsi="黑体" w:hint="eastAsia"/>
          <w:sz w:val="32"/>
          <w:szCs w:val="32"/>
        </w:rPr>
        <w:t>（一）机关运行经费支出情况</w:t>
      </w:r>
      <w:bookmarkEnd w:id="2"/>
      <w:bookmarkEnd w:id="3"/>
    </w:p>
    <w:p w:rsidR="00FC3361" w:rsidRPr="002B658F" w:rsidRDefault="00FC3361" w:rsidP="00FC3361">
      <w:pPr>
        <w:widowControl w:val="0"/>
        <w:ind w:firstLineChars="200" w:firstLine="640"/>
        <w:textAlignment w:val="auto"/>
        <w:rPr>
          <w:rFonts w:ascii="仿宋_GB2312" w:eastAsia="仿宋_GB2312"/>
          <w:sz w:val="32"/>
          <w:szCs w:val="32"/>
        </w:rPr>
      </w:pPr>
      <w:r w:rsidRPr="002B658F">
        <w:rPr>
          <w:rFonts w:ascii="仿宋_GB2312" w:eastAsia="仿宋_GB2312" w:hint="eastAsia"/>
          <w:sz w:val="32"/>
          <w:szCs w:val="32"/>
        </w:rPr>
        <w:t>2019年度英吉沙县供销合作社联合社（事业单位）机关运行经费支出</w:t>
      </w:r>
      <w:r w:rsidR="002E7BD6">
        <w:rPr>
          <w:rFonts w:ascii="仿宋_GB2312" w:eastAsia="仿宋_GB2312" w:hint="eastAsia"/>
          <w:sz w:val="32"/>
          <w:szCs w:val="32"/>
        </w:rPr>
        <w:t>1.56</w:t>
      </w:r>
      <w:r w:rsidRPr="002B658F">
        <w:rPr>
          <w:rFonts w:ascii="仿宋_GB2312" w:eastAsia="仿宋_GB2312" w:hint="eastAsia"/>
          <w:sz w:val="32"/>
          <w:szCs w:val="32"/>
        </w:rPr>
        <w:t>万元，比上年增加</w:t>
      </w:r>
      <w:r w:rsidR="002B658F" w:rsidRPr="002B658F">
        <w:rPr>
          <w:rFonts w:ascii="仿宋_GB2312" w:eastAsia="仿宋_GB2312" w:hint="eastAsia"/>
          <w:sz w:val="32"/>
          <w:szCs w:val="32"/>
        </w:rPr>
        <w:t>0</w:t>
      </w:r>
      <w:r w:rsidRPr="002B658F">
        <w:rPr>
          <w:rFonts w:ascii="仿宋_GB2312" w:eastAsia="仿宋_GB2312" w:hint="eastAsia"/>
          <w:sz w:val="32"/>
          <w:szCs w:val="32"/>
        </w:rPr>
        <w:t>万元，增长</w:t>
      </w:r>
      <w:r w:rsidR="002B658F" w:rsidRPr="002B658F">
        <w:rPr>
          <w:rFonts w:ascii="仿宋_GB2312" w:eastAsia="仿宋_GB2312" w:hint="eastAsia"/>
          <w:sz w:val="32"/>
          <w:szCs w:val="32"/>
        </w:rPr>
        <w:t>0</w:t>
      </w:r>
      <w:r w:rsidRPr="002B658F">
        <w:rPr>
          <w:rFonts w:ascii="仿宋_GB2312" w:eastAsia="仿宋_GB2312" w:hint="eastAsia"/>
          <w:sz w:val="32"/>
          <w:szCs w:val="32"/>
        </w:rPr>
        <w:t>%,主要原因</w:t>
      </w:r>
      <w:r w:rsidR="002B658F" w:rsidRPr="002B658F">
        <w:rPr>
          <w:rFonts w:ascii="仿宋_GB2312" w:eastAsia="仿宋_GB2312" w:hint="eastAsia"/>
          <w:sz w:val="32"/>
          <w:szCs w:val="32"/>
        </w:rPr>
        <w:t>：无</w:t>
      </w:r>
      <w:r w:rsidRPr="002B658F">
        <w:rPr>
          <w:rFonts w:ascii="仿宋_GB2312" w:eastAsia="仿宋_GB2312" w:hint="eastAsia"/>
          <w:sz w:val="32"/>
          <w:szCs w:val="32"/>
        </w:rPr>
        <w:t>。</w:t>
      </w:r>
    </w:p>
    <w:p w:rsidR="00720376" w:rsidRPr="00FC3361" w:rsidRDefault="00720376">
      <w:pPr>
        <w:ind w:firstLineChars="200" w:firstLine="640"/>
        <w:textAlignment w:val="auto"/>
        <w:rPr>
          <w:rStyle w:val="NormalCharacter"/>
          <w:rFonts w:ascii="仿宋_GB2312" w:eastAsia="仿宋_GB2312"/>
          <w:sz w:val="32"/>
          <w:szCs w:val="32"/>
          <w:highlight w:val="yellow"/>
        </w:rPr>
      </w:pPr>
    </w:p>
    <w:p w:rsidR="00720376" w:rsidRDefault="0064775C">
      <w:pPr>
        <w:ind w:firstLineChars="200" w:firstLine="640"/>
        <w:textAlignment w:val="auto"/>
        <w:rPr>
          <w:rStyle w:val="NormalCharacter"/>
          <w:rFonts w:ascii="黑体" w:eastAsia="黑体" w:hAnsi="黑体"/>
          <w:sz w:val="32"/>
          <w:szCs w:val="32"/>
        </w:rPr>
      </w:pPr>
      <w:r>
        <w:rPr>
          <w:rStyle w:val="NormalCharacter"/>
          <w:rFonts w:ascii="黑体" w:eastAsia="黑体" w:hAnsi="黑体"/>
          <w:sz w:val="32"/>
          <w:szCs w:val="32"/>
        </w:rPr>
        <w:lastRenderedPageBreak/>
        <w:t>（二）政府采购情况</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2019年度政府采购支出总额0万元，其中：政府采购货物支出0万元、政府采购工程支出0万元、政府采购服务支出0万元。</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授予中小企业合同金额0万元，占政府采购支出总额的0%，其中：授予小</w:t>
      </w:r>
      <w:proofErr w:type="gramStart"/>
      <w:r>
        <w:rPr>
          <w:rStyle w:val="NormalCharacter"/>
          <w:rFonts w:ascii="仿宋_GB2312" w:eastAsia="仿宋_GB2312"/>
          <w:sz w:val="32"/>
          <w:szCs w:val="32"/>
        </w:rPr>
        <w:t>微企业</w:t>
      </w:r>
      <w:proofErr w:type="gramEnd"/>
      <w:r>
        <w:rPr>
          <w:rStyle w:val="NormalCharacter"/>
          <w:rFonts w:ascii="仿宋_GB2312" w:eastAsia="仿宋_GB2312"/>
          <w:sz w:val="32"/>
          <w:szCs w:val="32"/>
        </w:rPr>
        <w:t>合同金额0万元，占政府采购支出总额的0%。</w:t>
      </w:r>
    </w:p>
    <w:p w:rsidR="00720376" w:rsidRDefault="0064775C">
      <w:pPr>
        <w:ind w:firstLineChars="200" w:firstLine="640"/>
        <w:textAlignment w:val="auto"/>
        <w:rPr>
          <w:rStyle w:val="NormalCharacter"/>
          <w:rFonts w:ascii="黑体" w:eastAsia="黑体" w:hAnsi="黑体"/>
          <w:sz w:val="32"/>
          <w:szCs w:val="32"/>
        </w:rPr>
      </w:pPr>
      <w:r>
        <w:rPr>
          <w:rStyle w:val="NormalCharacter"/>
          <w:rFonts w:ascii="黑体" w:eastAsia="黑体" w:hAnsi="黑体"/>
          <w:sz w:val="32"/>
          <w:szCs w:val="32"/>
        </w:rPr>
        <w:t>（三）国有资产占用情况说明</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截止2019年12月31日，单位共有房屋1152平方米，价值58.55万元。车辆0辆，价值0万元，其中：副部（省）级及以上领导用车0辆、主要领导干部用车0辆、机要通信用车0辆、应急保障用车0</w:t>
      </w:r>
      <w:bookmarkStart w:id="4" w:name="_GoBack"/>
      <w:bookmarkEnd w:id="4"/>
      <w:r>
        <w:rPr>
          <w:rStyle w:val="NormalCharacter"/>
          <w:rFonts w:ascii="仿宋_GB2312" w:eastAsia="仿宋_GB2312"/>
          <w:sz w:val="32"/>
          <w:szCs w:val="32"/>
        </w:rPr>
        <w:t>辆、</w:t>
      </w:r>
      <w:r w:rsidR="002874F7">
        <w:rPr>
          <w:rFonts w:ascii="仿宋_GB2312" w:eastAsia="仿宋_GB2312" w:hint="eastAsia"/>
          <w:sz w:val="32"/>
          <w:szCs w:val="32"/>
        </w:rPr>
        <w:t>执法执勤用车</w:t>
      </w:r>
      <w:r>
        <w:rPr>
          <w:rStyle w:val="NormalCharacter"/>
          <w:rFonts w:ascii="仿宋_GB2312" w:eastAsia="仿宋_GB2312"/>
          <w:sz w:val="32"/>
          <w:szCs w:val="32"/>
        </w:rPr>
        <w:t>0辆、特种专业技术用车0辆、离退休干部用车0辆、其他用车0辆，其他用车主要是：无其他用车；单位价值50万元以上通用设备0台（套）、单位价值100万元以上专用设备0台（套）。</w:t>
      </w:r>
    </w:p>
    <w:p w:rsidR="00723705" w:rsidRDefault="00723705" w:rsidP="00723705">
      <w:pPr>
        <w:widowControl w:val="0"/>
        <w:ind w:firstLineChars="200" w:firstLine="640"/>
        <w:textAlignment w:val="auto"/>
        <w:outlineLvl w:val="1"/>
        <w:rPr>
          <w:rFonts w:ascii="黑体" w:eastAsia="黑体" w:hAnsi="黑体" w:cs="宋体"/>
          <w:bCs/>
          <w:kern w:val="0"/>
          <w:sz w:val="32"/>
          <w:szCs w:val="32"/>
        </w:rPr>
      </w:pPr>
      <w:bookmarkStart w:id="5" w:name="_Toc435"/>
      <w:bookmarkStart w:id="6" w:name="_Toc11283"/>
      <w:r>
        <w:rPr>
          <w:rFonts w:ascii="黑体" w:eastAsia="黑体" w:hAnsi="黑体" w:cs="宋体" w:hint="eastAsia"/>
          <w:bCs/>
          <w:kern w:val="0"/>
          <w:sz w:val="32"/>
          <w:szCs w:val="32"/>
        </w:rPr>
        <w:t>十、预算绩效的情况说明</w:t>
      </w:r>
      <w:bookmarkEnd w:id="5"/>
      <w:bookmarkEnd w:id="6"/>
    </w:p>
    <w:p w:rsidR="00720376" w:rsidRDefault="0064775C">
      <w:pPr>
        <w:ind w:firstLineChars="200" w:firstLine="624"/>
        <w:textAlignment w:val="auto"/>
        <w:rPr>
          <w:rStyle w:val="NormalCharacter"/>
          <w:rFonts w:ascii="仿宋" w:eastAsia="仿宋" w:hAnsi="仿宋"/>
          <w:color w:val="000000"/>
          <w:spacing w:val="-4"/>
          <w:sz w:val="32"/>
          <w:szCs w:val="32"/>
        </w:rPr>
      </w:pPr>
      <w:r>
        <w:rPr>
          <w:rStyle w:val="NormalCharacter"/>
          <w:rFonts w:ascii="仿宋" w:eastAsia="仿宋" w:hAnsi="仿宋"/>
          <w:color w:val="000000"/>
          <w:spacing w:val="-4"/>
          <w:sz w:val="32"/>
          <w:szCs w:val="32"/>
        </w:rPr>
        <w:t>根据预算绩效管理要求，我单位2019年度开展预算绩效评价项目2个，幸福快车”主题馆建设资金项目115万元，“幸福英吉沙”商标注册资金项目3.8万元，共涉及资金118.8万元。</w:t>
      </w:r>
      <w:r>
        <w:rPr>
          <w:rStyle w:val="NormalCharacter"/>
          <w:rFonts w:ascii="仿宋_GB2312" w:eastAsia="仿宋_GB2312" w:cs="Times New Roman"/>
          <w:b/>
          <w:bCs/>
          <w:sz w:val="32"/>
          <w:szCs w:val="32"/>
        </w:rPr>
        <w:t>预算绩效管理取得的成效：</w:t>
      </w:r>
      <w:r>
        <w:rPr>
          <w:rStyle w:val="NormalCharacter"/>
          <w:rFonts w:ascii="仿宋" w:eastAsia="仿宋" w:hAnsi="仿宋"/>
          <w:color w:val="000000"/>
          <w:spacing w:val="-4"/>
          <w:sz w:val="32"/>
          <w:szCs w:val="32"/>
        </w:rPr>
        <w:t>一是保障了职工工资,津补贴的及时足额发放,没有出现拖欠职工工资等现象；</w:t>
      </w:r>
      <w:r>
        <w:rPr>
          <w:rStyle w:val="NormalCharacter"/>
          <w:rFonts w:ascii="仿宋" w:eastAsia="仿宋" w:hAnsi="仿宋"/>
          <w:color w:val="000000"/>
          <w:spacing w:val="-4"/>
          <w:sz w:val="32"/>
          <w:szCs w:val="32"/>
        </w:rPr>
        <w:lastRenderedPageBreak/>
        <w:t>二是保障了各项工作的正常运转,资金支付正常；三是财政供养人员控制较好；四是资金使用无虚列支出及随意使用现象,无大额现金支付现象。</w:t>
      </w:r>
      <w:r>
        <w:rPr>
          <w:rStyle w:val="NormalCharacter"/>
          <w:rFonts w:ascii="仿宋_GB2312" w:eastAsia="仿宋_GB2312" w:cs="Times New Roman"/>
          <w:b/>
          <w:bCs/>
          <w:sz w:val="32"/>
          <w:szCs w:val="32"/>
        </w:rPr>
        <w:t>发现的问题及原因：</w:t>
      </w:r>
      <w:r>
        <w:rPr>
          <w:rStyle w:val="NormalCharacter"/>
          <w:rFonts w:ascii="仿宋" w:eastAsia="仿宋" w:hAnsi="仿宋"/>
          <w:color w:val="000000"/>
          <w:spacing w:val="-4"/>
          <w:sz w:val="32"/>
          <w:szCs w:val="32"/>
        </w:rPr>
        <w:t>无。</w:t>
      </w:r>
      <w:r>
        <w:rPr>
          <w:rStyle w:val="NormalCharacter"/>
          <w:rFonts w:ascii="仿宋_GB2312" w:eastAsia="仿宋_GB2312" w:cs="Times New Roman"/>
          <w:b/>
          <w:bCs/>
          <w:sz w:val="32"/>
          <w:szCs w:val="32"/>
        </w:rPr>
        <w:t>下一步改进措施：一是</w:t>
      </w:r>
      <w:r>
        <w:rPr>
          <w:rStyle w:val="NormalCharacter"/>
          <w:rFonts w:ascii="仿宋" w:eastAsia="仿宋" w:hAnsi="仿宋"/>
          <w:color w:val="000000"/>
          <w:spacing w:val="-4"/>
          <w:sz w:val="32"/>
          <w:szCs w:val="32"/>
        </w:rPr>
        <w:t>在今后的工作一是严格预算编制，做到细化精确，争取一些费用纳入财政预算中；</w:t>
      </w:r>
      <w:r>
        <w:rPr>
          <w:rStyle w:val="NormalCharacter"/>
          <w:rFonts w:ascii="仿宋_GB2312" w:eastAsia="仿宋_GB2312" w:cs="Times New Roman"/>
          <w:b/>
          <w:bCs/>
          <w:sz w:val="32"/>
          <w:szCs w:val="32"/>
        </w:rPr>
        <w:t>二是</w:t>
      </w:r>
      <w:r>
        <w:rPr>
          <w:rStyle w:val="NormalCharacter"/>
          <w:rFonts w:ascii="仿宋" w:eastAsia="仿宋" w:hAnsi="仿宋"/>
          <w:color w:val="000000"/>
          <w:spacing w:val="-4"/>
          <w:sz w:val="32"/>
          <w:szCs w:val="32"/>
        </w:rPr>
        <w:t>严格落实专项经费使用管理规定，做到专款专用;同时应及时与财政部门衔接，调减专项资金的预算安排，调增人员基本支出的预算安排。</w:t>
      </w:r>
      <w:r>
        <w:rPr>
          <w:rStyle w:val="NormalCharacter"/>
          <w:rFonts w:ascii="仿宋_GB2312" w:eastAsia="仿宋_GB2312" w:cs="Times New Roman"/>
          <w:b/>
          <w:bCs/>
          <w:sz w:val="32"/>
          <w:szCs w:val="32"/>
        </w:rPr>
        <w:t>三是</w:t>
      </w:r>
      <w:r>
        <w:rPr>
          <w:rStyle w:val="NormalCharacter"/>
          <w:rFonts w:ascii="仿宋" w:eastAsia="仿宋" w:hAnsi="仿宋"/>
          <w:color w:val="000000"/>
          <w:spacing w:val="-4"/>
          <w:sz w:val="32"/>
          <w:szCs w:val="32"/>
        </w:rPr>
        <w:t>要严格按照《公务员法》的规定，确保财政供养人员及时到位，保障各项工作的顺利实行。</w:t>
      </w:r>
      <w:r>
        <w:rPr>
          <w:rStyle w:val="NormalCharacter"/>
          <w:rFonts w:ascii="仿宋_GB2312" w:eastAsia="仿宋_GB2312" w:cs="Times New Roman"/>
          <w:b/>
          <w:bCs/>
          <w:sz w:val="32"/>
          <w:szCs w:val="32"/>
        </w:rPr>
        <w:t>四是</w:t>
      </w:r>
      <w:r>
        <w:rPr>
          <w:rStyle w:val="NormalCharacter"/>
          <w:rFonts w:ascii="仿宋" w:eastAsia="仿宋" w:hAnsi="仿宋"/>
          <w:color w:val="000000"/>
          <w:spacing w:val="-4"/>
          <w:sz w:val="32"/>
          <w:szCs w:val="32"/>
        </w:rPr>
        <w:t>在经费开支上严格按照八项规定执行。</w:t>
      </w:r>
    </w:p>
    <w:p w:rsidR="00720376" w:rsidRDefault="0064775C">
      <w:pPr>
        <w:pStyle w:val="Heading3"/>
        <w:spacing w:before="0" w:after="0"/>
        <w:ind w:firstLineChars="200" w:firstLine="643"/>
        <w:textAlignment w:val="bottom"/>
        <w:rPr>
          <w:rStyle w:val="NormalCharacter"/>
          <w:rFonts w:ascii="仿宋_GB2312" w:eastAsia="仿宋_GB2312"/>
        </w:rPr>
      </w:pPr>
      <w:r>
        <w:rPr>
          <w:rStyle w:val="NormalCharacter"/>
          <w:rFonts w:ascii="仿宋_GB2312" w:eastAsia="仿宋_GB2312"/>
        </w:rPr>
        <w:t>具体项目自评情况</w:t>
      </w:r>
      <w:proofErr w:type="gramStart"/>
      <w:r>
        <w:rPr>
          <w:rStyle w:val="NormalCharacter"/>
          <w:rFonts w:ascii="仿宋_GB2312" w:eastAsia="仿宋_GB2312"/>
        </w:rPr>
        <w:t>附项目</w:t>
      </w:r>
      <w:proofErr w:type="gramEnd"/>
      <w:r>
        <w:rPr>
          <w:rStyle w:val="NormalCharacter"/>
          <w:rFonts w:ascii="仿宋_GB2312" w:eastAsia="仿宋_GB2312"/>
        </w:rPr>
        <w:t>支出绩效自评表。</w:t>
      </w:r>
    </w:p>
    <w:p w:rsidR="00720376" w:rsidRDefault="0064775C">
      <w:pPr>
        <w:ind w:firstLineChars="200" w:firstLine="640"/>
        <w:jc w:val="center"/>
        <w:textAlignment w:val="auto"/>
        <w:rPr>
          <w:rStyle w:val="NormalCharacter"/>
          <w:rFonts w:ascii="黑体" w:eastAsia="黑体" w:hAnsi="黑体"/>
          <w:sz w:val="32"/>
          <w:szCs w:val="32"/>
        </w:rPr>
      </w:pPr>
      <w:r>
        <w:rPr>
          <w:rStyle w:val="NormalCharacter"/>
          <w:rFonts w:ascii="黑体" w:eastAsia="黑体" w:hAnsi="黑体"/>
          <w:sz w:val="32"/>
          <w:szCs w:val="32"/>
        </w:rPr>
        <w:t>第三部分 专业名词解释</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财政拨款收入：指同级财政当年拨付的资金。</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上级补助收入：指事业单位从主管部门和上级单位取得的非财政补助收入。</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事业收入：指事业单位开展专业业务活动及其辅助活动所取得的收入。</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经营收入：指事业单位在专业业务活动及其辅助活动之外开展非独立核算经营活动取得的收入。</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附属单位上缴收入：指事业单位附属的独立核算单位按有关规定上缴的收入。</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lastRenderedPageBreak/>
        <w:t>其他收入：指除上述</w:t>
      </w:r>
      <w:r>
        <w:rPr>
          <w:rStyle w:val="NormalCharacter"/>
          <w:rFonts w:ascii="仿宋_GB2312" w:eastAsia="仿宋_GB2312"/>
          <w:sz w:val="32"/>
          <w:szCs w:val="32"/>
        </w:rPr>
        <w:t>“</w:t>
      </w:r>
      <w:r>
        <w:rPr>
          <w:rStyle w:val="NormalCharacter"/>
          <w:rFonts w:ascii="仿宋_GB2312" w:eastAsia="仿宋_GB2312"/>
          <w:sz w:val="32"/>
          <w:szCs w:val="32"/>
        </w:rPr>
        <w:t>财政拨款收入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事业收入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经营收入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附属单位上缴收入</w:t>
      </w:r>
      <w:r>
        <w:rPr>
          <w:rStyle w:val="NormalCharacter"/>
          <w:rFonts w:ascii="仿宋_GB2312" w:eastAsia="仿宋_GB2312"/>
          <w:sz w:val="32"/>
          <w:szCs w:val="32"/>
        </w:rPr>
        <w:t>”</w:t>
      </w:r>
      <w:r>
        <w:rPr>
          <w:rStyle w:val="NormalCharacter"/>
          <w:rFonts w:ascii="仿宋_GB2312" w:eastAsia="仿宋_GB2312"/>
          <w:sz w:val="32"/>
          <w:szCs w:val="32"/>
        </w:rPr>
        <w:t>等之外取得的收入。</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用事业基金弥补收支差额：指事业单位在当年的</w:t>
      </w:r>
      <w:r>
        <w:rPr>
          <w:rStyle w:val="NormalCharacter"/>
          <w:rFonts w:ascii="仿宋_GB2312" w:eastAsia="仿宋_GB2312"/>
          <w:sz w:val="32"/>
          <w:szCs w:val="32"/>
        </w:rPr>
        <w:t>“</w:t>
      </w:r>
      <w:r>
        <w:rPr>
          <w:rStyle w:val="NormalCharacter"/>
          <w:rFonts w:ascii="仿宋_GB2312" w:eastAsia="仿宋_GB2312"/>
          <w:sz w:val="32"/>
          <w:szCs w:val="32"/>
        </w:rPr>
        <w:t>财政拨款收入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财政拨款结转和结余资金</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事业收入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事业单位经营收入</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w:t>
      </w:r>
      <w:r>
        <w:rPr>
          <w:rStyle w:val="NormalCharacter"/>
          <w:rFonts w:ascii="仿宋_GB2312" w:eastAsia="仿宋_GB2312"/>
          <w:sz w:val="32"/>
          <w:szCs w:val="32"/>
        </w:rPr>
        <w:t>其他收入</w:t>
      </w:r>
      <w:r>
        <w:rPr>
          <w:rStyle w:val="NormalCharacter"/>
          <w:rFonts w:ascii="仿宋_GB2312" w:eastAsia="仿宋_GB2312"/>
          <w:sz w:val="32"/>
          <w:szCs w:val="32"/>
        </w:rPr>
        <w:t>”</w:t>
      </w:r>
      <w:r>
        <w:rPr>
          <w:rStyle w:val="NormalCharacter"/>
          <w:rFonts w:ascii="仿宋_GB2312" w:eastAsia="仿宋_GB2312"/>
          <w:sz w:val="32"/>
          <w:szCs w:val="32"/>
        </w:rPr>
        <w:t>不足以安排当年支出的情况下，使用以前年度积累的事业基金（即事业单位当年收支相抵后按国家规定提取、用于弥补以后年度收支差额的基金）弥补本年度收支缺口的资金。</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基本支出：指为保障机构正常运转、完成日常工作任务而发生的人员支出和公用支出。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项目支出：指在基本支出之外为完成特定行政任务和事业发展目标所发生的支出。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经营支出：指事业单位在专业业务活动及其辅助活动之外开展非独立核算经营活动发生的支出。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lastRenderedPageBreak/>
        <w:t>对附属单位补助支出：指事业单位发生的用非财政预算资金对附属单位的补助支出。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w:t>
      </w:r>
      <w:r>
        <w:rPr>
          <w:rStyle w:val="NormalCharacter"/>
          <w:rFonts w:ascii="仿宋_GB2312" w:eastAsia="仿宋_GB2312"/>
          <w:sz w:val="32"/>
          <w:szCs w:val="32"/>
        </w:rPr>
        <w:t>三公</w:t>
      </w:r>
      <w:r>
        <w:rPr>
          <w:rStyle w:val="NormalCharacter"/>
          <w:rFonts w:ascii="仿宋_GB2312" w:eastAsia="仿宋_GB2312"/>
          <w:sz w:val="32"/>
          <w:szCs w:val="32"/>
        </w:rPr>
        <w:t>”</w:t>
      </w:r>
      <w:r>
        <w:rPr>
          <w:rStyle w:val="NormalCharacter"/>
          <w:rFonts w:ascii="仿宋_GB2312" w:eastAsia="仿宋_GB2312"/>
          <w:sz w:val="32"/>
          <w:szCs w:val="32"/>
        </w:rPr>
        <w:t>经费：指用一般公共预算财政拨款安排的因公出国（境）费、公务用车购置及运行费和公务接待费。其中，因公出国（境）</w:t>
      </w:r>
      <w:proofErr w:type="gramStart"/>
      <w:r>
        <w:rPr>
          <w:rStyle w:val="NormalCharacter"/>
          <w:rFonts w:ascii="仿宋_GB2312" w:eastAsia="仿宋_GB2312"/>
          <w:sz w:val="32"/>
          <w:szCs w:val="32"/>
        </w:rPr>
        <w:t>费反映</w:t>
      </w:r>
      <w:proofErr w:type="gramEnd"/>
      <w:r>
        <w:rPr>
          <w:rStyle w:val="NormalCharacter"/>
          <w:rFonts w:ascii="仿宋_GB2312" w:eastAsia="仿宋_GB2312"/>
          <w:sz w:val="32"/>
          <w:szCs w:val="32"/>
        </w:rPr>
        <w:t>单位公务出国（境）的住宿费、旅费、伙食补助费、杂费、培训费等支出；公务用车购置及运行</w:t>
      </w:r>
      <w:proofErr w:type="gramStart"/>
      <w:r>
        <w:rPr>
          <w:rStyle w:val="NormalCharacter"/>
          <w:rFonts w:ascii="仿宋_GB2312" w:eastAsia="仿宋_GB2312"/>
          <w:sz w:val="32"/>
          <w:szCs w:val="32"/>
        </w:rPr>
        <w:t>费反映</w:t>
      </w:r>
      <w:proofErr w:type="gramEnd"/>
      <w:r>
        <w:rPr>
          <w:rStyle w:val="NormalCharacter"/>
          <w:rFonts w:ascii="仿宋_GB2312" w:eastAsia="仿宋_GB2312"/>
          <w:sz w:val="32"/>
          <w:szCs w:val="32"/>
        </w:rPr>
        <w:t>单位公务用车购置费及租用费、燃料费、维修费、过路过桥费、保险费、安全奖励费用等支出；公务接待</w:t>
      </w:r>
      <w:proofErr w:type="gramStart"/>
      <w:r>
        <w:rPr>
          <w:rStyle w:val="NormalCharacter"/>
          <w:rFonts w:ascii="仿宋_GB2312" w:eastAsia="仿宋_GB2312"/>
          <w:sz w:val="32"/>
          <w:szCs w:val="32"/>
        </w:rPr>
        <w:t>费反映</w:t>
      </w:r>
      <w:proofErr w:type="gramEnd"/>
      <w:r>
        <w:rPr>
          <w:rStyle w:val="NormalCharacter"/>
          <w:rFonts w:ascii="仿宋_GB2312" w:eastAsia="仿宋_GB2312"/>
          <w:sz w:val="32"/>
          <w:szCs w:val="32"/>
        </w:rPr>
        <w:t>单位按规定开支的各类公务接待（含外宾接待）支出。</w:t>
      </w:r>
    </w:p>
    <w:p w:rsidR="00720376" w:rsidRDefault="0064775C">
      <w:pPr>
        <w:ind w:firstLineChars="200" w:firstLine="640"/>
        <w:textAlignment w:val="auto"/>
        <w:rPr>
          <w:rStyle w:val="NormalCharacter"/>
          <w:rFonts w:ascii="仿宋_GB2312" w:eastAsia="仿宋_GB2312"/>
          <w:sz w:val="32"/>
          <w:szCs w:val="32"/>
        </w:rPr>
      </w:pPr>
      <w:r>
        <w:rPr>
          <w:rStyle w:val="NormalCharacter"/>
          <w:rFonts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20376" w:rsidRDefault="0064775C">
      <w:pPr>
        <w:ind w:firstLineChars="200" w:firstLine="640"/>
        <w:jc w:val="center"/>
        <w:textAlignment w:val="auto"/>
        <w:rPr>
          <w:rStyle w:val="NormalCharacter"/>
          <w:rFonts w:ascii="黑体" w:eastAsia="黑体" w:hAnsi="黑体"/>
          <w:sz w:val="32"/>
          <w:szCs w:val="32"/>
        </w:rPr>
      </w:pPr>
      <w:r>
        <w:rPr>
          <w:rStyle w:val="NormalCharacter"/>
          <w:rFonts w:ascii="黑体" w:eastAsia="黑体" w:hAnsi="黑体"/>
          <w:sz w:val="32"/>
          <w:szCs w:val="32"/>
        </w:rPr>
        <w:t>第四部分 部门决算报表（见附表）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一、《收入支出决算总表》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二、《收入决算表》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三、《支出决算表》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四、《财政拨款收入支出决算总表》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五、《一般公共预算财政拨款支出决算表》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lastRenderedPageBreak/>
        <w:t>六、《一般公共预算财政拨款基本支出决算表》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七、《一般公共预算财政拨款“三公”经费支出决算表》</w:t>
      </w:r>
    </w:p>
    <w:p w:rsidR="00720376" w:rsidRDefault="0064775C">
      <w:pPr>
        <w:ind w:firstLineChars="200" w:firstLine="640"/>
        <w:textAlignment w:val="auto"/>
        <w:rPr>
          <w:rStyle w:val="NormalCharacter"/>
          <w:rFonts w:ascii="黑体" w:eastAsia="黑体" w:hAnsi="黑体" w:cs="宋体"/>
          <w:bCs/>
          <w:kern w:val="0"/>
          <w:sz w:val="32"/>
          <w:szCs w:val="32"/>
        </w:rPr>
      </w:pPr>
      <w:r>
        <w:rPr>
          <w:rStyle w:val="NormalCharacter"/>
          <w:rFonts w:ascii="黑体" w:eastAsia="黑体" w:hAnsi="黑体" w:cs="宋体"/>
          <w:bCs/>
          <w:kern w:val="0"/>
          <w:sz w:val="32"/>
          <w:szCs w:val="32"/>
        </w:rPr>
        <w:t>八、《政府性基金预算财政拨款收入支出决算表》</w:t>
      </w:r>
    </w:p>
    <w:sectPr w:rsidR="0072037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BAC" w:rsidRDefault="00354BAC">
      <w:r>
        <w:separator/>
      </w:r>
    </w:p>
  </w:endnote>
  <w:endnote w:type="continuationSeparator" w:id="0">
    <w:p w:rsidR="00354BAC" w:rsidRDefault="003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376" w:rsidRDefault="0064775C">
    <w:pPr>
      <w:pStyle w:val="1"/>
      <w:rPr>
        <w:rStyle w:val="NormalCharacter"/>
      </w:rPr>
    </w:pPr>
    <w:r>
      <w:rPr>
        <w:rStyle w:val="NormalCharacter"/>
        <w:noProof/>
      </w:rP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40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20376" w:rsidRDefault="00720376">
                          <w:pPr>
                            <w:pStyle w:val="1"/>
                            <w:rPr>
                              <w:rStyle w:val="NormalCharacter"/>
                            </w:rPr>
                          </w:pPr>
                        </w:p>
                        <w:p w:rsidR="00720376" w:rsidRDefault="00720376">
                          <w:pPr>
                            <w:rPr>
                              <w:rStyle w:val="NormalCharacter"/>
                            </w:rPr>
                          </w:pP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4098" o:spid="_x0000_s1026" type="#_x0000_t202" style="position:absolute;margin-left:0;margin-top:0;width:2in;height:2in;z-index:102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BQjgEAAB4DAAAOAAAAZHJzL2Uyb0RvYy54bWysUsFuGyEQvUfqPyDuNRurijYrryNVUapK&#10;URspyQdgFrxIwKCBeNd/3wF7nbS9Vb3AMDM83nvD5m72jh00Jguh59erhjMdFAw27Hv++vLwueUs&#10;ZRkG6SDonh914nfbT1ebKXZ6DSO4QSMjkJC6KfZ8zDl2QiQ1ai/TCqIOVDSAXmY64l4MKCdC906s&#10;m+ZGTIBDRFA6Jcren4p8W/GN0Sr/NCbpzFzPiVuuK9Z1V1ax3chujzKOVp1pyH9g4aUN9OgF6l5m&#10;yd7Q/gXlrUJIYPJKgRdgjFW6aiA1180fap5HGXXVQuakeLEp/T9Y9ePwhMwONDvOgvQ0oi/NbVt8&#10;mWLqqPwcqSHPX2EuPed8omSROxv0ZSchjOrk8PHiqp4zU+VSu27bhkqKasuBcMT79Ygpf9PgWQl6&#10;jjS26qY8PKZ8al1aymsBHqxzlJedC78lCLNkROF+4liiPO/mM/EdDEfS474HMrF8iCXAJdgtwVtE&#10;ux+JTlVdIWkIlff5w5QpfzzXh9+/9fYXAAAA//8DAFBLAwQUAAYACAAAACEAm0d/F9kAAAAFAQAA&#10;DwAAAGRycy9kb3ducmV2LnhtbEyPQWvDMAyF74P+B6PCbquzHkqWxSlldKfBaJoddnRiNTGN5TR2&#10;2/TfTxuD7SL0eOLpe/l6cr244BisJwWPiwQEUuONpVbBR/X6kIIIUZPRvSdUcMMA62J2l+vM+CuV&#10;eNnHVnAIhUwr6GIcMilD06HTYeEHJPYOfnQ6shxbaUZ95XDXy2WSrKTTlvhDpwd86bA57s9OweaT&#10;yq09vde78lDaqnpK6G11VOp+Pm2eQUSc4t8xfOMzOhTMVPszmSB6BVwk/kz2lmnKsv5dZJHL//TF&#10;FwAAAP//AwBQSwECLQAUAAYACAAAACEAtoM4kv4AAADhAQAAEwAAAAAAAAAAAAAAAAAAAAAAW0Nv&#10;bnRlbnRfVHlwZXNdLnhtbFBLAQItABQABgAIAAAAIQA4/SH/1gAAAJQBAAALAAAAAAAAAAAAAAAA&#10;AC8BAABfcmVscy8ucmVsc1BLAQItABQABgAIAAAAIQA0JVBQjgEAAB4DAAAOAAAAAAAAAAAAAAAA&#10;AC4CAABkcnMvZTJvRG9jLnhtbFBLAQItABQABgAIAAAAIQCbR38X2QAAAAUBAAAPAAAAAAAAAAAA&#10;AAAAAOgDAABkcnMvZG93bnJldi54bWxQSwUGAAAAAAQABADzAAAA7gQAAAAA&#10;" filled="f" stroked="f">
              <v:textbox inset="0,0,0,0">
                <w:txbxContent>
                  <w:p w:rsidR="00720376" w:rsidRDefault="00720376">
                    <w:pPr>
                      <w:pStyle w:val="1"/>
                      <w:rPr>
                        <w:rStyle w:val="NormalCharacter"/>
                      </w:rPr>
                    </w:pPr>
                  </w:p>
                  <w:p w:rsidR="00720376" w:rsidRDefault="00720376">
                    <w:pPr>
                      <w:rPr>
                        <w:rStyle w:val="NormalCharacter"/>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BAC" w:rsidRDefault="00354BAC">
      <w:r>
        <w:separator/>
      </w:r>
    </w:p>
  </w:footnote>
  <w:footnote w:type="continuationSeparator" w:id="0">
    <w:p w:rsidR="00354BAC" w:rsidRDefault="00354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C5553"/>
    <w:multiLevelType w:val="singleLevel"/>
    <w:tmpl w:val="98CC5553"/>
    <w:lvl w:ilvl="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76"/>
    <w:rsid w:val="002874F7"/>
    <w:rsid w:val="002B658F"/>
    <w:rsid w:val="002E62C7"/>
    <w:rsid w:val="002E7BD6"/>
    <w:rsid w:val="00354BAC"/>
    <w:rsid w:val="005A30B5"/>
    <w:rsid w:val="0064775C"/>
    <w:rsid w:val="00720376"/>
    <w:rsid w:val="00723705"/>
    <w:rsid w:val="00953CCE"/>
    <w:rsid w:val="00A9054C"/>
    <w:rsid w:val="00CF1E25"/>
    <w:rsid w:val="00E53E8A"/>
    <w:rsid w:val="00F04843"/>
    <w:rsid w:val="00FC3361"/>
    <w:rsid w:val="58241822"/>
    <w:rsid w:val="67283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Heading2"/>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qFormat/>
    <w:pPr>
      <w:keepNext/>
      <w:keepLines/>
      <w:jc w:val="left"/>
    </w:pPr>
    <w:rPr>
      <w:rFonts w:ascii="Cambria" w:eastAsia="楷体" w:hAnsi="Cambria" w:cs="Times New Roman"/>
      <w:bCs/>
      <w:szCs w:val="32"/>
    </w:rPr>
  </w:style>
  <w:style w:type="character" w:styleId="a3">
    <w:name w:val="Strong"/>
    <w:basedOn w:val="NormalCharacter"/>
    <w:qFormat/>
    <w:rPr>
      <w:rFonts w:cs="Times New Roman"/>
      <w:b/>
      <w:bCs/>
    </w:rPr>
  </w:style>
  <w:style w:type="character" w:customStyle="1" w:styleId="NormalCharacter">
    <w:name w:val="NormalCharacter"/>
    <w:qFormat/>
  </w:style>
  <w:style w:type="paragraph" w:customStyle="1" w:styleId="Heading3">
    <w:name w:val="Heading3"/>
    <w:basedOn w:val="a"/>
    <w:next w:val="a"/>
    <w:pPr>
      <w:keepNext/>
      <w:keepLines/>
      <w:spacing w:before="260" w:after="260" w:line="416" w:lineRule="auto"/>
    </w:pPr>
    <w:rPr>
      <w:rFonts w:cs="Times New Roman"/>
      <w:b/>
      <w:bCs/>
      <w:sz w:val="32"/>
      <w:szCs w:val="32"/>
    </w:rPr>
  </w:style>
  <w:style w:type="table" w:customStyle="1" w:styleId="TableNormal">
    <w:name w:val="TableNormal"/>
    <w:tblPr>
      <w:tblCellMar>
        <w:top w:w="0" w:type="dxa"/>
        <w:left w:w="0" w:type="dxa"/>
        <w:bottom w:w="0" w:type="dxa"/>
        <w:right w:w="0" w:type="dxa"/>
      </w:tblCellMar>
    </w:tblPr>
  </w:style>
  <w:style w:type="paragraph" w:customStyle="1" w:styleId="UserStyle0">
    <w:name w:val="UserStyle_0"/>
    <w:qFormat/>
    <w:pPr>
      <w:ind w:leftChars="200" w:left="200"/>
      <w:textAlignment w:val="baseline"/>
    </w:pPr>
  </w:style>
  <w:style w:type="paragraph" w:customStyle="1" w:styleId="TOC2">
    <w:name w:val="TOC2"/>
    <w:basedOn w:val="a"/>
    <w:next w:val="a"/>
    <w:qFormat/>
    <w:pPr>
      <w:ind w:leftChars="200" w:left="420"/>
    </w:pPr>
  </w:style>
  <w:style w:type="paragraph" w:customStyle="1" w:styleId="TOC1">
    <w:name w:val="TOC1"/>
    <w:basedOn w:val="a"/>
    <w:next w:val="a"/>
    <w:qFormat/>
  </w:style>
  <w:style w:type="paragraph" w:customStyle="1" w:styleId="UserStyle1">
    <w:name w:val="UserStyle_1"/>
    <w:qFormat/>
    <w:pPr>
      <w:ind w:leftChars="400" w:left="400"/>
      <w:textAlignment w:val="baseline"/>
    </w:pPr>
  </w:style>
  <w:style w:type="paragraph" w:customStyle="1" w:styleId="1">
    <w:name w:val="页脚1"/>
    <w:basedOn w:val="a"/>
    <w:qFormat/>
    <w:pPr>
      <w:tabs>
        <w:tab w:val="center" w:pos="4153"/>
        <w:tab w:val="right" w:pos="8306"/>
      </w:tabs>
      <w:snapToGrid w:val="0"/>
      <w:jc w:val="left"/>
    </w:pPr>
    <w:rPr>
      <w:sz w:val="18"/>
    </w:rPr>
  </w:style>
  <w:style w:type="paragraph" w:customStyle="1" w:styleId="10">
    <w:name w:val="页眉1"/>
    <w:basedOn w:val="a"/>
    <w:qFormat/>
    <w:pPr>
      <w:pBdr>
        <w:top w:val="none" w:sz="0" w:space="1" w:color="000000"/>
        <w:left w:val="none" w:sz="0" w:space="4" w:color="000000"/>
        <w:bottom w:val="none" w:sz="0" w:space="1" w:color="000000"/>
        <w:right w:val="none" w:sz="0" w:space="4" w:color="000000"/>
      </w:pBdr>
      <w:tabs>
        <w:tab w:val="center" w:pos="4153"/>
        <w:tab w:val="right" w:pos="8306"/>
      </w:tabs>
      <w:snapToGrid w:val="0"/>
    </w:pPr>
    <w:rPr>
      <w:sz w:val="18"/>
    </w:rPr>
  </w:style>
  <w:style w:type="paragraph" w:customStyle="1" w:styleId="TOC3">
    <w:name w:val="TOC3"/>
    <w:basedOn w:val="a"/>
    <w:next w:val="a"/>
    <w:qFormat/>
    <w:pPr>
      <w:ind w:leftChars="400" w:left="840"/>
    </w:pPr>
  </w:style>
  <w:style w:type="paragraph" w:customStyle="1" w:styleId="AnnotationText">
    <w:name w:val="AnnotationText"/>
    <w:basedOn w:val="a"/>
    <w:qFormat/>
    <w:pPr>
      <w:jc w:val="left"/>
    </w:pPr>
  </w:style>
  <w:style w:type="paragraph" w:customStyle="1" w:styleId="UserStyle2">
    <w:name w:val="UserStyle_2"/>
    <w:qFormat/>
    <w:pPr>
      <w:textAlignment w:val="baseline"/>
    </w:pPr>
  </w:style>
  <w:style w:type="paragraph" w:styleId="a4">
    <w:name w:val="header"/>
    <w:basedOn w:val="a"/>
    <w:link w:val="Char"/>
    <w:rsid w:val="00A905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9054C"/>
    <w:rPr>
      <w:kern w:val="2"/>
      <w:sz w:val="18"/>
      <w:szCs w:val="18"/>
    </w:rPr>
  </w:style>
  <w:style w:type="paragraph" w:styleId="a5">
    <w:name w:val="footer"/>
    <w:basedOn w:val="a"/>
    <w:link w:val="Char0"/>
    <w:rsid w:val="00A9054C"/>
    <w:pPr>
      <w:tabs>
        <w:tab w:val="center" w:pos="4153"/>
        <w:tab w:val="right" w:pos="8306"/>
      </w:tabs>
      <w:snapToGrid w:val="0"/>
      <w:jc w:val="left"/>
    </w:pPr>
    <w:rPr>
      <w:sz w:val="18"/>
      <w:szCs w:val="18"/>
    </w:rPr>
  </w:style>
  <w:style w:type="character" w:customStyle="1" w:styleId="Char0">
    <w:name w:val="页脚 Char"/>
    <w:basedOn w:val="a0"/>
    <w:link w:val="a5"/>
    <w:rsid w:val="00A905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Heading2"/>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qFormat/>
    <w:pPr>
      <w:keepNext/>
      <w:keepLines/>
      <w:jc w:val="left"/>
    </w:pPr>
    <w:rPr>
      <w:rFonts w:ascii="Cambria" w:eastAsia="楷体" w:hAnsi="Cambria" w:cs="Times New Roman"/>
      <w:bCs/>
      <w:szCs w:val="32"/>
    </w:rPr>
  </w:style>
  <w:style w:type="character" w:styleId="a3">
    <w:name w:val="Strong"/>
    <w:basedOn w:val="NormalCharacter"/>
    <w:qFormat/>
    <w:rPr>
      <w:rFonts w:cs="Times New Roman"/>
      <w:b/>
      <w:bCs/>
    </w:rPr>
  </w:style>
  <w:style w:type="character" w:customStyle="1" w:styleId="NormalCharacter">
    <w:name w:val="NormalCharacter"/>
    <w:qFormat/>
  </w:style>
  <w:style w:type="paragraph" w:customStyle="1" w:styleId="Heading3">
    <w:name w:val="Heading3"/>
    <w:basedOn w:val="a"/>
    <w:next w:val="a"/>
    <w:pPr>
      <w:keepNext/>
      <w:keepLines/>
      <w:spacing w:before="260" w:after="260" w:line="416" w:lineRule="auto"/>
    </w:pPr>
    <w:rPr>
      <w:rFonts w:cs="Times New Roman"/>
      <w:b/>
      <w:bCs/>
      <w:sz w:val="32"/>
      <w:szCs w:val="32"/>
    </w:rPr>
  </w:style>
  <w:style w:type="table" w:customStyle="1" w:styleId="TableNormal">
    <w:name w:val="TableNormal"/>
    <w:tblPr>
      <w:tblCellMar>
        <w:top w:w="0" w:type="dxa"/>
        <w:left w:w="0" w:type="dxa"/>
        <w:bottom w:w="0" w:type="dxa"/>
        <w:right w:w="0" w:type="dxa"/>
      </w:tblCellMar>
    </w:tblPr>
  </w:style>
  <w:style w:type="paragraph" w:customStyle="1" w:styleId="UserStyle0">
    <w:name w:val="UserStyle_0"/>
    <w:qFormat/>
    <w:pPr>
      <w:ind w:leftChars="200" w:left="200"/>
      <w:textAlignment w:val="baseline"/>
    </w:pPr>
  </w:style>
  <w:style w:type="paragraph" w:customStyle="1" w:styleId="TOC2">
    <w:name w:val="TOC2"/>
    <w:basedOn w:val="a"/>
    <w:next w:val="a"/>
    <w:qFormat/>
    <w:pPr>
      <w:ind w:leftChars="200" w:left="420"/>
    </w:pPr>
  </w:style>
  <w:style w:type="paragraph" w:customStyle="1" w:styleId="TOC1">
    <w:name w:val="TOC1"/>
    <w:basedOn w:val="a"/>
    <w:next w:val="a"/>
    <w:qFormat/>
  </w:style>
  <w:style w:type="paragraph" w:customStyle="1" w:styleId="UserStyle1">
    <w:name w:val="UserStyle_1"/>
    <w:qFormat/>
    <w:pPr>
      <w:ind w:leftChars="400" w:left="400"/>
      <w:textAlignment w:val="baseline"/>
    </w:pPr>
  </w:style>
  <w:style w:type="paragraph" w:customStyle="1" w:styleId="1">
    <w:name w:val="页脚1"/>
    <w:basedOn w:val="a"/>
    <w:qFormat/>
    <w:pPr>
      <w:tabs>
        <w:tab w:val="center" w:pos="4153"/>
        <w:tab w:val="right" w:pos="8306"/>
      </w:tabs>
      <w:snapToGrid w:val="0"/>
      <w:jc w:val="left"/>
    </w:pPr>
    <w:rPr>
      <w:sz w:val="18"/>
    </w:rPr>
  </w:style>
  <w:style w:type="paragraph" w:customStyle="1" w:styleId="10">
    <w:name w:val="页眉1"/>
    <w:basedOn w:val="a"/>
    <w:qFormat/>
    <w:pPr>
      <w:pBdr>
        <w:top w:val="none" w:sz="0" w:space="1" w:color="000000"/>
        <w:left w:val="none" w:sz="0" w:space="4" w:color="000000"/>
        <w:bottom w:val="none" w:sz="0" w:space="1" w:color="000000"/>
        <w:right w:val="none" w:sz="0" w:space="4" w:color="000000"/>
      </w:pBdr>
      <w:tabs>
        <w:tab w:val="center" w:pos="4153"/>
        <w:tab w:val="right" w:pos="8306"/>
      </w:tabs>
      <w:snapToGrid w:val="0"/>
    </w:pPr>
    <w:rPr>
      <w:sz w:val="18"/>
    </w:rPr>
  </w:style>
  <w:style w:type="paragraph" w:customStyle="1" w:styleId="TOC3">
    <w:name w:val="TOC3"/>
    <w:basedOn w:val="a"/>
    <w:next w:val="a"/>
    <w:qFormat/>
    <w:pPr>
      <w:ind w:leftChars="400" w:left="840"/>
    </w:pPr>
  </w:style>
  <w:style w:type="paragraph" w:customStyle="1" w:styleId="AnnotationText">
    <w:name w:val="AnnotationText"/>
    <w:basedOn w:val="a"/>
    <w:qFormat/>
    <w:pPr>
      <w:jc w:val="left"/>
    </w:pPr>
  </w:style>
  <w:style w:type="paragraph" w:customStyle="1" w:styleId="UserStyle2">
    <w:name w:val="UserStyle_2"/>
    <w:qFormat/>
    <w:pPr>
      <w:textAlignment w:val="baseline"/>
    </w:pPr>
  </w:style>
  <w:style w:type="paragraph" w:styleId="a4">
    <w:name w:val="header"/>
    <w:basedOn w:val="a"/>
    <w:link w:val="Char"/>
    <w:rsid w:val="00A905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9054C"/>
    <w:rPr>
      <w:kern w:val="2"/>
      <w:sz w:val="18"/>
      <w:szCs w:val="18"/>
    </w:rPr>
  </w:style>
  <w:style w:type="paragraph" w:styleId="a5">
    <w:name w:val="footer"/>
    <w:basedOn w:val="a"/>
    <w:link w:val="Char0"/>
    <w:rsid w:val="00A9054C"/>
    <w:pPr>
      <w:tabs>
        <w:tab w:val="center" w:pos="4153"/>
        <w:tab w:val="right" w:pos="8306"/>
      </w:tabs>
      <w:snapToGrid w:val="0"/>
      <w:jc w:val="left"/>
    </w:pPr>
    <w:rPr>
      <w:sz w:val="18"/>
      <w:szCs w:val="18"/>
    </w:rPr>
  </w:style>
  <w:style w:type="character" w:customStyle="1" w:styleId="Char0">
    <w:name w:val="页脚 Char"/>
    <w:basedOn w:val="a0"/>
    <w:link w:val="a5"/>
    <w:rsid w:val="00A9054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713</Words>
  <Characters>4066</Characters>
  <Application>Microsoft Office Word</Application>
  <DocSecurity>0</DocSecurity>
  <Lines>33</Lines>
  <Paragraphs>9</Paragraphs>
  <ScaleCrop>false</ScaleCrop>
  <Company>china</Company>
  <LinksUpToDate>false</LinksUpToDate>
  <CharactersWithSpaces>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china</cp:lastModifiedBy>
  <cp:revision>11</cp:revision>
  <dcterms:created xsi:type="dcterms:W3CDTF">2020-09-15T08:45:00Z</dcterms:created>
  <dcterms:modified xsi:type="dcterms:W3CDTF">2021-06-03T09:05:00Z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